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00" w:line="240" w:lineRule="auto"/>
        <w:jc w:val="center"/>
      </w:pPr>
      <w:r>
        <w:rPr>
          <w:rFonts w:ascii="Aptos" w:hAnsi="Aptos" w:eastAsia="仿宋" w:cs="Aptos"/>
          <w:b/>
          <w:i w:val="0"/>
          <w:color w:val="000000"/>
          <w:sz w:val="17"/>
          <w:szCs w:val="17"/>
        </w:rPr>
        <w:t>GPTI  ·  FOUNDING STRATEGY</w:t>
      </w:r>
    </w:p>
    <w:p>
      <w:pPr>
        <w:spacing w:before="0" w:after="240" w:line="247" w:lineRule="auto"/>
        <w:jc w:val="center"/>
      </w:pPr>
      <w:r>
        <w:rPr>
          <w:rFonts w:ascii="Aptos" w:hAnsi="Aptos" w:eastAsia="仿宋" w:cs="Aptos"/>
          <w:b w:val="0"/>
          <w:i w:val="0"/>
          <w:color w:val="000000"/>
          <w:sz w:val="30"/>
          <w:szCs w:val="30"/>
        </w:rPr>
        <w:t>创始阶段工作文件</w:t>
      </w:r>
    </w:p>
    <w:p>
      <w:pPr>
        <w:pStyle w:val="Title"/>
        <w:spacing w:before="0" w:after="160" w:line="250" w:lineRule="auto"/>
        <w:jc w:val="center"/>
      </w:pPr>
      <w:r>
        <w:rPr>
          <w:rFonts w:ascii="Aptos" w:hAnsi="Aptos" w:eastAsia="仿宋" w:cs="Aptos"/>
          <w:b/>
          <w:i w:val="0"/>
          <w:color w:val="000000"/>
          <w:sz w:val="58"/>
          <w:szCs w:val="58"/>
        </w:rPr>
        <w:t>全球繁荣与转型倡议</w:t>
      </w:r>
    </w:p>
    <w:p>
      <w:pPr>
        <w:pStyle w:val="Title"/>
        <w:spacing w:before="0" w:after="360" w:line="250" w:lineRule="auto"/>
        <w:jc w:val="center"/>
      </w:pPr>
      <w:r>
        <w:rPr>
          <w:rFonts w:ascii="Aptos" w:hAnsi="Aptos" w:eastAsia="仿宋" w:cs="Aptos"/>
          <w:b/>
          <w:i w:val="0"/>
          <w:color w:val="000000"/>
          <w:sz w:val="58"/>
          <w:szCs w:val="58"/>
        </w:rPr>
        <w:t>使命品牌与业务体系</w:t>
      </w:r>
    </w:p>
    <w:p>
      <w:pPr>
        <w:spacing w:before="0" w:after="80" w:line="240" w:lineRule="auto"/>
        <w:jc w:val="center"/>
      </w:pPr>
      <w:r>
        <w:rPr>
          <w:rFonts w:ascii="Aptos" w:hAnsi="Aptos" w:eastAsia="仿宋" w:cs="Aptos"/>
          <w:b/>
          <w:i w:val="0"/>
          <w:color w:val="000000"/>
          <w:sz w:val="22"/>
          <w:szCs w:val="22"/>
        </w:rPr>
        <w:t>GLOBAL PROSPERITY AND TRANSITION INITIATIVE</w:t>
      </w:r>
    </w:p>
    <w:p>
      <w:pPr>
        <w:spacing w:before="0" w:after="700" w:line="240" w:lineRule="auto"/>
        <w:jc w:val="center"/>
      </w:pPr>
      <w:r>
        <w:rPr>
          <w:rFonts w:ascii="Aptos" w:hAnsi="Aptos" w:eastAsia="仿宋" w:cs="Aptos"/>
          <w:b/>
          <w:i w:val="0"/>
          <w:color w:val="000000"/>
          <w:sz w:val="21"/>
          <w:szCs w:val="21"/>
        </w:rPr>
        <w:t>MISSION BRAND AND PROGRAMME SYSTEM</w:t>
      </w:r>
    </w:p>
    <w:p>
      <w:pPr>
        <w:spacing w:before="0" w:after="100" w:line="293" w:lineRule="auto"/>
        <w:jc w:val="center"/>
      </w:pPr>
      <w:r>
        <w:rPr>
          <w:rFonts w:ascii="Aptos" w:hAnsi="Aptos" w:eastAsia="仿宋" w:cs="Aptos"/>
          <w:b w:val="0"/>
          <w:i w:val="0"/>
          <w:color w:val="000000"/>
          <w:sz w:val="25"/>
          <w:szCs w:val="25"/>
        </w:rPr>
        <w:t>用于明确机构存在理由、项目选择与可核验成果</w:t>
      </w:r>
    </w:p>
    <w:p>
      <w:pPr>
        <w:spacing w:before="0" w:after="1540" w:line="293" w:lineRule="auto"/>
        <w:jc w:val="center"/>
      </w:pPr>
      <w:r>
        <w:rPr>
          <w:rFonts w:ascii="Aptos" w:hAnsi="Aptos" w:eastAsia="仿宋" w:cs="Aptos"/>
          <w:b w:val="0"/>
          <w:i w:val="0"/>
          <w:color w:val="000000"/>
          <w:sz w:val="25"/>
          <w:szCs w:val="25"/>
        </w:rPr>
        <w:t>含品牌语言、业务边界与首年运行框架</w:t>
      </w:r>
    </w:p>
    <w:p>
      <w:pPr>
        <w:spacing w:before="0" w:after="80" w:line="240" w:lineRule="auto"/>
        <w:jc w:val="center"/>
      </w:pPr>
      <w:r>
        <w:rPr>
          <w:rFonts w:ascii="Aptos" w:hAnsi="Aptos" w:eastAsia="仿宋" w:cs="Aptos"/>
          <w:b/>
          <w:i w:val="0"/>
          <w:color w:val="000000"/>
          <w:sz w:val="17"/>
          <w:szCs w:val="17"/>
        </w:rPr>
        <w:t>BOARD DISCUSSION DRAFT</w:t>
      </w:r>
    </w:p>
    <w:p>
      <w:pPr>
        <w:spacing w:before="0" w:after="0" w:line="240" w:lineRule="auto"/>
        <w:jc w:val="center"/>
      </w:pPr>
      <w:r>
        <w:rPr>
          <w:rFonts w:ascii="Aptos" w:hAnsi="Aptos" w:eastAsia="仿宋" w:cs="Aptos"/>
          <w:b w:val="0"/>
          <w:i w:val="0"/>
          <w:color w:val="000000"/>
          <w:sz w:val="18"/>
          <w:szCs w:val="18"/>
        </w:rPr>
        <w:t>VERSION 1.0   ·   26 SEPTEMBER 2026</w:t>
      </w:r>
    </w:p>
    <w:p>
      <w:pPr>
        <w:keepNext/>
        <w:pageBreakBefore/>
        <w:widowControl/>
        <w:spacing w:before="50" w:after="5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17"/>
          <w:szCs w:val="17"/>
        </w:rPr>
        <w:t>01   GPTI STRATEGY</w:t>
      </w:r>
    </w:p>
    <w:p>
      <w:pPr>
        <w:keepNext/>
        <w:widowControl/>
        <w:spacing w:before="180" w:after="1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42"/>
          <w:szCs w:val="42"/>
        </w:rPr>
        <w:t>使命体系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 w:val="0"/>
          <w:i/>
          <w:color w:val="000000"/>
          <w:sz w:val="18"/>
          <w:szCs w:val="18"/>
        </w:rPr>
        <w:t>版本 1.0 · 2026-09-26 · 创始阶段战略建议，待董事会审议</w:t>
      </w:r>
    </w:p>
    <w:p>
      <w:pPr>
        <w:keepNext/>
        <w:widowControl/>
        <w:spacing w:before="150" w:after="15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6"/>
          <w:szCs w:val="26"/>
        </w:rPr>
        <w:t>1. 定义与存在理由</w:t>
      </w:r>
    </w:p>
    <w:p>
      <w:pPr>
        <w:keepNext w:val="0"/>
        <w:widowControl/>
        <w:spacing w:before="150" w:after="150" w:line="360" w:lineRule="auto"/>
        <w:ind w:firstLine="454" w:left="0"/>
      </w:pPr>
      <w:r>
        <w:rPr>
          <w:rFonts w:ascii="Aptos" w:hAnsi="Aptos" w:eastAsia="仿宋" w:cs="Aptos"/>
          <w:b/>
          <w:i w:val="0"/>
          <w:color w:val="000000"/>
          <w:sz w:val="24"/>
          <w:szCs w:val="24"/>
        </w:rPr>
        <w:t>GPTI 是拟设立的独立公共利益机构，连接研究、教育、跨界协作和现场实践，帮助不同地区的人们在气候与经济社会转型中扩大机会、增强韧性，并形成可以核验的公共成果。</w:t>
      </w:r>
      <w:r>
        <w:rPr>
          <w:rFonts w:ascii="Aptos" w:hAnsi="Aptos" w:eastAsia="仿宋" w:cs="Aptos"/>
          <w:b w:val="0"/>
          <w:i w:val="0"/>
          <w:color w:val="000000"/>
          <w:sz w:val="24"/>
          <w:szCs w:val="24"/>
        </w:rPr>
        <w:t>其视野覆盖环境、社会与经济的相互关系；首期应聚焦气候相关转型、城市与社区、青年和知识公共品，避免把“全球繁荣”写成无限制的业务清单。</w:t>
      </w:r>
    </w:p>
    <w:p>
      <w:pPr>
        <w:keepNext w:val="0"/>
        <w:widowControl/>
        <w:spacing w:before="150" w:after="150" w:line="360" w:lineRule="auto"/>
        <w:ind w:firstLine="454" w:left="0"/>
      </w:pPr>
      <w:r>
        <w:rPr>
          <w:rFonts w:ascii="Aptos" w:hAnsi="Aptos" w:eastAsia="仿宋" w:cs="Aptos"/>
          <w:b w:val="0"/>
          <w:i w:val="0"/>
          <w:color w:val="000000"/>
          <w:sz w:val="24"/>
          <w:szCs w:val="24"/>
        </w:rPr>
        <w:t>转型若只以排放或投资规模衡量，可能忽略就业、教育、社区、文化遗产以及代际责任。ILO 的公正转型框架强调体面劳动、社会保护与社会对话；联合国 2030 议程同时连接人与地球、繁荣与伙伴关系。GPTI 将这些作为问题选择的参照，而非声称获得机构授权。出处见 research/source-register.md。</w:t>
      </w:r>
    </w:p>
    <w:p>
      <w:pPr>
        <w:keepNext/>
        <w:widowControl/>
        <w:spacing w:before="150" w:after="15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6"/>
          <w:szCs w:val="26"/>
        </w:rPr>
        <w:t>2. 正式战略陈述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愿景 Vision。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中文建议稿：一个能够在转型中拓展机会、维护尊严并增强韧性的世界；今天的选择也对未来世代负责。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English working copy：A world where transitions expand opportunity, protect dignity and strengthen resilience for present and future generations.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使命 Mission。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中文建议稿：以公共知识、学习和跨界合作，把气候与发展挑战转化为公平、可执行并可核验成果的行动。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English working copy：To turn climate and development challenges into equitable action and verifiable public outcomes through knowledge, learning and cross-sector collaboration.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机构定位 Positioning。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中文建议稿：独立、非党派、面向公共利益的研究与行动机构。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English working copy：An independent, nonpartisan, public-interest organization for research and action.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品牌签名 Signature。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中文建议稿：行动・创新・影响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English working copy：Action. Innovation. Impact.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>“独立”应由治理和编辑制度支持，“非党派”不等于不能开展合规的公共政策教育。依法允许的非党派教育与有限政策参与须按真实活动、董事会政策和适用法律处理；不得参与候选人的政治竞选。</w:t>
      </w:r>
    </w:p>
    <w:p>
      <w:pPr>
        <w:keepNext/>
        <w:widowControl/>
        <w:spacing w:before="150" w:after="15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6"/>
          <w:szCs w:val="26"/>
        </w:rPr>
        <w:t>3. 五项使命原则</w:t>
      </w:r>
    </w:p>
    <w:p>
      <w:pPr>
        <w:keepNext w:val="0"/>
        <w:widowControl/>
        <w:spacing w:before="80" w:after="80" w:line="360" w:lineRule="auto"/>
        <w:ind w:firstLine="0" w:left="360"/>
        <w:numPr>
          <w:ilvl w:val="0"/>
          <w:numId w:val="12"/>
        </w:numPr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公共利益先行。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按问题和受益人需求确定项目，不以特定公司销量、创始人资产或赞助曝光作为成功定义。公开研究方法及可分享成果。</w:t>
      </w:r>
    </w:p>
    <w:p>
      <w:pPr>
        <w:keepNext w:val="0"/>
        <w:widowControl/>
        <w:spacing w:before="80" w:after="80" w:line="360" w:lineRule="auto"/>
        <w:ind w:firstLine="0" w:left="360"/>
        <w:numPr>
          <w:ilvl w:val="0"/>
          <w:numId w:val="12"/>
        </w:numPr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公正且因地制宜。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在项目设计时识别谁受益、谁承担成本、谁没有发言权；由当地合格伙伴参与共同定义问题与成果。</w:t>
      </w:r>
    </w:p>
    <w:p>
      <w:pPr>
        <w:keepNext w:val="0"/>
        <w:widowControl/>
        <w:spacing w:before="80" w:after="80" w:line="360" w:lineRule="auto"/>
        <w:ind w:firstLine="0" w:left="360"/>
        <w:numPr>
          <w:ilvl w:val="0"/>
          <w:numId w:val="12"/>
        </w:numPr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由知识走向行动。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每项研究或课程至少明确其使用场景、负责实施者和下一步决定，不把发布报告视为终点。</w:t>
      </w:r>
    </w:p>
    <w:p>
      <w:pPr>
        <w:keepNext w:val="0"/>
        <w:widowControl/>
        <w:spacing w:before="80" w:after="80" w:line="360" w:lineRule="auto"/>
        <w:ind w:firstLine="0" w:left="360"/>
        <w:numPr>
          <w:ilvl w:val="0"/>
          <w:numId w:val="12"/>
        </w:numPr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创新须经验证。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可以试验新方法、产品或合作模式；先定义假设、对照情境、风险和失败退出条件，再决定扩展。</w:t>
      </w:r>
    </w:p>
    <w:p>
      <w:pPr>
        <w:keepNext w:val="0"/>
        <w:widowControl/>
        <w:spacing w:before="80" w:after="80" w:line="360" w:lineRule="auto"/>
        <w:ind w:firstLine="0" w:left="360"/>
        <w:numPr>
          <w:ilvl w:val="0"/>
          <w:numId w:val="12"/>
        </w:numPr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影响须可说明。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报告投入、活动、产出、结果与长期影响的区别；注明来源、时间、范围、不确定性和 GPTI 的贡献，不把相关性说成因果关系。参考 OECD DAC 六项评价标准。</w:t>
      </w:r>
    </w:p>
    <w:p>
      <w:pPr>
        <w:keepNext/>
        <w:widowControl/>
        <w:spacing w:before="150" w:after="15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6"/>
          <w:szCs w:val="26"/>
        </w:rPr>
        <w:t>4. 机构面向谁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直接服务者：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青少年与教育者、受转型影响的社区与城市工作者、公共利益研究人员、非营利组织和能够将知识用于行动的地方机构。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合作参与者：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高校、慈善基金会、企业、城市及国际网络。商业主体既可以支持公益工作，也可以参与公开讨论，但不能购买研究结论、受益人数据或对慈善资源的优先占用。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最终公共受益者：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可免费获得知识、方法、项目成果或可复制案例的社会公众，以及通过当地实践受益的人群。每个项目需在章程中重新具体界定。</w:t>
      </w:r>
    </w:p>
    <w:p>
      <w:pPr>
        <w:keepNext/>
        <w:widowControl/>
        <w:spacing w:before="150" w:after="15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6"/>
          <w:szCs w:val="26"/>
        </w:rPr>
        <w:t>5. 变革路径 Theory of Change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现实问题：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转型挑战跨行业、跨地区且跨世代；知识与资源分散，实践证据不足，受影响者参与不充分。 </w:t>
      </w: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GPTI 的贡献：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提供公共研究和学习内容，召集有不同能力的伙伴共同设计，在真实场景开展边界清晰的小规模实践，追踪结果并公开可用的方法。 </w:t>
      </w: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预期变化：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参与者能力与判断提升；伙伴作出更好的决策；地方项目形成可采用的方案；外部机构获得可复用证据。 </w:t>
      </w: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长期愿景：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更公平、更有韧性的转型及其带来的共享繁荣。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>这是一项需要被项目证据检验的工作假设。不得把任一课程完成、活动签到或网站注册人数自动称为社会影响。</w:t>
      </w:r>
    </w:p>
    <w:p>
      <w:pPr>
        <w:keepNext/>
        <w:widowControl/>
        <w:spacing w:before="150" w:after="15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6"/>
          <w:szCs w:val="26"/>
        </w:rPr>
        <w:t>6. 战略边界与选择</w:t>
      </w:r>
    </w:p>
    <w:p>
      <w:pPr>
        <w:keepNext w:val="0"/>
        <w:widowControl/>
        <w:spacing w:before="150" w:after="150" w:line="360" w:lineRule="auto"/>
        <w:ind w:firstLine="454" w:left="0"/>
      </w:pPr>
      <w:r>
        <w:rPr>
          <w:rFonts w:ascii="Aptos" w:hAnsi="Aptos" w:eastAsia="仿宋" w:cs="Aptos"/>
          <w:b w:val="0"/>
          <w:i w:val="0"/>
          <w:color w:val="000000"/>
          <w:sz w:val="24"/>
          <w:szCs w:val="24"/>
        </w:rPr>
        <w:t>首期建议形成四条服务线：公共知识与研究、学习与未来世代、地方转型实践、伙伴行动与成果评估。每条线都必须能说明公益目的、受益人、可交付内容与证据。技术平台仅在其为公益目标提供必要服务，且权利与交易经独立审查时进入 GPTI 项目。</w:t>
      </w:r>
    </w:p>
    <w:p>
      <w:pPr>
        <w:keepNext w:val="0"/>
        <w:widowControl/>
        <w:spacing w:before="150" w:after="150" w:line="360" w:lineRule="auto"/>
        <w:ind w:firstLine="454" w:left="0"/>
      </w:pPr>
      <w:r>
        <w:rPr>
          <w:rFonts w:ascii="Aptos" w:hAnsi="Aptos" w:eastAsia="仿宋" w:cs="Aptos"/>
          <w:b w:val="0"/>
          <w:i w:val="0"/>
          <w:color w:val="000000"/>
          <w:sz w:val="24"/>
          <w:szCs w:val="24"/>
        </w:rPr>
        <w:t>以下工作须单独评估后决定是否由 GPTI 承担：为单一企业生产专有商业分析、收费软件或专有认证、客户线索开发、广告与排他推广、个人投资或交易建议。这些活动即使围绕气候主题，也不能凭名称自动归入公益项目。</w:t>
      </w:r>
    </w:p>
    <w:p>
      <w:pPr>
        <w:keepNext/>
        <w:widowControl/>
        <w:spacing w:before="150" w:after="15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6"/>
          <w:szCs w:val="26"/>
        </w:rPr>
        <w:t>7. 项目立项六问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>每项提案进入董事会或授权委员会前应有一页回答：</w:t>
      </w:r>
    </w:p>
    <w:p>
      <w:pPr>
        <w:keepNext w:val="0"/>
        <w:widowControl/>
        <w:spacing w:before="80" w:after="80" w:line="360" w:lineRule="auto"/>
        <w:ind w:firstLine="0" w:left="360"/>
        <w:numPr>
          <w:ilvl w:val="0"/>
          <w:numId w:val="13"/>
        </w:numPr>
      </w:pP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>哪一个明确的公共问题值得 GPTI 投入？有哪些证据和受影响者意见？</w:t>
      </w:r>
    </w:p>
    <w:p>
      <w:pPr>
        <w:keepNext w:val="0"/>
        <w:widowControl/>
        <w:spacing w:before="80" w:after="80" w:line="360" w:lineRule="auto"/>
        <w:ind w:firstLine="0" w:left="360"/>
        <w:numPr>
          <w:ilvl w:val="0"/>
          <w:numId w:val="13"/>
        </w:numPr>
      </w:pP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>谁是直接受益者，谁可能被排除或承担额外风险？</w:t>
      </w:r>
    </w:p>
    <w:p>
      <w:pPr>
        <w:keepNext w:val="0"/>
        <w:widowControl/>
        <w:spacing w:before="80" w:after="80" w:line="360" w:lineRule="auto"/>
        <w:ind w:firstLine="0" w:left="360"/>
        <w:numPr>
          <w:ilvl w:val="0"/>
          <w:numId w:val="13"/>
        </w:numPr>
      </w:pP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>GPTI 拥有什么独特能力，为什么其他主体无法以更低成本完成？</w:t>
      </w:r>
    </w:p>
    <w:p>
      <w:pPr>
        <w:keepNext w:val="0"/>
        <w:widowControl/>
        <w:spacing w:before="80" w:after="80" w:line="360" w:lineRule="auto"/>
        <w:ind w:firstLine="0" w:left="360"/>
        <w:numPr>
          <w:ilvl w:val="0"/>
          <w:numId w:val="13"/>
        </w:numPr>
      </w:pP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>哪一个六至十二个月的可观察变化，能够检验我们的假设？</w:t>
      </w:r>
    </w:p>
    <w:p>
      <w:pPr>
        <w:keepNext w:val="0"/>
        <w:widowControl/>
        <w:spacing w:before="80" w:after="80" w:line="360" w:lineRule="auto"/>
        <w:ind w:firstLine="0" w:left="360"/>
        <w:numPr>
          <w:ilvl w:val="0"/>
          <w:numId w:val="13"/>
        </w:numPr>
      </w:pP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>哪些伙伴提供资金、知识或场地，他们是否可能影响结论或获得不当私利？</w:t>
      </w:r>
    </w:p>
    <w:p>
      <w:pPr>
        <w:keepNext w:val="0"/>
        <w:widowControl/>
        <w:spacing w:before="80" w:after="80" w:line="360" w:lineRule="auto"/>
        <w:ind w:firstLine="0" w:left="360"/>
        <w:numPr>
          <w:ilvl w:val="0"/>
          <w:numId w:val="13"/>
        </w:numPr>
      </w:pP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>失败、退出、公开发布、数据删除和成果归属如何安排？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>答不清第 1、2、4、5 项的项目，不进入筹款或对外发布阶段。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>项目仅在实质相关时映射 SDG 4、8、9、11、13、17；映射不等于联合国认证。ECOSOC 咨商身份需在实体满足官方条件后另行申请。</w:t>
      </w:r>
    </w:p>
    <w:p>
      <w:pPr>
        <w:keepNext/>
        <w:pageBreakBefore/>
        <w:widowControl/>
        <w:spacing w:before="50" w:after="5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17"/>
          <w:szCs w:val="17"/>
        </w:rPr>
        <w:t>02   GPTI STRATEGY</w:t>
      </w:r>
    </w:p>
    <w:p>
      <w:pPr>
        <w:keepNext/>
        <w:widowControl/>
        <w:spacing w:before="180" w:after="1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42"/>
          <w:szCs w:val="42"/>
        </w:rPr>
        <w:t>品牌体系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 w:val="0"/>
          <w:i/>
          <w:color w:val="000000"/>
          <w:sz w:val="18"/>
          <w:szCs w:val="18"/>
        </w:rPr>
        <w:t>版本 1.0 · 2026-09-26 · 待创始董事会批准；名称可用性与商标清查仍须独立完成</w:t>
      </w:r>
    </w:p>
    <w:p>
      <w:pPr>
        <w:keepNext/>
        <w:widowControl/>
        <w:spacing w:before="150" w:after="15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6"/>
          <w:szCs w:val="26"/>
        </w:rPr>
        <w:t>1. 名称架构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拟用法定全称。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标准写法：Global Prosperity and Transition Initiative, Inc.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使用规则：仅在公司获批设立后作为法律身份使用；合同、银行、捐赠和税务文件依正式登记逐字填写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英文对外名称。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标准写法：Global Prosperity and Transition Initiative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使用规则：标题和机构介绍第一次使用全称；后续可用 GPTI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中文名称。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标准写法：全球繁荣与转型倡议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使用规则：是品牌译名，法律文件以注册英文名称为准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缩写。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标准写法：GPTI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使用规则：采用大写 I；项目仓库名 GPTi 仅为指定的代码仓库拼法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品牌签名。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标准写法：Action. Innovation. Impact.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使用规则：可放在标题、封面、页脚或讲述体系中；不是法律目的条款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描述语。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标准写法：An independent, nonpartisan, public-interest organization for research and action.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使用规则：“独立/非党派”应受治理政策约束；未成立前加 proposed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>不要采用 Global Prosperity and Transition Action Initiative 或 GPTAI。Action 与 Initiative 重叠，GPTAI 与人工智能概念易混淆。加速器、联盟和分析实验室可在实际形成对应机制后，作为项目名称单独评估。</w:t>
      </w:r>
    </w:p>
    <w:p>
      <w:pPr>
        <w:keepNext/>
        <w:widowControl/>
        <w:spacing w:before="150" w:after="15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6"/>
          <w:szCs w:val="26"/>
        </w:rPr>
        <w:t>2. 品牌核心叙事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一句话介绍 CN：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GPTI 连接公共知识、学习和跨界合作，把气候与发展挑战转化为公平、可执行并可核验成果的行动。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One sentence EN: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GPTI connects public knowledge, learning and cross-sector collaboration to turn climate and development challenges into equitable action with verifiable public outcomes.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较短版本 CN：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以公共知识推动创新，以合作形成行动，以证据说明影响。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Short version EN: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We develop public knowledge, bring partners into action and examine what changes.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>不使用 “the world's leading” “UN-backed” “certified impact” 以及“全球唯一”等未经核实的超越性表述。</w:t>
      </w:r>
    </w:p>
    <w:p>
      <w:pPr>
        <w:keepNext/>
        <w:widowControl/>
        <w:spacing w:before="150" w:after="15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6"/>
          <w:szCs w:val="26"/>
        </w:rPr>
        <w:t>3. 三个词的真正含义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Action 行动。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GPTI 的承诺：从议题讨论走向有责任人的实践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可证明的行为：项目章程、当地伙伴、预算、时间和交付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不等同于：开一场会或发布一份口号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Innovation 创新。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GPTI 的承诺：在公共问题中试验可学习的新方法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可证明的行为：假设、设计、试点、失败记录、共享方法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不等同于：为技术而技术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Impact 影响。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GPTI 的承诺：追踪谁发生了什么变化及局限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可证明的行为：基线、结果指标、独立反馈、公开方法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不等同于：把签到和浏览量称为影响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>三词可作为年度工作的审查问题：</w:t>
      </w: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What will we do? What will we learn? What changed?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中文：</w:t>
      </w: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我们要做什么？我们将学到什么？什么发生了变化？</w:t>
      </w:r>
    </w:p>
    <w:p>
      <w:pPr>
        <w:keepNext/>
        <w:widowControl/>
        <w:spacing w:before="150" w:after="15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6"/>
          <w:szCs w:val="26"/>
        </w:rPr>
        <w:t>4. 品牌人格与语言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可信、开放、审慎、具体、向前。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使用主动句说明行动与责任，避免无主语的空泛宣言。先讲问题和发现，再讲机构与伙伴。每次引用数据给出日期、范围和证据。对尚未证明的影响使用“拟”“试点”“观察到”“需要进一步验证”。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用词表：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shared prosperity / 共享繁荣 指更多人获得机会、尊严和韧性，不等于只增长 GDP；transition / 转型 指能源、经济、城市、教育及社会适应的系统变化，不限定为单一净零技术；public knowledge / 公共知识 指可获得且有来源和用途的方法与成果；measurable impact / 可衡量的影响 仅用于具备适当评价基础的项目，普通活动可说“可核验成果”。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英文微文案样例：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“Explore the work”, “Read the evidence”, “Propose a collaboration”, “See the project method”. </w:t>
      </w: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中文：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“了解项目”“查看研究依据”“提出合作”“阅读方法”。避免页面上反复出现 Learn more。</w:t>
      </w:r>
    </w:p>
    <w:p>
      <w:pPr>
        <w:keepNext/>
        <w:widowControl/>
        <w:spacing w:before="150" w:after="15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6"/>
          <w:szCs w:val="26"/>
        </w:rPr>
        <w:t>5. 品牌组合与关系表述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>GPTI 是母机构。服务线是长期能力，具体项目有单独的负责人、状态和项目章程。Future Stewards 可成为独立署名的项目，但要先确认治理采纳与知识产权。GPTI 不当然拥有 Shanghai Climate Week、Global Climate Academy、UNESCO 或 The Climate Passport 的品牌。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>涉及伙伴时采用准确关系词：</w:t>
      </w: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funded by / supported by / co-developed with / delivered with / knowledge partner / under licence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>。每个词都应有相应合同、批准和实际交付；仅出席活动不能写成合作伙伴。赞助商署名与联合主办应在视觉层级和文案上分开。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>若商业 The Climate Passport 被用作数字服务，公开说明应回答谁经营平台、谁处理数据、是否收费、GPTI 是否分享收益、GPTI 项目参与者是否有非商业替代路径。GPTI 的 501(c)(3) 身份不能用于营销商业产品。</w:t>
      </w:r>
    </w:p>
    <w:p>
      <w:pPr>
        <w:keepNext/>
        <w:widowControl/>
        <w:spacing w:before="150" w:after="15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6"/>
          <w:szCs w:val="26"/>
        </w:rPr>
        <w:t>6. 标识与视觉授权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>品牌签名可先用文字排版；正式 logo、商标和域名应完成州名、USPTO 相似标识和实际使用检索。官网设计遵循 standards.lock.md 中的 Platform 模式，不在本文件中另设颜色、字体或间距值。不得仿造 UN 标识，也不得把 SDG 关联表达成官方背书。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>发布前检查机构登记、免税状态、商标、项目权属、伙伴授权、捐赠的税务说明、成果证据、图片权利及双语一致性。未核验的内容保留在内部文件；当前状态见 governance/status-register.md。</w:t>
      </w:r>
    </w:p>
    <w:p>
      <w:pPr>
        <w:keepNext/>
        <w:pageBreakBefore/>
        <w:widowControl/>
        <w:spacing w:before="50" w:after="5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17"/>
          <w:szCs w:val="17"/>
        </w:rPr>
        <w:t>03   GPTI STRATEGY</w:t>
      </w:r>
    </w:p>
    <w:p>
      <w:pPr>
        <w:keepNext/>
        <w:widowControl/>
        <w:spacing w:before="180" w:after="1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42"/>
          <w:szCs w:val="42"/>
        </w:rPr>
        <w:t>业务与项目体系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 w:val="0"/>
          <w:i/>
          <w:color w:val="000000"/>
          <w:sz w:val="18"/>
          <w:szCs w:val="18"/>
        </w:rPr>
        <w:t>版本 1.0 · 2026-09-26 · 建议运行框架，待治理与法律结构批准</w:t>
      </w:r>
    </w:p>
    <w:p>
      <w:pPr>
        <w:keepNext/>
        <w:widowControl/>
        <w:spacing w:before="150" w:after="15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6"/>
          <w:szCs w:val="26"/>
        </w:rPr>
        <w:t>1. 四条业务服务线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公共知识与研究 Public Knowledge。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公共价值与交付：非党派研究、转型案例、开放方法、面向公众的解释与出版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首期项目候选：公正转型观察、城市/遗产气候风险学习资料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核验证据：方法、审稿记录、公开许可、被实际采用的记录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学习与未来世代 Learning &amp; Future Generations。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公共价值与交付：青年系统思维、设计思维、负责任行动与导师支持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首期项目候选：Future Stewards 候选项目，须单独完成权属及实施批准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核验证据：前后评估、学习作品、参与者保护、后续行动证据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地方转型实践 Place-based Action。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公共价值与交付：与当地合法伙伴识别问题、共同设计并小规模测试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首期项目候选：城市/社区韧性与文化遗产场景试点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核验证据：当地需求、同意和备案、试点数据、可复制说明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伙伴行动与评估 Partnerships &amp; Evidence。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公共价值与交付：召集基金会、学界、社区、企业和公共机构，协作执行与独立评估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首期项目候选：主题行动伙伴网络、年度成果回顾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核验证据：合作职责、资金流、里程碑、外部使用与评价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>服务线是组织能力，不是已经启动的项目事实。首年建议最多选两个主项目和一个公共知识产品，避免人力与合规能力被分散。</w:t>
      </w:r>
    </w:p>
    <w:p>
      <w:pPr>
        <w:keepNext/>
        <w:widowControl/>
        <w:spacing w:before="150" w:after="15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6"/>
          <w:szCs w:val="26"/>
        </w:rPr>
        <w:t>2. 项目组合与现有关系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Future Stewards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可作为优先评估的青年与世界遗产项目。须先确认名称、内容和课程权属、项目所在地合规、导师/合作方授权、未成年人保护、成果公开权限和 GPTI 的实际主办责任。不能因为团队成员参与同一项目，就默认 GPTI 已拥有该项目。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上海气候周及 Global Climate Academy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可是协作平台或内容伙伴，前提是各自签署界定活动、钱、人员、品牌、成果和数据的文件。网站不得未经授权展示为 GPTI 的创始伙伴、分支或项目。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The Climate Passport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是具有商业化方向的独立项目。GPTI 不使用其 DBA 收款，不直接承担商业平台开发成本，也不将慈善身份用于促进商业销售。若使用数字工具，应由无利益冲突的董事比较替代方案、核实权属及公允条件，签署可终止的服务或许可协议，限定目的和数据访问。具体可查 operations/archive/ 的结构章节，并在实际签约前重新接受法律审查。</w:t>
      </w:r>
    </w:p>
    <w:p>
      <w:pPr>
        <w:keepNext/>
        <w:widowControl/>
        <w:spacing w:before="150" w:after="15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6"/>
          <w:szCs w:val="26"/>
        </w:rPr>
        <w:t>3. 每个项目遵循八步</w:t>
      </w:r>
    </w:p>
    <w:p>
      <w:pPr>
        <w:keepNext w:val="0"/>
        <w:widowControl/>
        <w:spacing w:before="80" w:after="80" w:line="360" w:lineRule="auto"/>
        <w:ind w:firstLine="0" w:left="360"/>
        <w:numPr>
          <w:ilvl w:val="0"/>
          <w:numId w:val="14"/>
        </w:numPr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提出问题。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记录受影响群体、地区、初始证据和待验证假设。</w:t>
      </w:r>
    </w:p>
    <w:p>
      <w:pPr>
        <w:keepNext w:val="0"/>
        <w:widowControl/>
        <w:spacing w:before="80" w:after="80" w:line="360" w:lineRule="auto"/>
        <w:ind w:firstLine="0" w:left="360"/>
        <w:numPr>
          <w:ilvl w:val="0"/>
          <w:numId w:val="14"/>
        </w:numPr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资格筛选。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核对公益目的、当地许可、利益冲突、隐私与未成年人保护、是否有实施能力。</w:t>
      </w:r>
    </w:p>
    <w:p>
      <w:pPr>
        <w:keepNext w:val="0"/>
        <w:widowControl/>
        <w:spacing w:before="80" w:after="80" w:line="360" w:lineRule="auto"/>
        <w:ind w:firstLine="0" w:left="360"/>
        <w:numPr>
          <w:ilvl w:val="0"/>
          <w:numId w:val="14"/>
        </w:numPr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共同设计。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明确当地伙伴的参与、权力与反馈，而非只征求形式意见。</w:t>
      </w:r>
    </w:p>
    <w:p>
      <w:pPr>
        <w:keepNext w:val="0"/>
        <w:widowControl/>
        <w:spacing w:before="80" w:after="80" w:line="360" w:lineRule="auto"/>
        <w:ind w:firstLine="0" w:left="360"/>
        <w:numPr>
          <w:ilvl w:val="0"/>
          <w:numId w:val="14"/>
        </w:numPr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项目章程。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确定目标、受益人、活动、预算、权利、风险、负责人与可测指标。</w:t>
      </w:r>
    </w:p>
    <w:p>
      <w:pPr>
        <w:keepNext w:val="0"/>
        <w:widowControl/>
        <w:spacing w:before="80" w:after="80" w:line="360" w:lineRule="auto"/>
        <w:ind w:firstLine="0" w:left="360"/>
        <w:numPr>
          <w:ilvl w:val="0"/>
          <w:numId w:val="14"/>
        </w:numPr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小规模执行。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先形成可观察的最小实践，留存过程证据。</w:t>
      </w:r>
    </w:p>
    <w:p>
      <w:pPr>
        <w:keepNext w:val="0"/>
        <w:widowControl/>
        <w:spacing w:before="80" w:after="80" w:line="360" w:lineRule="auto"/>
        <w:ind w:firstLine="0" w:left="360"/>
        <w:numPr>
          <w:ilvl w:val="0"/>
          <w:numId w:val="14"/>
        </w:numPr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复盘与验证。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收集受益人反馈，审查副作用，区分实际观察与合理推断。</w:t>
      </w:r>
    </w:p>
    <w:p>
      <w:pPr>
        <w:keepNext w:val="0"/>
        <w:widowControl/>
        <w:spacing w:before="80" w:after="80" w:line="360" w:lineRule="auto"/>
        <w:ind w:firstLine="0" w:left="360"/>
        <w:numPr>
          <w:ilvl w:val="0"/>
          <w:numId w:val="14"/>
        </w:numPr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公开成果。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取得必要同意后公布方法、局限、案例与可复用材料。</w:t>
      </w:r>
    </w:p>
    <w:p>
      <w:pPr>
        <w:keepNext w:val="0"/>
        <w:widowControl/>
        <w:spacing w:before="80" w:after="80" w:line="360" w:lineRule="auto"/>
        <w:ind w:firstLine="0" w:left="360"/>
        <w:numPr>
          <w:ilvl w:val="0"/>
          <w:numId w:val="14"/>
        </w:numPr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扩展或退出。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依据结果、当地需求与资源决定复制、调整或停止。</w:t>
      </w:r>
    </w:p>
    <w:p>
      <w:pPr>
        <w:keepNext/>
        <w:widowControl/>
        <w:spacing w:before="40" w:after="4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5"/>
          <w:szCs w:val="25"/>
        </w:rPr>
        <w:t>项目章程最低字段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>project_id、法定执行主体、项目状态、公益目的、SDG 对应理由、地点与时间、直接受益者、受影响者参与方式、伙伴及合同、IP 与数据权属、预算和限制性资金、活动、预期产出、预期结果、风险与保护措施、评价方法、公开边界、终止条件、董事会批准记录。</w:t>
      </w:r>
    </w:p>
    <w:p>
      <w:pPr>
        <w:keepNext/>
        <w:widowControl/>
        <w:spacing w:before="150" w:after="15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6"/>
          <w:szCs w:val="26"/>
        </w:rPr>
        <w:t>4. 创新和影响力的统一定义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创新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是在具体场景中形成并试验新方法或新组合，必须有明确问题、可比较的现状、学习记录和推广条件。使用新技术本身不构成创新成果。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影响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指项目引起或促成的较长期重要变化；从课程完成或会议举行到社会变化通常存在多种外部因素。对外报告优先写“观察到的结果”和“GPTI 的合理贡献”，仅在证据足够时使用更强的因果表述。参考 OECD DAC 的相关性、协调性、有效性、效率、影响及可持续性六个评价维度，按项目性质选取。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活动 Activity。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示例：开展 4 次公开课程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允许的公开说法：“开展了 4 次课程”，附日期与签到口径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产出 Output。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示例：80 人完成课程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允许的公开说法：“80 人完成”，说明去重、完成定义和期间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短期结果 Outcome。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示例：经前后测，参与者识别气候风险的能力提高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允许的公开说法：说明题目、样本、回应率、差异与局限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中期结果 Adoption。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示例：两家地方机构采用公开工具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允许的公开说法：需记录实际采用、范围及独立验证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长期影响 Impact。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示例：社区韧性或机会结构得到持续改善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允许的公开说法：需基线、时间、外部因素与审慎评价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>所有数字都进入证据登记：指标定义、分母、时间区间、采集方式、授权、存档位置、隐私审查、核验人及适用限制。尚无 GPTI 历史成果时，官网展示方法及阶段，不填示意数字。</w:t>
      </w:r>
    </w:p>
    <w:p>
      <w:pPr>
        <w:keepNext/>
        <w:widowControl/>
        <w:spacing w:before="150" w:after="15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6"/>
          <w:szCs w:val="26"/>
        </w:rPr>
        <w:t>5. 收入和资源结构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慈善捐赠与基金会资助。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允许范围与前提：资金用途与公益目的相符，限制性资金单独核算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禁止或升级审查情况：捐赠附带个人回报、控制研究结论或指定商业供应商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合格企业赞助。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允许范围与前提：对活动或出版提供支持，按合同明确名称/标识致谢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禁止或升级审查情况：广告、促销价格、产品背书和销售线索须专项税务审查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公益教育和项目服务费。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允许范围与前提：与教育/科研目的直接相关，定价及减免政策透明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禁止或升级审查情况：将 GPTI 作为关联公司的收费销售渠道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研究合作或委托。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允许范围与前提：公共利益问题、方法独立、出版权及数据权清楚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禁止或升级审查情况：只为单一客户形成专有成果且禁止公开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实物、场地和志愿服务。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允许范围与前提：真实估值、记录、受益人保护及利益冲突审查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禁止或升级审查情况：以无偿资源换取隐蔽商业权益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>首年制定预算时区分一般运营、项目受限资金、筹款费用和直接项目成本；不要把公众捐赠与商业公司收入合并展示。公共慈善分类由真实收入结构决定，不靠预算表上的标签推定。</w:t>
      </w:r>
    </w:p>
    <w:p>
      <w:pPr>
        <w:keepNext/>
        <w:widowControl/>
        <w:spacing w:before="150" w:after="15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6"/>
          <w:szCs w:val="26"/>
        </w:rPr>
        <w:t>6. 治理与风险控制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>董事会批准使命、预算、关键项目、关联交易、重大合同与年度报告。项目负责人负责实施及证据，独立财务人员或外部会计定期对账；涉及创始人或商业关联方的董事必须披露并回避。公开研究应设置独立编辑和来源记录。跨境项目在执行前确认目的地法律、合同、制裁筛查及合法活动路径；未成年人项目有独立的同意、保护和数据最小化规则。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>GPTI、商业 Climate Passport 实体及各合作机构需有各自的合同、银行账户、人员工时和数据权限。使用共享资源须书面分摊，能被独立董事和审计记录复核。</w:t>
      </w:r>
    </w:p>
    <w:p>
      <w:pPr>
        <w:keepNext/>
        <w:widowControl/>
        <w:spacing w:before="150" w:after="15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6"/>
          <w:szCs w:val="26"/>
        </w:rPr>
        <w:t>7. 首个十二个月的阶段计划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0–90 天：成立与设计。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完成条件：经核准的设立文件、初始董事会、资金与关联交易结构、两个试点章程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对外可说的内容：宗旨与拟开展领域；准确披露法律状态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3–6 个月：试点。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完成条件：合规伙伴协议、需求验证、教育/研究样品、基线方法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对外可说的内容：已启动且可证明的具体活动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23"/>
          <w:szCs w:val="23"/>
        </w:rPr>
        <w:t>6–12 个月：验证。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完成条件：首轮学习评估、公开材料、财务与项目记录、外部反馈</w:t>
      </w: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 xml:space="preserve">  对外可说的内容：经核验的产出与初步结果及局限</w:t>
      </w:r>
    </w:p>
    <w:p>
      <w:pPr>
        <w:keepNext w:val="0"/>
        <w:widowControl/>
        <w:spacing w:before="80" w:after="80" w:line="360" w:lineRule="auto"/>
        <w:ind w:firstLine="454" w:left="0"/>
      </w:pPr>
      <w:r>
        <w:rPr>
          <w:rFonts w:ascii="Aptos" w:hAnsi="Aptos" w:eastAsia="仿宋" w:cs="Aptos"/>
          <w:b w:val="0"/>
          <w:i w:val="0"/>
          <w:color w:val="000000"/>
          <w:sz w:val="23"/>
          <w:szCs w:val="23"/>
        </w:rPr>
        <w:t>起算日以实际成立日为准。阶段表是管理节奏，不能冒充已经完成的活动。</w:t>
      </w:r>
    </w:p>
    <w:p>
      <w:pPr>
        <w:keepNext/>
        <w:pageBreakBefore/>
        <w:widowControl/>
        <w:spacing w:before="50" w:after="5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17"/>
          <w:szCs w:val="17"/>
        </w:rPr>
        <w:t>04   RESEARCH AND PUBLICATION</w:t>
      </w:r>
    </w:p>
    <w:p>
      <w:pPr>
        <w:keepNext/>
        <w:widowControl/>
        <w:spacing w:before="180" w:after="180" w:line="360" w:lineRule="auto"/>
        <w:ind w:firstLine="0" w:left="0"/>
      </w:pPr>
      <w:r>
        <w:rPr>
          <w:rFonts w:ascii="Aptos" w:hAnsi="Aptos" w:eastAsia="仿宋" w:cs="Aptos"/>
          <w:b/>
          <w:i w:val="0"/>
          <w:color w:val="000000"/>
          <w:sz w:val="42"/>
          <w:szCs w:val="42"/>
        </w:rPr>
        <w:t>资料依据与使用边界</w:t>
      </w:r>
    </w:p>
    <w:p>
      <w:pPr>
        <w:keepNext w:val="0"/>
        <w:widowControl/>
        <w:spacing w:before="150" w:after="150" w:line="360" w:lineRule="auto"/>
        <w:ind w:firstLine="454" w:left="0"/>
      </w:pPr>
      <w:r>
        <w:rPr>
          <w:rFonts w:ascii="Aptos" w:hAnsi="Aptos" w:eastAsia="仿宋" w:cs="Aptos"/>
          <w:b w:val="0"/>
          <w:i w:val="0"/>
          <w:color w:val="000000"/>
          <w:sz w:val="24"/>
          <w:szCs w:val="24"/>
        </w:rPr>
        <w:t>本文件是 GPTI 的创始阶段战略建议，尚未由董事会采纳。机构登记、税务豁免、项目权属和合作关系以相应正式文件为准。以下官方资料用于校准战略原则和合规边界，并不代表其机构支持、认证或认可 GPTI。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 w:val="0"/>
          <w:i w:val="0"/>
          <w:color w:val="000000"/>
          <w:sz w:val="21"/>
          <w:szCs w:val="21"/>
        </w:rPr>
        <w:t>联合国 2030 议程：https://sdgs.un.org/2030agenda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 w:val="0"/>
          <w:i w:val="0"/>
          <w:color w:val="000000"/>
          <w:sz w:val="21"/>
          <w:szCs w:val="21"/>
        </w:rPr>
        <w:t>国际劳工组织公正转型指南：https://www.ilo.org/publications/guidelines-just-transition-towards-environmentally-sustainable-economies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 w:val="0"/>
          <w:i w:val="0"/>
          <w:color w:val="000000"/>
          <w:sz w:val="21"/>
          <w:szCs w:val="21"/>
        </w:rPr>
        <w:t>OECD DAC 评价标准：https://www.oecd.org/en/topics/sub-issues/development-co-operation-evaluation-and-effectiveness/evaluation-criteria.html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 w:val="0"/>
          <w:i w:val="0"/>
          <w:color w:val="000000"/>
          <w:sz w:val="21"/>
          <w:szCs w:val="21"/>
        </w:rPr>
        <w:t>美国 IRS 501(c)(3) 目的：https://www.irs.gov/charities-non-profits/charitable-organizations/exempt-purposes-internal-revenue-code-section-501c3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 w:val="0"/>
          <w:i w:val="0"/>
          <w:color w:val="000000"/>
          <w:sz w:val="21"/>
          <w:szCs w:val="21"/>
        </w:rPr>
        <w:t>美国 IRS 私人利益限制：https://www.irs.gov/charities-non-profits/charitable-organizations/inurement-private-benefit-charitable-organizations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 w:val="0"/>
          <w:i w:val="0"/>
          <w:color w:val="000000"/>
          <w:sz w:val="21"/>
          <w:szCs w:val="21"/>
        </w:rPr>
        <w:t>联合国 ECOSOC 申请条件：https://ecosoc.un.org/en/ngo/apply-for-consultative-status</w:t>
      </w:r>
    </w:p>
    <w:p>
      <w:pPr>
        <w:keepNext w:val="0"/>
        <w:widowControl/>
        <w:spacing w:before="80" w:after="80" w:line="360" w:lineRule="auto"/>
        <w:ind w:firstLine="0" w:left="0"/>
      </w:pPr>
      <w:r>
        <w:rPr>
          <w:rFonts w:ascii="Aptos" w:hAnsi="Aptos" w:eastAsia="仿宋" w:cs="Aptos"/>
          <w:b w:val="0"/>
          <w:i/>
          <w:color w:val="000000"/>
          <w:sz w:val="18"/>
          <w:szCs w:val="18"/>
        </w:rPr>
        <w:t>设计标准：sunshinerao/my-standards，固定提交 4057223710d62398a4a6c543de2e0bc199c33eb7。正文源文件位于本仓库 strategy/ 与 brand/ 目录。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6" w:right="1531" w:bottom="1332" w:left="153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844" w:val="left"/>
      </w:tabs>
      <w:jc w:val="left"/>
    </w:pPr>
    <w:r>
      <w:rPr>
        <w:rFonts w:ascii="Aptos" w:hAnsi="Aptos" w:eastAsia="仿宋" w:cs="Aptos"/>
        <w:b w:val="0"/>
        <w:i w:val="0"/>
        <w:color w:val="000000"/>
        <w:sz w:val="15"/>
        <w:szCs w:val="15"/>
      </w:rPr>
      <w:t>GPTI  |  使命品牌与业务体系</w:t>
    </w:r>
    <w:r>
      <w:rPr>
        <w:rFonts w:ascii="Aptos" w:hAnsi="Aptos" w:eastAsia="仿宋" w:cs="Aptos"/>
        <w:b w:val="0"/>
        <w:i w:val="0"/>
        <w:color w:val="000000"/>
        <w:sz w:val="15"/>
        <w:szCs w:val="15"/>
      </w:rPr>
      <w:tab/>
    </w:r>
    <w:r>
      <w:rPr>
        <w:rFonts w:ascii="Aptos" w:hAnsi="Aptos" w:eastAsia="仿宋" w:cs="Aptos"/>
        <w:b w:val="0"/>
        <w:i w:val="0"/>
        <w:color w:val="000000"/>
        <w:sz w:val="16"/>
        <w:szCs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000000"/>
      </w:pBdr>
    </w:pPr>
    <w:r>
      <w:rPr>
        <w:rFonts w:ascii="Aptos" w:hAnsi="Aptos" w:eastAsia="仿宋" w:cs="Aptos"/>
        <w:b/>
        <w:i w:val="0"/>
        <w:color w:val="000000"/>
        <w:sz w:val="15"/>
        <w:szCs w:val="15"/>
      </w:rPr>
      <w:t>GPTI</w:t>
    </w:r>
    <w:r>
      <w:rPr>
        <w:rFonts w:ascii="Aptos" w:hAnsi="Aptos" w:eastAsia="仿宋" w:cs="Aptos"/>
        <w:b w:val="0"/>
        <w:i w:val="0"/>
        <w:color w:val="000000"/>
        <w:sz w:val="15"/>
        <w:szCs w:val="15"/>
      </w:rPr>
      <w:t xml:space="preserve">  |  MISSION BRAND AND PROGRAMME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360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  <w:pPr>
        <w:ind w:left="360" w:hanging="360"/>
      </w:p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GPTI 使命品牌与业务体系</dc:title>
  <dc:subject>Global Prosperity and Transition Initiative founding strategy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