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eastAsia="Microsoft YaHei" w:cs="Aptos"/>
          <w:b/>
          <w:color w:val="6A6A6A"/>
          <w:sz w:val="17"/>
        </w:rPr>
        <w:t>GLOBAL PROSPERITY AND TRANSITION INITIATIVE</w:t>
      </w:r>
    </w:p>
    <w:p>
      <w:pPr>
        <w:spacing w:after="560"/>
        <w:pBdr>
          <w:bottom w:val="single" w:sz="16" w:space="1" w:color="111111"/>
        </w:pBdr>
      </w:pPr>
    </w:p>
    <w:p>
      <w:pPr>
        <w:pStyle w:val="Title"/>
      </w:pPr>
      <w:r>
        <w:t>美国 501(c)(3) 非营利机构设立、</w:t>
        <w:br/>
        <w:t>税务免除与联合国 ECOSOC</w:t>
        <w:br/>
        <w:t>咨商身份全流程操作手册</w:t>
      </w:r>
    </w:p>
    <w:p>
      <w:pPr>
        <w:pStyle w:val="Subtitle"/>
      </w:pPr>
      <w:r>
        <w:t>Colorado formation · federal tax exemption · cross-border operations · consultative status</w:t>
      </w:r>
    </w:p>
    <w:p>
      <w:r>
        <w:rPr>
          <w:rFonts w:ascii="Aptos" w:hAnsi="Aptos" w:eastAsia="FangSong" w:cs="Aptos"/>
          <w:color w:val="6A6A6A"/>
          <w:sz w:val="18"/>
        </w:rPr>
        <w:t>审核修订版  /  Version 1.0  /  2026-08-12</w:t>
      </w:r>
    </w:p>
    <w:p>
      <w:pPr>
        <w:spacing w:after="260"/>
      </w:pPr>
    </w:p>
    <w:tbl>
      <w:tblPr>
        <w:tblW w:type="dxa" w:w="9360"/>
        <w:jc w:val="center"/>
        <w:tblLayout w:type="fixed"/>
        <w:tblLook w:firstColumn="1" w:firstRow="1" w:lastColumn="0" w:lastRow="0" w:noHBand="0" w:noVBand="1" w:val="04A0"/>
        <w:tblInd w:w="120" w:type="dxa"/>
      </w:tblPr>
      <w:tblGrid>
        <w:gridCol w:w="4853"/>
        <w:gridCol w:w="4853"/>
      </w:tblGrid>
      <w:tr>
        <w:trPr>
          <w:cantSplit/>
        </w:trPr>
        <w:tc>
          <w:tcPr>
            <w:tcW w:type="dxa" w:w="4853"/>
            <w:tcMar>
              <w:top w:w="105" w:type="dxa"/>
              <w:start w:w="120" w:type="dxa"/>
              <w:bottom w:w="105" w:type="dxa"/>
              <w:end w:w="120" w:type="dxa"/>
            </w:tcMar>
            <w:tcBorders>
              <w:bottom w:val="single" w:sz="4" w:color="CFCFCF"/>
            </w:tcBorders>
          </w:tcPr>
          <w:p>
            <w:r>
              <w:rPr>
                <w:rFonts w:ascii="Aptos" w:hAnsi="Aptos" w:eastAsia="Microsoft YaHei" w:cs="Aptos"/>
                <w:b/>
                <w:color w:val="6A6A6A"/>
                <w:sz w:val="17"/>
              </w:rPr>
              <w:t>拟用法定名称</w:t>
            </w:r>
          </w:p>
        </w:tc>
        <w:tc>
          <w:tcPr>
            <w:tcW w:type="dxa" w:w="4853"/>
            <w:tcMar>
              <w:top w:w="105" w:type="dxa"/>
              <w:start w:w="120" w:type="dxa"/>
              <w:bottom w:w="105" w:type="dxa"/>
              <w:end w:w="120" w:type="dxa"/>
            </w:tcMar>
            <w:tcBorders>
              <w:bottom w:val="single" w:sz="4" w:color="CFCFCF"/>
            </w:tcBorders>
          </w:tcPr>
          <w:p>
            <w:r>
              <w:rPr>
                <w:rFonts w:ascii="Aptos" w:hAnsi="Aptos" w:eastAsia="FangSong" w:cs="Aptos"/>
                <w:b w:val="0"/>
                <w:color w:val="303030"/>
                <w:sz w:val="18"/>
              </w:rPr>
              <w:t>Global Prosperity and Transition Initiative, Inc.</w:t>
            </w:r>
          </w:p>
        </w:tc>
      </w:tr>
      <w:tr>
        <w:trPr>
          <w:cantSplit/>
        </w:trPr>
        <w:tc>
          <w:tcPr>
            <w:tcW w:type="dxa" w:w="4853"/>
            <w:tcMar>
              <w:top w:w="105" w:type="dxa"/>
              <w:start w:w="120" w:type="dxa"/>
              <w:bottom w:w="105" w:type="dxa"/>
              <w:end w:w="120" w:type="dxa"/>
            </w:tcMar>
            <w:tcBorders>
              <w:bottom w:val="single" w:sz="4" w:color="CFCFCF"/>
            </w:tcBorders>
          </w:tcPr>
          <w:p>
            <w:r>
              <w:rPr>
                <w:rFonts w:ascii="Aptos" w:hAnsi="Aptos" w:eastAsia="Microsoft YaHei" w:cs="Aptos"/>
                <w:b/>
                <w:color w:val="6A6A6A"/>
                <w:sz w:val="17"/>
              </w:rPr>
              <w:t>拟用品牌</w:t>
            </w:r>
          </w:p>
        </w:tc>
        <w:tc>
          <w:tcPr>
            <w:tcW w:type="dxa" w:w="4853"/>
            <w:tcMar>
              <w:top w:w="105" w:type="dxa"/>
              <w:start w:w="120" w:type="dxa"/>
              <w:bottom w:w="105" w:type="dxa"/>
              <w:end w:w="120" w:type="dxa"/>
            </w:tcMar>
            <w:tcBorders>
              <w:bottom w:val="single" w:sz="4" w:color="CFCFCF"/>
            </w:tcBorders>
          </w:tcPr>
          <w:p>
            <w:r>
              <w:rPr>
                <w:rFonts w:ascii="Aptos" w:hAnsi="Aptos" w:eastAsia="FangSong" w:cs="Aptos"/>
                <w:b w:val="0"/>
                <w:color w:val="303030"/>
                <w:sz w:val="18"/>
              </w:rPr>
              <w:t>The Climate Passport — 暂缓作为 DBA，先完成关联交易与知识产权结构审查</w:t>
            </w:r>
          </w:p>
        </w:tc>
      </w:tr>
      <w:tr>
        <w:trPr>
          <w:cantSplit/>
        </w:trPr>
        <w:tc>
          <w:tcPr>
            <w:tcW w:type="dxa" w:w="4853"/>
            <w:tcMar>
              <w:top w:w="105" w:type="dxa"/>
              <w:start w:w="120" w:type="dxa"/>
              <w:bottom w:w="105" w:type="dxa"/>
              <w:end w:w="120" w:type="dxa"/>
            </w:tcMar>
            <w:tcBorders>
              <w:bottom w:val="single" w:sz="4" w:color="CFCFCF"/>
            </w:tcBorders>
          </w:tcPr>
          <w:p>
            <w:r>
              <w:rPr>
                <w:rFonts w:ascii="Aptos" w:hAnsi="Aptos" w:eastAsia="Microsoft YaHei" w:cs="Aptos"/>
                <w:b/>
                <w:color w:val="6A6A6A"/>
                <w:sz w:val="17"/>
              </w:rPr>
              <w:t>主域名</w:t>
            </w:r>
          </w:p>
        </w:tc>
        <w:tc>
          <w:tcPr>
            <w:tcW w:type="dxa" w:w="4853"/>
            <w:tcMar>
              <w:top w:w="105" w:type="dxa"/>
              <w:start w:w="120" w:type="dxa"/>
              <w:bottom w:w="105" w:type="dxa"/>
              <w:end w:w="120" w:type="dxa"/>
            </w:tcMar>
            <w:tcBorders>
              <w:bottom w:val="single" w:sz="4" w:color="CFCFCF"/>
            </w:tcBorders>
          </w:tcPr>
          <w:p>
            <w:r>
              <w:rPr>
                <w:rFonts w:ascii="Aptos" w:hAnsi="Aptos" w:eastAsia="FangSong" w:cs="Aptos"/>
                <w:b w:val="0"/>
                <w:color w:val="303030"/>
                <w:sz w:val="18"/>
              </w:rPr>
              <w:t>gptinitiative.org</w:t>
            </w:r>
          </w:p>
        </w:tc>
      </w:tr>
      <w:tr>
        <w:trPr>
          <w:cantSplit/>
        </w:trPr>
        <w:tc>
          <w:tcPr>
            <w:tcW w:type="dxa" w:w="4853"/>
            <w:tcMar>
              <w:top w:w="105" w:type="dxa"/>
              <w:start w:w="120" w:type="dxa"/>
              <w:bottom w:w="105" w:type="dxa"/>
              <w:end w:w="120" w:type="dxa"/>
            </w:tcMar>
            <w:tcBorders>
              <w:bottom w:val="single" w:sz="4" w:color="CFCFCF"/>
            </w:tcBorders>
          </w:tcPr>
          <w:p>
            <w:r>
              <w:rPr>
                <w:rFonts w:ascii="Aptos" w:hAnsi="Aptos" w:eastAsia="Microsoft YaHei" w:cs="Aptos"/>
                <w:b/>
                <w:color w:val="6A6A6A"/>
                <w:sz w:val="17"/>
              </w:rPr>
              <w:t>拟注册法域</w:t>
            </w:r>
          </w:p>
        </w:tc>
        <w:tc>
          <w:tcPr>
            <w:tcW w:type="dxa" w:w="4853"/>
            <w:tcMar>
              <w:top w:w="105" w:type="dxa"/>
              <w:start w:w="120" w:type="dxa"/>
              <w:bottom w:w="105" w:type="dxa"/>
              <w:end w:w="120" w:type="dxa"/>
            </w:tcMar>
            <w:tcBorders>
              <w:bottom w:val="single" w:sz="4" w:color="CFCFCF"/>
            </w:tcBorders>
          </w:tcPr>
          <w:p>
            <w:r>
              <w:rPr>
                <w:rFonts w:ascii="Aptos" w:hAnsi="Aptos" w:eastAsia="FangSong" w:cs="Aptos"/>
                <w:b w:val="0"/>
                <w:color w:val="303030"/>
                <w:sz w:val="18"/>
              </w:rPr>
              <w:t>State of Colorado, United States</w:t>
            </w:r>
          </w:p>
        </w:tc>
      </w:tr>
      <w:tr>
        <w:trPr>
          <w:cantSplit/>
        </w:trPr>
        <w:tc>
          <w:tcPr>
            <w:tcW w:type="dxa" w:w="4853"/>
            <w:tcMar>
              <w:top w:w="105" w:type="dxa"/>
              <w:start w:w="120" w:type="dxa"/>
              <w:bottom w:w="105" w:type="dxa"/>
              <w:end w:w="120" w:type="dxa"/>
            </w:tcMar>
            <w:tcBorders>
              <w:bottom w:val="single" w:sz="4" w:color="CFCFCF"/>
            </w:tcBorders>
          </w:tcPr>
          <w:p>
            <w:r>
              <w:rPr>
                <w:rFonts w:ascii="Aptos" w:hAnsi="Aptos" w:eastAsia="Microsoft YaHei" w:cs="Aptos"/>
                <w:b/>
                <w:color w:val="6A6A6A"/>
                <w:sz w:val="17"/>
              </w:rPr>
              <w:t>建议税务年度</w:t>
            </w:r>
          </w:p>
        </w:tc>
        <w:tc>
          <w:tcPr>
            <w:tcW w:type="dxa" w:w="4853"/>
            <w:tcMar>
              <w:top w:w="105" w:type="dxa"/>
              <w:start w:w="120" w:type="dxa"/>
              <w:bottom w:w="105" w:type="dxa"/>
              <w:end w:w="120" w:type="dxa"/>
            </w:tcMar>
            <w:tcBorders>
              <w:bottom w:val="single" w:sz="4" w:color="CFCFCF"/>
            </w:tcBorders>
          </w:tcPr>
          <w:p>
            <w:r>
              <w:rPr>
                <w:rFonts w:ascii="Aptos" w:hAnsi="Aptos" w:eastAsia="FangSong" w:cs="Aptos"/>
                <w:b w:val="0"/>
                <w:color w:val="303030"/>
                <w:sz w:val="18"/>
              </w:rPr>
              <w:t>Calendar year ending December 31</w:t>
            </w:r>
          </w:p>
        </w:tc>
      </w:tr>
    </w:tbl>
    <w:p>
      <w:pPr>
        <w:spacing w:after="200"/>
      </w:pPr>
    </w:p>
    <w:tbl>
      <w:tblPr>
        <w:tblW w:type="dxa" w:w="9360"/>
        <w:jc w:val="center"/>
        <w:tblLayout w:type="fixed"/>
        <w:tblLook w:firstColumn="1" w:firstRow="1" w:lastColumn="0" w:lastRow="0" w:noHBand="0" w:noVBand="1" w:val="04A0"/>
        <w:tblInd w:w="120" w:type="dxa"/>
      </w:tblPr>
      <w:tblGrid>
        <w:gridCol w:w="9706"/>
      </w:tblGrid>
      <w:tr>
        <w:tc>
          <w:tcPr>
            <w:tcW w:type="dxa" w:w="9706"/>
            <w:shd w:fill="EDEDED"/>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使用边界  </w:t>
            </w:r>
            <w:r>
              <w:rPr>
                <w:rFonts w:ascii="Aptos" w:hAnsi="Aptos" w:eastAsia="FangSong" w:cs="Aptos"/>
                <w:b w:val="0"/>
                <w:color w:val="303030"/>
                <w:sz w:val="19"/>
              </w:rPr>
              <w:t>本手册是基于截至 2026 年 8 月 12 日官方资料形成的执行底稿，不替代美国非营利律师、税务师/CPA、中国境外 NGO 律师或数据合规律师的个案意见。凡标注“停止条件”的事项，不应在专业复核前提交、签约、募资或付款。</w:t>
            </w:r>
          </w:p>
        </w:tc>
      </w:tr>
    </w:tbl>
    <w:p>
      <w:pPr>
        <w:spacing w:after="0"/>
      </w:pPr>
    </w:p>
    <w:p>
      <w:pPr>
        <w:jc w:val="right"/>
      </w:pPr>
      <w:r>
        <w:rPr>
          <w:rFonts w:ascii="Aptos" w:hAnsi="Aptos" w:eastAsia="FangSong" w:cs="Aptos"/>
          <w:color w:val="6A6A6A"/>
          <w:sz w:val="17"/>
        </w:rPr>
        <w:t>编排：黑白高精 · 中文仿宋 · 英文 Aptos · Letter 尺寸</w:t>
      </w:r>
    </w:p>
    <w:p>
      <w:r>
        <w:br w:type="page"/>
      </w:r>
    </w:p>
    <w:p>
      <w:pPr>
        <w:pStyle w:val="Heading1"/>
      </w:pPr>
      <w:r>
        <w:rPr>
          <w:rFonts w:ascii="Aptos" w:hAnsi="Aptos" w:eastAsia="FangSong" w:cs="Aptos"/>
        </w:rPr>
        <w:t>先读：本次审查的结论</w:t>
      </w:r>
    </w:p>
    <w:p>
      <w:r>
        <w:rPr>
          <w:rFonts w:ascii="Aptos" w:hAnsi="Aptos" w:eastAsia="FangSong" w:cs="Aptos"/>
        </w:rPr>
        <w:t>原草案的总体方向可行，但有若干会导致退件、KYC 受阻、免税风险或中国境内违法运营的关键错误。以下结论优先于后文所有步骤。</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266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原草案表述</w:t>
            </w:r>
          </w:p>
        </w:tc>
        <w:tc>
          <w:tcPr>
            <w:tcW w:type="dxa" w:w="612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核准后的操作结论</w:t>
            </w:r>
          </w:p>
        </w:tc>
        <w:tc>
          <w:tcPr>
            <w:tcW w:type="dxa" w:w="79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影响等级</w:t>
            </w:r>
          </w:p>
        </w:tc>
      </w:tr>
      <w:tr>
        <w:trPr>
          <w:cantSplit/>
        </w:trPr>
        <w:tc>
          <w:tcPr>
            <w:tcW w:type="dxa" w:w="266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公司名必须带 Inc.</w:t>
            </w:r>
          </w:p>
        </w:tc>
        <w:tc>
          <w:tcPr>
            <w:tcW w:type="dxa" w:w="61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Colorado 非营利公司不强制带 Inc.；本项目可以保留 Inc. 作为名称选择。</w:t>
            </w:r>
          </w:p>
        </w:tc>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中</w:t>
            </w:r>
          </w:p>
        </w:tc>
      </w:tr>
      <w:tr>
        <w:trPr>
          <w:cantSplit/>
        </w:trPr>
        <w:tc>
          <w:tcPr>
            <w:tcW w:type="dxa" w:w="266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Articles 有 Authorized Shares 字段</w:t>
            </w:r>
          </w:p>
        </w:tc>
        <w:tc>
          <w:tcPr>
            <w:tcW w:type="dxa" w:w="61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当前 Colorado 非营利 Articles 表单没有股份授权字段；不要寻找或伪造该选项。</w:t>
            </w:r>
          </w:p>
        </w:tc>
        <w:tc>
          <w:tcPr>
            <w:tcW w:type="dxa" w:w="7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高</w:t>
            </w:r>
          </w:p>
        </w:tc>
      </w:tr>
      <w:tr>
        <w:trPr>
          <w:cantSplit/>
        </w:trPr>
        <w:tc>
          <w:tcPr>
            <w:tcW w:type="dxa" w:w="266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目的与解散条款都贴入 Additional Provisions</w:t>
            </w:r>
          </w:p>
        </w:tc>
        <w:tc>
          <w:tcPr>
            <w:tcW w:type="dxa" w:w="61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解散条款使用表单自带的 dissolution 文本框；目的、限制性条款作为 Additional Information 附件。</w:t>
            </w:r>
          </w:p>
        </w:tc>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高</w:t>
            </w:r>
          </w:p>
        </w:tc>
      </w:tr>
      <w:tr>
        <w:trPr>
          <w:cantSplit/>
        </w:trPr>
        <w:tc>
          <w:tcPr>
            <w:tcW w:type="dxa" w:w="266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虚拟办公室 + 租约即可保证银行开户</w:t>
            </w:r>
          </w:p>
        </w:tc>
        <w:tc>
          <w:tcPr>
            <w:tcW w:type="dxa" w:w="61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银行独立进行 CIP/KYC；CMRA 地址和租约不保证通过。先向拟开户分行书面/电话预核。</w:t>
            </w:r>
          </w:p>
        </w:tc>
        <w:tc>
          <w:tcPr>
            <w:tcW w:type="dxa" w:w="7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高</w:t>
            </w:r>
          </w:p>
        </w:tc>
      </w:tr>
      <w:tr>
        <w:trPr>
          <w:cantSplit/>
        </w:trPr>
        <w:tc>
          <w:tcPr>
            <w:tcW w:type="dxa" w:w="266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有 ITIN 即可在线申请 EIN</w:t>
            </w:r>
          </w:p>
        </w:tc>
        <w:tc>
          <w:tcPr>
            <w:tcW w:type="dxa" w:w="61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只有实际 principal business/office/agency 在美国或领地时才能在线。实际运营中心若在上海，应走国际电话、传真或邮寄 SS-4。</w:t>
            </w:r>
          </w:p>
        </w:tc>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高</w:t>
            </w:r>
          </w:p>
        </w:tc>
      </w:tr>
      <w:tr>
        <w:trPr>
          <w:cantSplit/>
        </w:trPr>
        <w:tc>
          <w:tcPr>
            <w:tcW w:type="dxa" w:w="266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Form 1023-EZ 因有海外项目而绝对不可用</w:t>
            </w:r>
          </w:p>
        </w:tc>
        <w:tc>
          <w:tcPr>
            <w:tcW w:type="dxa" w:w="61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海外活动本身并非自动排除项；但跨境、关联 IP、商业赞助与 ECOSOC 目标使完整 Form 1023 更稳妥。</w:t>
            </w:r>
          </w:p>
        </w:tc>
        <w:tc>
          <w:tcPr>
            <w:tcW w:type="dxa" w:w="7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高</w:t>
            </w:r>
          </w:p>
        </w:tc>
      </w:tr>
      <w:tr>
        <w:trPr>
          <w:cantSplit/>
        </w:trPr>
        <w:tc>
          <w:tcPr>
            <w:tcW w:type="dxa" w:w="266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Form 1023 Part VIII / Schedule F 是海外活动</w:t>
            </w:r>
          </w:p>
        </w:tc>
        <w:tc>
          <w:tcPr>
            <w:tcW w:type="dxa" w:w="61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现行 Form 1023 的海外活动问题在 Part IV；Form 1023 Schedule F 是低收入住房。Form 990 Schedule F 才是年度海外活动附表。</w:t>
            </w:r>
          </w:p>
        </w:tc>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高</w:t>
            </w:r>
          </w:p>
        </w:tc>
      </w:tr>
      <w:tr>
        <w:trPr>
          <w:cantSplit/>
        </w:trPr>
        <w:tc>
          <w:tcPr>
            <w:tcW w:type="dxa" w:w="266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境外拨款必须做 Expenditure Responsibility</w:t>
            </w:r>
          </w:p>
        </w:tc>
        <w:tc>
          <w:tcPr>
            <w:tcW w:type="dxa" w:w="61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法定 ER 主要是私人基金会规则。公共慈善机构应保留 control and discretion，并用尽调、合同、预算、报告、审计与追回条款管理。</w:t>
            </w:r>
          </w:p>
        </w:tc>
        <w:tc>
          <w:tcPr>
            <w:tcW w:type="dxa" w:w="7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高</w:t>
            </w:r>
          </w:p>
        </w:tc>
      </w:tr>
      <w:tr>
        <w:trPr>
          <w:cantSplit/>
        </w:trPr>
        <w:tc>
          <w:tcPr>
            <w:tcW w:type="dxa" w:w="266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严禁提及任何政策影响或 lobbying</w:t>
            </w:r>
          </w:p>
        </w:tc>
        <w:tc>
          <w:tcPr>
            <w:tcW w:type="dxa" w:w="61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政治竞选介入绝对禁止；有限游说可被允许，并可考虑 501(h) 选择。申请中必须如实披露，不能用措辞掩盖实际活动。</w:t>
            </w:r>
          </w:p>
        </w:tc>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高</w:t>
            </w:r>
          </w:p>
        </w:tc>
      </w:tr>
      <w:tr>
        <w:trPr>
          <w:cantSplit/>
        </w:trPr>
        <w:tc>
          <w:tcPr>
            <w:tcW w:type="dxa" w:w="266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冲突政策是免税审批强制条件</w:t>
            </w:r>
          </w:p>
        </w:tc>
        <w:tc>
          <w:tcPr>
            <w:tcW w:type="dxa" w:w="61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IRS 强烈建议但并非取得豁免的法定前置条件；本项目因关联商业品牌，事实上应在申请前采用并执行。</w:t>
            </w:r>
          </w:p>
        </w:tc>
        <w:tc>
          <w:tcPr>
            <w:tcW w:type="dxa" w:w="7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中</w:t>
            </w:r>
          </w:p>
        </w:tc>
      </w:tr>
      <w:tr>
        <w:trPr>
          <w:cantSplit/>
        </w:trPr>
        <w:tc>
          <w:tcPr>
            <w:tcW w:type="dxa" w:w="266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免税自动追溯成立日</w:t>
            </w:r>
          </w:p>
        </w:tc>
        <w:tc>
          <w:tcPr>
            <w:tcW w:type="dxa" w:w="61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一般须在成立月份结束后 27 个月内及时提交并获批，才可取得自成立日起的效力；不是无条件自动追溯。</w:t>
            </w:r>
          </w:p>
        </w:tc>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高</w:t>
            </w:r>
          </w:p>
        </w:tc>
      </w:tr>
      <w:tr>
        <w:trPr>
          <w:cantSplit/>
        </w:trPr>
        <w:tc>
          <w:tcPr>
            <w:tcW w:type="dxa" w:w="266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现在成立，2028 年即可报 ECOSOC</w:t>
            </w:r>
          </w:p>
        </w:tc>
        <w:tc>
          <w:tcPr>
            <w:tcW w:type="dxa" w:w="61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若 2026-08 成立，2028-06-01 尚未满两年；最早截止日为 2029-06-01，通常 2030 年进入审议。</w:t>
            </w:r>
          </w:p>
        </w:tc>
        <w:tc>
          <w:tcPr>
            <w:tcW w:type="dxa" w:w="7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高</w:t>
            </w:r>
          </w:p>
        </w:tc>
      </w:tr>
      <w:tr>
        <w:trPr>
          <w:cantSplit/>
        </w:trPr>
        <w:tc>
          <w:tcPr>
            <w:tcW w:type="dxa" w:w="266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取得美国身份后可直接在上海办项目</w:t>
            </w:r>
          </w:p>
        </w:tc>
        <w:tc>
          <w:tcPr>
            <w:tcW w:type="dxa" w:w="61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美国非营利属于中国法下的境外 NGO；需代表机构登记或与合格中方合作单位办理临时活动备案。</w:t>
            </w:r>
          </w:p>
        </w:tc>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极高</w:t>
            </w:r>
          </w:p>
        </w:tc>
      </w:tr>
    </w:tbl>
    <w:p>
      <w:pPr>
        <w:spacing w:after="0"/>
      </w:pPr>
    </w:p>
    <w:tbl>
      <w:tblPr>
        <w:tblW w:type="dxa" w:w="9360"/>
        <w:jc w:val="center"/>
        <w:tblLayout w:type="fixed"/>
        <w:tblLook w:firstColumn="1" w:firstRow="1" w:lastColumn="0" w:lastRow="0" w:noHBand="0" w:noVBand="1" w:val="04A0"/>
        <w:tblInd w:w="120" w:type="dxa"/>
      </w:tblPr>
      <w:tblGrid>
        <w:gridCol w:w="9706"/>
      </w:tblGrid>
      <w:tr>
        <w:tc>
          <w:tcPr>
            <w:tcW w:type="dxa" w:w="9706"/>
            <w:shd w:fill="EDEDED"/>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最高优先级  </w:t>
            </w:r>
            <w:r>
              <w:rPr>
                <w:rFonts w:ascii="Aptos" w:hAnsi="Aptos" w:eastAsia="FangSong" w:cs="Aptos"/>
                <w:b w:val="0"/>
                <w:color w:val="303030"/>
                <w:sz w:val="19"/>
              </w:rPr>
              <w:t>不要先备案 The Climate Passport 为 GPTI 的 DBA。您已将其定位为可商业化项目；若其商业实体、创始人或关联方从 GPTI 的捐款、员工、品牌、数据或合同中获益，可能构成 private benefit、inurement 或 excess benefit transaction。先选定并书面化双实体结构。</w:t>
            </w:r>
          </w:p>
        </w:tc>
      </w:tr>
    </w:tbl>
    <w:p>
      <w:pPr>
        <w:spacing w:after="0"/>
      </w:pPr>
    </w:p>
    <w:p>
      <w:pPr>
        <w:pStyle w:val="Heading2"/>
      </w:pPr>
      <w:r>
        <w:rPr>
          <w:rFonts w:ascii="Aptos" w:hAnsi="Aptos" w:eastAsia="FangSong" w:cs="Aptos"/>
        </w:rPr>
        <w:t>阅读标识</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1152"/>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标识</w:t>
            </w:r>
          </w:p>
        </w:tc>
        <w:tc>
          <w:tcPr>
            <w:tcW w:type="dxa" w:w="4608"/>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含义</w:t>
            </w:r>
          </w:p>
        </w:tc>
        <w:tc>
          <w:tcPr>
            <w:tcW w:type="dxa" w:w="3816"/>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行动</w:t>
            </w:r>
          </w:p>
        </w:tc>
      </w:tr>
      <w:tr>
        <w:trPr>
          <w:cantSplit/>
        </w:trPr>
        <w:tc>
          <w:tcPr>
            <w:tcW w:type="dxa" w:w="11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执行</w:t>
            </w:r>
          </w:p>
        </w:tc>
        <w:tc>
          <w:tcPr>
            <w:tcW w:type="dxa" w:w="46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可依官方入口和本手册直接操作</w:t>
            </w:r>
          </w:p>
        </w:tc>
        <w:tc>
          <w:tcPr>
            <w:tcW w:type="dxa" w:w="381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保存回执、时间戳和最终 PDF</w:t>
            </w:r>
          </w:p>
        </w:tc>
      </w:tr>
      <w:tr>
        <w:trPr>
          <w:cantSplit/>
        </w:trPr>
        <w:tc>
          <w:tcPr>
            <w:tcW w:type="dxa" w:w="11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确认</w:t>
            </w:r>
          </w:p>
        </w:tc>
        <w:tc>
          <w:tcPr>
            <w:tcW w:type="dxa" w:w="46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须由服务商、银行或门户确认当前条件</w:t>
            </w:r>
          </w:p>
        </w:tc>
        <w:tc>
          <w:tcPr>
            <w:tcW w:type="dxa" w:w="381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提交前取得截图、邮件或通话记录</w:t>
            </w:r>
          </w:p>
        </w:tc>
      </w:tr>
      <w:tr>
        <w:trPr>
          <w:cantSplit/>
        </w:trPr>
        <w:tc>
          <w:tcPr>
            <w:tcW w:type="dxa" w:w="11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停止条件</w:t>
            </w:r>
          </w:p>
        </w:tc>
        <w:tc>
          <w:tcPr>
            <w:tcW w:type="dxa" w:w="46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错误选择会改变法律/税务结果</w:t>
            </w:r>
          </w:p>
        </w:tc>
        <w:tc>
          <w:tcPr>
            <w:tcW w:type="dxa" w:w="381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律师、CPA 或董事会书面决定后再继续</w:t>
            </w:r>
          </w:p>
        </w:tc>
      </w:tr>
      <w:tr>
        <w:trPr>
          <w:cantSplit/>
        </w:trPr>
        <w:tc>
          <w:tcPr>
            <w:tcW w:type="dxa" w:w="11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每年</w:t>
            </w:r>
          </w:p>
        </w:tc>
        <w:tc>
          <w:tcPr>
            <w:tcW w:type="dxa" w:w="46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持续合规，不因取得 501(c)(3) 或 ECOSOC 而终止</w:t>
            </w:r>
          </w:p>
        </w:tc>
        <w:tc>
          <w:tcPr>
            <w:tcW w:type="dxa" w:w="381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录入合规日历并指定责任人</w:t>
            </w:r>
          </w:p>
        </w:tc>
      </w:tr>
    </w:tbl>
    <w:p>
      <w:pPr>
        <w:spacing w:after="0"/>
      </w:pPr>
    </w:p>
    <w:p>
      <w:pPr>
        <w:pStyle w:val="Heading2"/>
      </w:pPr>
      <w:r>
        <w:rPr>
          <w:rFonts w:ascii="Aptos" w:hAnsi="Aptos" w:eastAsia="FangSong" w:cs="Aptos"/>
        </w:rPr>
        <w:t>手册目录</w:t>
      </w:r>
    </w:p>
    <w:tbl>
      <w:tblPr>
        <w:tblW w:type="dxa" w:w="9360"/>
        <w:tblLayout w:type="fixed"/>
        <w:tblLook w:firstColumn="1" w:firstRow="1" w:lastColumn="0" w:lastRow="0" w:noHBand="0" w:noVBand="1" w:val="04A0"/>
        <w:jc w:val="center"/>
        <w:tblInd w:w="120" w:type="dxa"/>
      </w:tblPr>
      <w:tblGrid>
        <w:gridCol w:w="2426"/>
        <w:gridCol w:w="2426"/>
        <w:gridCol w:w="2426"/>
        <w:gridCol w:w="2426"/>
      </w:tblGrid>
      <w:tr>
        <w:trPr>
          <w:tblHeader w:val="true"/>
          <w:cantSplit/>
        </w:trPr>
        <w:tc>
          <w:tcPr>
            <w:tcW w:type="dxa" w:w="792"/>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模块</w:t>
            </w:r>
          </w:p>
        </w:tc>
        <w:tc>
          <w:tcPr>
            <w:tcW w:type="dxa" w:w="3960"/>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内容</w:t>
            </w:r>
          </w:p>
        </w:tc>
        <w:tc>
          <w:tcPr>
            <w:tcW w:type="dxa" w:w="792"/>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模块</w:t>
            </w:r>
          </w:p>
        </w:tc>
        <w:tc>
          <w:tcPr>
            <w:tcW w:type="dxa" w:w="3960"/>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内容</w:t>
            </w:r>
          </w:p>
        </w:tc>
      </w:tr>
      <w:tr>
        <w:trPr>
          <w:cantSplit/>
        </w:trPr>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00</w:t>
            </w:r>
          </w:p>
        </w:tc>
        <w:tc>
          <w:tcPr>
            <w:tcW w:type="dxa" w:w="39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结构闸门：GPTI 与 Climate Passport</w:t>
            </w:r>
          </w:p>
        </w:tc>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01</w:t>
            </w:r>
          </w:p>
        </w:tc>
        <w:tc>
          <w:tcPr>
            <w:tcW w:type="dxa" w:w="39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地址、注册代理人与文件基础设施</w:t>
            </w:r>
          </w:p>
        </w:tc>
      </w:tr>
      <w:tr>
        <w:trPr>
          <w:cantSplit/>
        </w:trPr>
        <w:tc>
          <w:tcPr>
            <w:tcW w:type="dxa" w:w="7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02</w:t>
            </w:r>
          </w:p>
        </w:tc>
        <w:tc>
          <w:tcPr>
            <w:tcW w:type="dxa" w:w="396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名称、商标与域名查验</w:t>
            </w:r>
          </w:p>
        </w:tc>
        <w:tc>
          <w:tcPr>
            <w:tcW w:type="dxa" w:w="7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03</w:t>
            </w:r>
          </w:p>
        </w:tc>
        <w:tc>
          <w:tcPr>
            <w:tcW w:type="dxa" w:w="396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Colorado Articles of Incorporation</w:t>
            </w:r>
          </w:p>
        </w:tc>
      </w:tr>
      <w:tr>
        <w:trPr>
          <w:cantSplit/>
        </w:trPr>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04</w:t>
            </w:r>
          </w:p>
        </w:tc>
        <w:tc>
          <w:tcPr>
            <w:tcW w:type="dxa" w:w="39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董事会、章程与初始组织决议</w:t>
            </w:r>
          </w:p>
        </w:tc>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05</w:t>
            </w:r>
          </w:p>
        </w:tc>
        <w:tc>
          <w:tcPr>
            <w:tcW w:type="dxa" w:w="39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EIN：在线或国际 SS-4 路径</w:t>
            </w:r>
          </w:p>
        </w:tc>
      </w:tr>
      <w:tr>
        <w:trPr>
          <w:cantSplit/>
        </w:trPr>
        <w:tc>
          <w:tcPr>
            <w:tcW w:type="dxa" w:w="7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06</w:t>
            </w:r>
          </w:p>
        </w:tc>
        <w:tc>
          <w:tcPr>
            <w:tcW w:type="dxa" w:w="396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DBA：仅在结构审查通过后</w:t>
            </w:r>
          </w:p>
        </w:tc>
        <w:tc>
          <w:tcPr>
            <w:tcW w:type="dxa" w:w="7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07</w:t>
            </w:r>
          </w:p>
        </w:tc>
        <w:tc>
          <w:tcPr>
            <w:tcW w:type="dxa" w:w="396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银行开户与财务内控</w:t>
            </w:r>
          </w:p>
        </w:tc>
      </w:tr>
      <w:tr>
        <w:trPr>
          <w:cantSplit/>
        </w:trPr>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08</w:t>
            </w:r>
          </w:p>
        </w:tc>
        <w:tc>
          <w:tcPr>
            <w:tcW w:type="dxa" w:w="39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Colorado 慈善募资登记</w:t>
            </w:r>
          </w:p>
        </w:tc>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09</w:t>
            </w:r>
          </w:p>
        </w:tc>
        <w:tc>
          <w:tcPr>
            <w:tcW w:type="dxa" w:w="39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完整 Form 1023 逐部分填报</w:t>
            </w:r>
          </w:p>
        </w:tc>
      </w:tr>
      <w:tr>
        <w:trPr>
          <w:cantSplit/>
        </w:trPr>
        <w:tc>
          <w:tcPr>
            <w:tcW w:type="dxa" w:w="7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10</w:t>
            </w:r>
          </w:p>
        </w:tc>
        <w:tc>
          <w:tcPr>
            <w:tcW w:type="dxa" w:w="396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审理期间与批复后的动作</w:t>
            </w:r>
          </w:p>
        </w:tc>
        <w:tc>
          <w:tcPr>
            <w:tcW w:type="dxa" w:w="7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11</w:t>
            </w:r>
          </w:p>
        </w:tc>
        <w:tc>
          <w:tcPr>
            <w:tcW w:type="dxa" w:w="396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跨州募资、赞助与收据</w:t>
            </w:r>
          </w:p>
        </w:tc>
      </w:tr>
      <w:tr>
        <w:trPr>
          <w:cantSplit/>
        </w:trPr>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12</w:t>
            </w:r>
          </w:p>
        </w:tc>
        <w:tc>
          <w:tcPr>
            <w:tcW w:type="dxa" w:w="39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海外项目、OFAC 与中国境内活动</w:t>
            </w:r>
          </w:p>
        </w:tc>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13</w:t>
            </w:r>
          </w:p>
        </w:tc>
        <w:tc>
          <w:tcPr>
            <w:tcW w:type="dxa" w:w="39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未成年人、数据与跨境传输</w:t>
            </w:r>
          </w:p>
        </w:tc>
      </w:tr>
      <w:tr>
        <w:trPr>
          <w:cantSplit/>
        </w:trPr>
        <w:tc>
          <w:tcPr>
            <w:tcW w:type="dxa" w:w="7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14</w:t>
            </w:r>
          </w:p>
        </w:tc>
        <w:tc>
          <w:tcPr>
            <w:tcW w:type="dxa" w:w="396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年度税务、州务与董事会合规</w:t>
            </w:r>
          </w:p>
        </w:tc>
        <w:tc>
          <w:tcPr>
            <w:tcW w:type="dxa" w:w="7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15</w:t>
            </w:r>
          </w:p>
        </w:tc>
        <w:tc>
          <w:tcPr>
            <w:tcW w:type="dxa" w:w="396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联合国 iCSO / ECOSOC 咨商身份</w:t>
            </w:r>
          </w:p>
        </w:tc>
      </w:tr>
      <w:tr>
        <w:trPr>
          <w:cantSplit/>
        </w:trPr>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16</w:t>
            </w:r>
          </w:p>
        </w:tc>
        <w:tc>
          <w:tcPr>
            <w:tcW w:type="dxa" w:w="39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90 天、24 个月与 2030 路线图</w:t>
            </w:r>
          </w:p>
        </w:tc>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A–K</w:t>
            </w:r>
          </w:p>
        </w:tc>
        <w:tc>
          <w:tcPr>
            <w:tcW w:type="dxa" w:w="39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可复制模板与官方来源索引</w:t>
            </w:r>
          </w:p>
        </w:tc>
      </w:tr>
      <w:tr>
        <w:trPr>
          <w:cantSplit/>
        </w:trPr>
        <w:tc>
          <w:tcPr>
            <w:tcW w:type="dxa" w:w="7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A–K</w:t>
            </w:r>
          </w:p>
        </w:tc>
        <w:tc>
          <w:tcPr>
            <w:tcW w:type="dxa" w:w="396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可复制模板与官方来源索引</w:t>
            </w:r>
          </w:p>
        </w:tc>
        <w:tc>
          <w:tcPr>
            <w:tcW w:type="dxa" w:w="7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r>
          </w:p>
        </w:tc>
        <w:tc>
          <w:tcPr>
            <w:tcW w:type="dxa" w:w="396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r>
          </w:p>
        </w:tc>
      </w:tr>
    </w:tbl>
    <w:p>
      <w:pPr>
        <w:spacing w:after="0"/>
      </w:pPr>
    </w:p>
    <w:p>
      <w:r>
        <w:br w:type="page"/>
      </w:r>
    </w:p>
    <w:p>
      <w:pPr>
        <w:pStyle w:val="Heading2"/>
      </w:pPr>
      <w:r>
        <w:rPr>
          <w:rFonts w:ascii="Aptos" w:hAnsi="Aptos" w:eastAsia="FangSong" w:cs="Aptos"/>
        </w:rPr>
        <w:t>启动前总清单</w:t>
      </w:r>
    </w:p>
    <w:p>
      <w:pPr>
        <w:pStyle w:val="ListBullet"/>
      </w:pPr>
      <w:r>
        <w:rPr>
          <w:rFonts w:ascii="Aptos" w:hAnsi="Aptos" w:eastAsia="FangSong" w:cs="Aptos"/>
        </w:rPr>
        <w:t>☐ 董事会已决定：GPTI 是否完全独立于商业 Climate Passport；知识产权归属与许可路径已形成书面图。</w:t>
      </w:r>
    </w:p>
    <w:p>
      <w:pPr>
        <w:pStyle w:val="ListBullet"/>
      </w:pPr>
      <w:r>
        <w:rPr>
          <w:rFonts w:ascii="Aptos" w:hAnsi="Aptos" w:eastAsia="FangSong" w:cs="Aptos"/>
        </w:rPr>
        <w:t>☐ 至少 3 名、建议 3–5 名董事候选人已确认；多数独立且无亲属、雇佣、投资或供应商关系。</w:t>
      </w:r>
    </w:p>
    <w:p>
      <w:pPr>
        <w:pStyle w:val="ListBullet"/>
      </w:pPr>
      <w:r>
        <w:rPr>
          <w:rFonts w:ascii="Aptos" w:hAnsi="Aptos" w:eastAsia="FangSong" w:cs="Aptos"/>
        </w:rPr>
        <w:t>☐ 已确认真实 principal office / principal place of business，不把收信地址虚构成经营中心。</w:t>
      </w:r>
    </w:p>
    <w:p>
      <w:pPr>
        <w:pStyle w:val="ListBullet"/>
      </w:pPr>
      <w:r>
        <w:rPr>
          <w:rFonts w:ascii="Aptos" w:hAnsi="Aptos" w:eastAsia="FangSong" w:cs="Aptos"/>
        </w:rPr>
        <w:t>☐ 已询问银行是否接受：境外常住签字人、CMRA/虚拟办公室、501(c)(3) pending 状态。</w:t>
      </w:r>
    </w:p>
    <w:p>
      <w:pPr>
        <w:pStyle w:val="ListBullet"/>
      </w:pPr>
      <w:r>
        <w:rPr>
          <w:rFonts w:ascii="Aptos" w:hAnsi="Aptos" w:eastAsia="FangSong" w:cs="Aptos"/>
        </w:rPr>
        <w:t>☐ 已规划 12 个月活动、预算、资金来源、参与国家、对未成年人和个人数据的处理。</w:t>
      </w:r>
    </w:p>
    <w:p>
      <w:pPr>
        <w:pStyle w:val="ListBullet"/>
      </w:pPr>
      <w:r>
        <w:rPr>
          <w:rFonts w:ascii="Aptos" w:hAnsi="Aptos" w:eastAsia="FangSong" w:cs="Aptos"/>
        </w:rPr>
        <w:t>☐ 已确定谁保管公司档案、谁负责州务年报、990、募资登记、OFAC 筛查与 ECOSOC 证据库。</w:t>
      </w:r>
    </w:p>
    <w:p>
      <w:pPr>
        <w:pStyle w:val="ListBullet"/>
      </w:pPr>
      <w:r>
        <w:rPr>
          <w:rFonts w:ascii="Aptos" w:hAnsi="Aptos" w:eastAsia="FangSong" w:cs="Aptos"/>
        </w:rPr>
        <w:t>☐ 已安排美国非营利律师、CPA/EA 和中国境外 NGO 律师的复核节点。</w:t>
      </w:r>
    </w:p>
    <w:p>
      <w:r>
        <w:br w:type="page"/>
      </w:r>
    </w:p>
    <w:p>
      <w:pPr>
        <w:spacing w:after="40"/>
      </w:pPr>
      <w:r>
        <w:rPr>
          <w:rFonts w:ascii="Aptos" w:hAnsi="Aptos" w:eastAsia="Microsoft YaHei" w:cs="Aptos"/>
          <w:b/>
          <w:color w:val="6A6A6A"/>
          <w:sz w:val="16"/>
        </w:rPr>
        <w:t>MODULE 00</w:t>
      </w:r>
    </w:p>
    <w:p>
      <w:pPr>
        <w:pStyle w:val="Heading1"/>
      </w:pPr>
      <w:r>
        <w:rPr>
          <w:rFonts w:ascii="Aptos" w:hAnsi="Aptos" w:eastAsia="FangSong" w:cs="Aptos"/>
        </w:rPr>
        <w:t>结构闸门：GPTI 与 The Climate Passport</w:t>
      </w:r>
    </w:p>
    <w:p>
      <w:pPr>
        <w:keepLines/>
      </w:pPr>
      <w:r>
        <w:rPr>
          <w:rFonts w:ascii="Aptos" w:hAnsi="Aptos" w:eastAsia="FangSong" w:cs="Aptos"/>
          <w:color w:val="6A6A6A"/>
          <w:sz w:val="21"/>
        </w:rPr>
        <w:t>先决定谁拥有品牌、软件、数据和商业收益，再成立、备案 DBA 或接收第一笔资金。</w:t>
      </w:r>
    </w:p>
    <w:p>
      <w:pPr>
        <w:spacing w:after="180"/>
        <w:pBdr>
          <w:bottom w:val="single" w:sz="10" w:space="1" w:color="111111"/>
        </w:pBdr>
      </w:pPr>
    </w:p>
    <w:p>
      <w:pPr>
        <w:pStyle w:val="Heading2"/>
      </w:pPr>
      <w:r>
        <w:rPr>
          <w:rFonts w:ascii="Aptos" w:hAnsi="Aptos" w:eastAsia="FangSong" w:cs="Aptos"/>
        </w:rPr>
        <w:t>00.1 推荐结构</w:t>
      </w:r>
    </w:p>
    <w:tbl>
      <w:tblPr>
        <w:tblW w:type="dxa" w:w="9360"/>
        <w:tblLayout w:type="fixed"/>
        <w:tblLook w:firstColumn="1" w:firstRow="1" w:lastColumn="0" w:lastRow="0" w:noHBand="0" w:noVBand="1" w:val="04A0"/>
        <w:jc w:val="center"/>
        <w:tblInd w:w="120" w:type="dxa"/>
      </w:tblPr>
      <w:tblGrid>
        <w:gridCol w:w="2426"/>
        <w:gridCol w:w="2426"/>
        <w:gridCol w:w="2426"/>
        <w:gridCol w:w="2426"/>
      </w:tblGrid>
      <w:tr>
        <w:trPr>
          <w:tblHeader w:val="true"/>
          <w:cantSplit/>
        </w:trPr>
        <w:tc>
          <w:tcPr>
            <w:tcW w:type="dxa" w:w="208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主体</w:t>
            </w:r>
          </w:p>
        </w:tc>
        <w:tc>
          <w:tcPr>
            <w:tcW w:type="dxa" w:w="237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功能</w:t>
            </w:r>
          </w:p>
        </w:tc>
        <w:tc>
          <w:tcPr>
            <w:tcW w:type="dxa" w:w="288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可以做</w:t>
            </w:r>
          </w:p>
        </w:tc>
        <w:tc>
          <w:tcPr>
            <w:tcW w:type="dxa" w:w="223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不得混用</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GPTI（501(c)(3) 申请主体）</w:t>
            </w:r>
          </w:p>
        </w:tc>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公共利益研究、教育、非党派传播、开放工具、公益项目</w:t>
            </w:r>
          </w:p>
        </w:tc>
        <w:tc>
          <w:tcPr>
            <w:tcW w:type="dxa" w:w="288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接受慈善捐款和合格赞助；发布公共报告；举办教育活动；在合规协议下购买或许可服务</w:t>
            </w:r>
          </w:p>
        </w:tc>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不得把慈善资产用于提升创始人或商业实体的价值；不得无偿导流、开发专有商业产品或承担商业成本</w:t>
            </w:r>
          </w:p>
        </w:tc>
      </w:tr>
      <w:tr>
        <w:trPr>
          <w:cantSplit/>
        </w:trPr>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Climate Passport 商业实体</w:t>
            </w:r>
          </w:p>
        </w:tc>
        <w:tc>
          <w:tcPr>
            <w:tcW w:type="dxa" w:w="23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商业平台、收费认证/数据产品、商业客户合同、投资与利润</w:t>
            </w:r>
          </w:p>
        </w:tc>
        <w:tc>
          <w:tcPr>
            <w:tcW w:type="dxa" w:w="288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按市场条件购买 GPTI 的真实服务；以合格赞助商身份支持公益项目；按公允价值许可 IP</w:t>
            </w:r>
          </w:p>
        </w:tc>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不得使用 GPTI 银行账户、捐赠收据、人员时间、受益人数据或 UN 身份为商业背书</w:t>
            </w:r>
          </w:p>
        </w:tc>
      </w:tr>
    </w:tbl>
    <w:p>
      <w:pPr>
        <w:spacing w:after="0"/>
      </w:pPr>
    </w:p>
    <w:p>
      <w:r>
        <w:rPr>
          <w:rFonts w:ascii="Aptos" w:hAnsi="Aptos" w:eastAsia="FangSong" w:cs="Aptos"/>
        </w:rPr>
        <w:t>首选方案：GPTI 保持独立法人与品牌表达；商业实体拥有或经营商业化 Climate Passport。若 GPTI 需要使用该名称、商标、平台或数据，必须先由无利益冲突的董事批准书面许可/服务协议。</w:t>
      </w:r>
    </w:p>
    <w:p>
      <w:pPr>
        <w:pStyle w:val="Heading2"/>
      </w:pPr>
      <w:r>
        <w:rPr>
          <w:rFonts w:ascii="Aptos" w:hAnsi="Aptos" w:eastAsia="FangSong" w:cs="Aptos"/>
        </w:rPr>
        <w:t>00.2 董事会必须书面回答的 12 个问题</w:t>
      </w:r>
    </w:p>
    <w:p>
      <w:pPr>
        <w:pStyle w:val="ListBullet"/>
      </w:pPr>
      <w:r>
        <w:rPr>
          <w:rFonts w:ascii="Aptos" w:hAnsi="Aptos" w:eastAsia="FangSong" w:cs="Aptos"/>
        </w:rPr>
        <w:t>☐ 谁目前拥有 The Climate Passport 的名称、域名、商标申请、代码、数据库、设计和既有合同？</w:t>
      </w:r>
    </w:p>
    <w:p>
      <w:pPr>
        <w:pStyle w:val="ListBullet"/>
      </w:pPr>
      <w:r>
        <w:rPr>
          <w:rFonts w:ascii="Aptos" w:hAnsi="Aptos" w:eastAsia="FangSong" w:cs="Aptos"/>
        </w:rPr>
        <w:t>☐ GPTI 是否会支付开发费、品牌费、许可费、顾问费或员工成本？收款人是否与创始人/董事有关联？</w:t>
      </w:r>
    </w:p>
    <w:p>
      <w:pPr>
        <w:pStyle w:val="ListBullet"/>
      </w:pPr>
      <w:r>
        <w:rPr>
          <w:rFonts w:ascii="Aptos" w:hAnsi="Aptos" w:eastAsia="FangSong" w:cs="Aptos"/>
        </w:rPr>
        <w:t>☐ GPTI 产出的研究、标准和数据是公开许可，还是进入商业实体的专有产品？</w:t>
      </w:r>
    </w:p>
    <w:p>
      <w:pPr>
        <w:pStyle w:val="ListBullet"/>
      </w:pPr>
      <w:r>
        <w:rPr>
          <w:rFonts w:ascii="Aptos" w:hAnsi="Aptos" w:eastAsia="FangSong" w:cs="Aptos"/>
        </w:rPr>
        <w:t>☐ 商业客户购买的到底是公益教育服务、广告、赞助、认证、软件订阅还是咨询？</w:t>
      </w:r>
    </w:p>
    <w:p>
      <w:pPr>
        <w:pStyle w:val="ListBullet"/>
      </w:pPr>
      <w:r>
        <w:rPr>
          <w:rFonts w:ascii="Aptos" w:hAnsi="Aptos" w:eastAsia="FangSong" w:cs="Aptos"/>
        </w:rPr>
        <w:t>☐ 双方是否共享网站、邮件域名、员工、办公地址、活动展位、付款页面或社交媒体？如何分摊？</w:t>
      </w:r>
    </w:p>
    <w:p>
      <w:pPr>
        <w:pStyle w:val="ListBullet"/>
      </w:pPr>
      <w:r>
        <w:rPr>
          <w:rFonts w:ascii="Aptos" w:hAnsi="Aptos" w:eastAsia="FangSong" w:cs="Aptos"/>
        </w:rPr>
        <w:t>☐ 捐赠人是否会误以为对商业产品的付款可税前扣除？</w:t>
      </w:r>
    </w:p>
    <w:p>
      <w:pPr>
        <w:pStyle w:val="ListBullet"/>
      </w:pPr>
      <w:r>
        <w:rPr>
          <w:rFonts w:ascii="Aptos" w:hAnsi="Aptos" w:eastAsia="FangSong" w:cs="Aptos"/>
        </w:rPr>
        <w:t>☐ 上海气候周或其他合作方签约主体是谁？谁承担履约、退款、数据和知识产权责任？</w:t>
      </w:r>
    </w:p>
    <w:p>
      <w:pPr>
        <w:pStyle w:val="ListBullet"/>
      </w:pPr>
      <w:r>
        <w:rPr>
          <w:rFonts w:ascii="Aptos" w:hAnsi="Aptos" w:eastAsia="FangSong" w:cs="Aptos"/>
        </w:rPr>
        <w:t>☐ GPTI 是否会向商业实体提供受益人、未成年人、学校、赞助商或政府联系人数据？</w:t>
      </w:r>
    </w:p>
    <w:p>
      <w:pPr>
        <w:pStyle w:val="ListBullet"/>
      </w:pPr>
      <w:r>
        <w:rPr>
          <w:rFonts w:ascii="Aptos" w:hAnsi="Aptos" w:eastAsia="FangSong" w:cs="Aptos"/>
        </w:rPr>
        <w:t>☐ 定价如何证明公允？是否取得至少两个可比报价或独立估值？</w:t>
      </w:r>
    </w:p>
    <w:p>
      <w:pPr>
        <w:pStyle w:val="ListBullet"/>
      </w:pPr>
      <w:r>
        <w:rPr>
          <w:rFonts w:ascii="Aptos" w:hAnsi="Aptos" w:eastAsia="FangSong" w:cs="Aptos"/>
        </w:rPr>
        <w:t>☐ 关联董事是否完整披露并回避讨论和表决？会议记录是否说明替代方案与公益理由？</w:t>
      </w:r>
    </w:p>
    <w:p>
      <w:pPr>
        <w:pStyle w:val="ListBullet"/>
      </w:pPr>
      <w:r>
        <w:rPr>
          <w:rFonts w:ascii="Aptos" w:hAnsi="Aptos" w:eastAsia="FangSong" w:cs="Aptos"/>
        </w:rPr>
        <w:t>☐ 赞助权益是否只限名称/Logo/网址的价值中立确认，还是含促销语言、独家供应商或销售线索？</w:t>
      </w:r>
    </w:p>
    <w:p>
      <w:pPr>
        <w:pStyle w:val="ListBullet"/>
      </w:pPr>
      <w:r>
        <w:rPr>
          <w:rFonts w:ascii="Aptos" w:hAnsi="Aptos" w:eastAsia="FangSong" w:cs="Aptos"/>
        </w:rPr>
        <w:t>☐ 如果商业实体停止合作，GPTI 能否继续完成公益项目并保留必要的数据、记录和知识产权使用权？</w:t>
      </w:r>
    </w:p>
    <w:tbl>
      <w:tblPr>
        <w:tblW w:type="dxa" w:w="9360"/>
        <w:jc w:val="center"/>
        <w:tblLayout w:type="fixed"/>
        <w:tblLook w:firstColumn="1" w:firstRow="1" w:lastColumn="0" w:lastRow="0" w:noHBand="0" w:noVBand="1" w:val="04A0"/>
        <w:tblInd w:w="120" w:type="dxa"/>
      </w:tblPr>
      <w:tblGrid>
        <w:gridCol w:w="9706"/>
      </w:tblGrid>
      <w:tr>
        <w:tc>
          <w:tcPr>
            <w:tcW w:type="dxa" w:w="9706"/>
            <w:shd w:fill="EDEDED"/>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停止条件  </w:t>
            </w:r>
            <w:r>
              <w:rPr>
                <w:rFonts w:ascii="Aptos" w:hAnsi="Aptos" w:eastAsia="FangSong" w:cs="Aptos"/>
                <w:b w:val="0"/>
                <w:color w:val="303030"/>
                <w:sz w:val="19"/>
              </w:rPr>
              <w:t>只要以上任一问题仍为“口头约定”或“以后再说”，就不要提交 DBA、不要让 GPTI 支付 Climate Passport 的开发成本，也不要在 Form 1023 中模糊双方关系。申请材料获批后原则上会公开。</w:t>
            </w:r>
          </w:p>
        </w:tc>
      </w:tr>
    </w:tbl>
    <w:p>
      <w:pPr>
        <w:spacing w:after="0"/>
      </w:pPr>
    </w:p>
    <w:p>
      <w:pPr>
        <w:pStyle w:val="Heading2"/>
      </w:pPr>
      <w:r>
        <w:rPr>
          <w:rFonts w:ascii="Aptos" w:hAnsi="Aptos" w:eastAsia="FangSong" w:cs="Aptos"/>
        </w:rPr>
        <w:t>00.3 关联交易批准流程</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648"/>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顺序</w:t>
            </w:r>
          </w:p>
        </w:tc>
        <w:tc>
          <w:tcPr>
            <w:tcW w:type="dxa" w:w="6120"/>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动作</w:t>
            </w:r>
          </w:p>
        </w:tc>
        <w:tc>
          <w:tcPr>
            <w:tcW w:type="dxa" w:w="2808"/>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证据</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1</w:t>
            </w:r>
          </w:p>
        </w:tc>
        <w:tc>
          <w:tcPr>
            <w:tcW w:type="dxa" w:w="61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利益相关人提交书面披露：所有权、职位、亲属、收益、交易金额、IP 权属。</w:t>
            </w:r>
          </w:p>
        </w:tc>
        <w:tc>
          <w:tcPr>
            <w:tcW w:type="dxa" w:w="28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签字披露表</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2</w:t>
            </w:r>
          </w:p>
        </w:tc>
        <w:tc>
          <w:tcPr>
            <w:tcW w:type="dxa" w:w="61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无利益冲突董事组成审议组；利益相关人陈述事实后离席，不计入该事项表决。</w:t>
            </w:r>
          </w:p>
        </w:tc>
        <w:tc>
          <w:tcPr>
            <w:tcW w:type="dxa" w:w="28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出席名单与回避记录</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3</w:t>
            </w:r>
          </w:p>
        </w:tc>
        <w:tc>
          <w:tcPr>
            <w:tcW w:type="dxa" w:w="61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取得可比价格、报价、第三方估值或同类 990/合同数据。</w:t>
            </w:r>
          </w:p>
        </w:tc>
        <w:tc>
          <w:tcPr>
            <w:tcW w:type="dxa" w:w="28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比价包/估值报告</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4</w:t>
            </w:r>
          </w:p>
        </w:tc>
        <w:tc>
          <w:tcPr>
            <w:tcW w:type="dxa" w:w="61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比较不用关联方、公开许可、内部开发等替代方案。</w:t>
            </w:r>
          </w:p>
        </w:tc>
        <w:tc>
          <w:tcPr>
            <w:tcW w:type="dxa" w:w="28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替代方案备忘录</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5</w:t>
            </w:r>
          </w:p>
        </w:tc>
        <w:tc>
          <w:tcPr>
            <w:tcW w:type="dxa" w:w="61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独立董事在交易前批准，并写明公益必要性、价格公允性、期限、终止与数据/IP 权利。</w:t>
            </w:r>
          </w:p>
        </w:tc>
        <w:tc>
          <w:tcPr>
            <w:tcW w:type="dxa" w:w="28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董事会决议和会议记录</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6</w:t>
            </w:r>
          </w:p>
        </w:tc>
        <w:tc>
          <w:tcPr>
            <w:tcW w:type="dxa" w:w="61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财务上单独编码；每年复核实际交付、价格和续约。</w:t>
            </w:r>
          </w:p>
        </w:tc>
        <w:tc>
          <w:tcPr>
            <w:tcW w:type="dxa" w:w="28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总账、发票、成果、年度复核</w:t>
            </w:r>
          </w:p>
        </w:tc>
      </w:tr>
    </w:tbl>
    <w:p>
      <w:pPr>
        <w:spacing w:after="0"/>
      </w:pPr>
    </w:p>
    <w:p>
      <w:r>
        <w:br w:type="page"/>
      </w:r>
    </w:p>
    <w:p>
      <w:pPr>
        <w:spacing w:after="40"/>
      </w:pPr>
      <w:r>
        <w:rPr>
          <w:rFonts w:ascii="Aptos" w:hAnsi="Aptos" w:eastAsia="Microsoft YaHei" w:cs="Aptos"/>
          <w:b/>
          <w:color w:val="6A6A6A"/>
          <w:sz w:val="16"/>
        </w:rPr>
        <w:t>MODULE 01</w:t>
      </w:r>
    </w:p>
    <w:p>
      <w:pPr>
        <w:pStyle w:val="Heading1"/>
      </w:pPr>
      <w:r>
        <w:rPr>
          <w:rFonts w:ascii="Aptos" w:hAnsi="Aptos" w:eastAsia="FangSong" w:cs="Aptos"/>
        </w:rPr>
        <w:t>地址、注册代理人与文件基础设施</w:t>
      </w:r>
    </w:p>
    <w:p>
      <w:pPr>
        <w:keepLines/>
      </w:pPr>
      <w:r>
        <w:rPr>
          <w:rFonts w:ascii="Aptos" w:hAnsi="Aptos" w:eastAsia="FangSong" w:cs="Aptos"/>
          <w:color w:val="6A6A6A"/>
          <w:sz w:val="21"/>
        </w:rPr>
        <w:t>把收信、法定送达、真实经营地、募资登记地址和银行 KYC 地址分开理解。</w:t>
      </w:r>
    </w:p>
    <w:p>
      <w:pPr>
        <w:spacing w:after="180"/>
        <w:pBdr>
          <w:bottom w:val="single" w:sz="10" w:space="1" w:color="111111"/>
        </w:pBdr>
      </w:pPr>
    </w:p>
    <w:p>
      <w:pPr>
        <w:pStyle w:val="Heading2"/>
      </w:pPr>
      <w:r>
        <w:rPr>
          <w:rFonts w:ascii="Aptos" w:hAnsi="Aptos" w:eastAsia="FangSong" w:cs="Aptos"/>
        </w:rPr>
        <w:t>01.1 四类地址不是同一概念</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223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地址类型</w:t>
            </w:r>
          </w:p>
        </w:tc>
        <w:tc>
          <w:tcPr>
            <w:tcW w:type="dxa" w:w="288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用途</w:t>
            </w:r>
          </w:p>
        </w:tc>
        <w:tc>
          <w:tcPr>
            <w:tcW w:type="dxa" w:w="446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规则/建议</w:t>
            </w:r>
          </w:p>
        </w:tc>
      </w:tr>
      <w:tr>
        <w:trPr>
          <w:cantSplit/>
        </w:trPr>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Registered Agent street address</w:t>
            </w:r>
          </w:p>
        </w:tc>
        <w:tc>
          <w:tcPr>
            <w:tcW w:type="dxa" w:w="288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接收诉讼和州务法定送达</w:t>
            </w:r>
          </w:p>
        </w:tc>
        <w:tc>
          <w:tcPr>
            <w:tcW w:type="dxa" w:w="446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必须是 Colorado 实体街道；正常营业时间可当面接收；不能是 P.O. Box。</w:t>
            </w:r>
          </w:p>
        </w:tc>
      </w:tr>
      <w:tr>
        <w:trPr>
          <w:cantSplit/>
        </w:trPr>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Principal office street address</w:t>
            </w:r>
          </w:p>
        </w:tc>
        <w:tc>
          <w:tcPr>
            <w:tcW w:type="dxa" w:w="288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Colorado 公司记录中的主要办公地址</w:t>
            </w:r>
          </w:p>
        </w:tc>
        <w:tc>
          <w:tcPr>
            <w:tcW w:type="dxa" w:w="446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必须是真实街道，可在美国境外；不得用 P.O. Box。按事实填报。</w:t>
            </w:r>
          </w:p>
        </w:tc>
      </w:tr>
      <w:tr>
        <w:trPr>
          <w:cantSplit/>
        </w:trPr>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Mailing address</w:t>
            </w:r>
          </w:p>
        </w:tc>
        <w:tc>
          <w:tcPr>
            <w:tcW w:type="dxa" w:w="288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普通邮件和政府信件</w:t>
            </w:r>
          </w:p>
        </w:tc>
        <w:tc>
          <w:tcPr>
            <w:tcW w:type="dxa" w:w="446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可使用可靠的 CMRA/虚拟办公室；及时扫描、转寄并保留日志。</w:t>
            </w:r>
          </w:p>
        </w:tc>
      </w:tr>
      <w:tr>
        <w:trPr>
          <w:cantSplit/>
        </w:trPr>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Principal place of business（EIN/税务）</w:t>
            </w:r>
          </w:p>
        </w:tc>
        <w:tc>
          <w:tcPr>
            <w:tcW w:type="dxa" w:w="288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实际管理、控制或主要办公地点</w:t>
            </w:r>
          </w:p>
        </w:tc>
        <w:tc>
          <w:tcPr>
            <w:tcW w:type="dxa" w:w="446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不可仅为取得在线 EIN 或银行开户而把收信地址写成实际经营中心。</w:t>
            </w:r>
          </w:p>
        </w:tc>
      </w:tr>
      <w:tr>
        <w:trPr>
          <w:cantSplit/>
        </w:trPr>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Charity principal place of business</w:t>
            </w:r>
          </w:p>
        </w:tc>
        <w:tc>
          <w:tcPr>
            <w:tcW w:type="dxa" w:w="288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Colorado 慈善登记公开信息</w:t>
            </w:r>
          </w:p>
        </w:tc>
        <w:tc>
          <w:tcPr>
            <w:tcW w:type="dxa" w:w="446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通常须街道地址；若无，按州务指引评估注册代理人或保管记录的高管地址。</w:t>
            </w:r>
          </w:p>
        </w:tc>
      </w:tr>
      <w:tr>
        <w:trPr>
          <w:cantSplit/>
        </w:trPr>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Bank physical/residential address</w:t>
            </w:r>
          </w:p>
        </w:tc>
        <w:tc>
          <w:tcPr>
            <w:tcW w:type="dxa" w:w="288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银行 CIP/KYC 与签字人核验</w:t>
            </w:r>
          </w:p>
        </w:tc>
        <w:tc>
          <w:tcPr>
            <w:tcW w:type="dxa" w:w="446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银行可要求实际经营地、签字人住址和地址证明；服务商租约不能替代银行判断。</w:t>
            </w:r>
          </w:p>
        </w:tc>
      </w:tr>
    </w:tbl>
    <w:p>
      <w:pPr>
        <w:spacing w:after="0"/>
      </w:pPr>
    </w:p>
    <w:p>
      <w:pPr>
        <w:pStyle w:val="Heading2"/>
      </w:pPr>
      <w:r>
        <w:rPr>
          <w:rFonts w:ascii="Aptos" w:hAnsi="Aptos" w:eastAsia="FangSong" w:cs="Aptos"/>
        </w:rPr>
        <w:t>01.2 购买 Colorado Registered Agent 服务</w:t>
      </w:r>
    </w:p>
    <w:tbl>
      <w:tblPr>
        <w:tblW w:type="dxa" w:w="9360"/>
        <w:tblLayout w:type="fixed"/>
        <w:tblLook w:firstColumn="1" w:firstRow="1" w:lastColumn="0" w:lastRow="0" w:noHBand="0" w:noVBand="1" w:val="04A0"/>
        <w:jc w:val="center"/>
        <w:tblInd w:w="120" w:type="dxa"/>
      </w:tblPr>
      <w:tblGrid>
        <w:gridCol w:w="2426"/>
        <w:gridCol w:w="2426"/>
        <w:gridCol w:w="2426"/>
        <w:gridCol w:w="2426"/>
      </w:tblGrid>
      <w:tr>
        <w:trPr>
          <w:tblHeader w:val="true"/>
          <w:cantSplit/>
        </w:trPr>
        <w:tc>
          <w:tcPr>
            <w:tcW w:type="dxa" w:w="57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步骤</w:t>
            </w:r>
          </w:p>
        </w:tc>
        <w:tc>
          <w:tcPr>
            <w:tcW w:type="dxa" w:w="244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页面操作</w:t>
            </w:r>
          </w:p>
        </w:tc>
        <w:tc>
          <w:tcPr>
            <w:tcW w:type="dxa" w:w="489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填写/确认</w:t>
            </w:r>
          </w:p>
        </w:tc>
        <w:tc>
          <w:tcPr>
            <w:tcW w:type="dxa" w:w="165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输出</w:t>
            </w:r>
          </w:p>
        </w:tc>
      </w:tr>
      <w:tr>
        <w:trPr>
          <w:cantSplit/>
        </w:trPr>
        <w:tc>
          <w:tcPr>
            <w:tcW w:type="dxa" w:w="5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1</w:t>
            </w:r>
          </w:p>
        </w:tc>
        <w:tc>
          <w:tcPr>
            <w:tcW w:type="dxa" w:w="24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打开 Colorado Registered Agent 官方服务页。</w:t>
            </w:r>
          </w:p>
        </w:tc>
        <w:tc>
          <w:tcPr>
            <w:tcW w:type="dxa" w:w="48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核对 Registered Agent Service 当前价格与续费条款；2026-08-12 显示 $35/年。</w:t>
            </w:r>
          </w:p>
        </w:tc>
        <w:tc>
          <w:tcPr>
            <w:tcW w:type="dxa" w:w="165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订单截图</w:t>
            </w:r>
          </w:p>
        </w:tc>
      </w:tr>
      <w:tr>
        <w:trPr>
          <w:cantSplit/>
        </w:trPr>
        <w:tc>
          <w:tcPr>
            <w:tcW w:type="dxa" w:w="5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w:t>
            </w:r>
          </w:p>
        </w:tc>
        <w:tc>
          <w:tcPr>
            <w:tcW w:type="dxa" w:w="24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如确有邮件和地址需求，另选 Virtual Office。</w:t>
            </w:r>
          </w:p>
        </w:tc>
        <w:tc>
          <w:tcPr>
            <w:tcW w:type="dxa" w:w="48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2026-08-12 显示 $19/月；确认 unique suite、扫描、电话、租约、会议室和转寄费用。</w:t>
            </w:r>
          </w:p>
        </w:tc>
        <w:tc>
          <w:tcPr>
            <w:tcW w:type="dxa" w:w="165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服务清单</w:t>
            </w:r>
          </w:p>
        </w:tc>
      </w:tr>
      <w:tr>
        <w:trPr>
          <w:cantSplit/>
        </w:trPr>
        <w:tc>
          <w:tcPr>
            <w:tcW w:type="dxa" w:w="5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3</w:t>
            </w:r>
          </w:p>
        </w:tc>
        <w:tc>
          <w:tcPr>
            <w:tcW w:type="dxa" w:w="24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完成 USPS Form 1583 身份核验。</w:t>
            </w:r>
          </w:p>
        </w:tc>
        <w:tc>
          <w:tcPr>
            <w:tcW w:type="dxa" w:w="48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准备带照片证件、住宅地址及证明；CMRA 服务通常依法要求。</w:t>
            </w:r>
          </w:p>
        </w:tc>
        <w:tc>
          <w:tcPr>
            <w:tcW w:type="dxa" w:w="165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1583/核验完成</w:t>
            </w:r>
          </w:p>
        </w:tc>
      </w:tr>
      <w:tr>
        <w:trPr>
          <w:cantSplit/>
        </w:trPr>
        <w:tc>
          <w:tcPr>
            <w:tcW w:type="dxa" w:w="5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4</w:t>
            </w:r>
          </w:p>
        </w:tc>
        <w:tc>
          <w:tcPr>
            <w:tcW w:type="dxa" w:w="24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取得法定全称和地址格式。</w:t>
            </w:r>
          </w:p>
        </w:tc>
        <w:tc>
          <w:tcPr>
            <w:tcW w:type="dxa" w:w="48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要求服务商书面给出 registered agent 的精确名称、街道、Suite、City、State、ZIP。不要自行缩写。</w:t>
            </w:r>
          </w:p>
        </w:tc>
        <w:tc>
          <w:tcPr>
            <w:tcW w:type="dxa" w:w="165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地址确认邮件</w:t>
            </w:r>
          </w:p>
        </w:tc>
      </w:tr>
      <w:tr>
        <w:trPr>
          <w:cantSplit/>
        </w:trPr>
        <w:tc>
          <w:tcPr>
            <w:tcW w:type="dxa" w:w="5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5</w:t>
            </w:r>
          </w:p>
        </w:tc>
        <w:tc>
          <w:tcPr>
            <w:tcW w:type="dxa" w:w="24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检查自动续费/附加申报。</w:t>
            </w:r>
          </w:p>
        </w:tc>
        <w:tc>
          <w:tcPr>
            <w:tcW w:type="dxa" w:w="48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该服务商可能自动加入 Renewal Service（代报 periodic report，另收服务费）；若自行申报，及时取消并留存确认。</w:t>
            </w:r>
          </w:p>
        </w:tc>
        <w:tc>
          <w:tcPr>
            <w:tcW w:type="dxa" w:w="165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续费设置截图</w:t>
            </w:r>
          </w:p>
        </w:tc>
      </w:tr>
      <w:tr>
        <w:trPr>
          <w:cantSplit/>
        </w:trPr>
        <w:tc>
          <w:tcPr>
            <w:tcW w:type="dxa" w:w="5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6</w:t>
            </w:r>
          </w:p>
        </w:tc>
        <w:tc>
          <w:tcPr>
            <w:tcW w:type="dxa" w:w="24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建立邮件处理 SOP。</w:t>
            </w:r>
          </w:p>
        </w:tc>
        <w:tc>
          <w:tcPr>
            <w:tcW w:type="dxa" w:w="48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指定每日/每周查看人、法定文件 24 小时升级、IRS/银行原件转寄、下载后双重备份。</w:t>
            </w:r>
          </w:p>
        </w:tc>
        <w:tc>
          <w:tcPr>
            <w:tcW w:type="dxa" w:w="165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邮件台账</w:t>
            </w:r>
          </w:p>
        </w:tc>
      </w:tr>
    </w:tbl>
    <w:p>
      <w:pPr>
        <w:spacing w:after="0"/>
      </w:pPr>
    </w:p>
    <w:p>
      <w:r>
        <w:rPr>
          <w:rFonts w:ascii="Aptos" w:hAnsi="Aptos" w:eastAsia="FangSong" w:cs="Aptos"/>
        </w:rPr>
        <w:t>官方入口：</w:t>
      </w:r>
      <w:hyperlink r:id="rId11">
        <w:r>
          <w:rPr>
            <w:rFonts w:ascii="Aptos" w:hAnsi="Aptos" w:eastAsia="FangSong"/>
            <w:color w:val="303030"/>
            <w:u w:val="single"/>
          </w:rPr>
          <w:t>Registered Agent Service</w:t>
        </w:r>
      </w:hyperlink>
      <w:r>
        <w:t>；</w:t>
      </w:r>
      <w:hyperlink r:id="rId12">
        <w:r>
          <w:rPr>
            <w:rFonts w:ascii="Aptos" w:hAnsi="Aptos" w:eastAsia="FangSong"/>
            <w:color w:val="303030"/>
            <w:u w:val="single"/>
          </w:rPr>
          <w:t>Virtual Office</w:t>
        </w:r>
      </w:hyperlink>
    </w:p>
    <w:tbl>
      <w:tblPr>
        <w:tblW w:type="dxa" w:w="9360"/>
        <w:jc w:val="center"/>
        <w:tblLayout w:type="fixed"/>
        <w:tblLook w:firstColumn="1" w:firstRow="1" w:lastColumn="0" w:lastRow="0" w:noHBand="0" w:noVBand="1" w:val="04A0"/>
        <w:tblInd w:w="120" w:type="dxa"/>
      </w:tblPr>
      <w:tblGrid>
        <w:gridCol w:w="9706"/>
      </w:tblGrid>
      <w:tr>
        <w:tc>
          <w:tcPr>
            <w:tcW w:type="dxa" w:w="9706"/>
            <w:shd w:fill="F7F7F7"/>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确认  </w:t>
            </w:r>
            <w:r>
              <w:rPr>
                <w:rFonts w:ascii="Aptos" w:hAnsi="Aptos" w:eastAsia="FangSong" w:cs="Aptos"/>
                <w:b w:val="0"/>
                <w:color w:val="303030"/>
                <w:sz w:val="19"/>
              </w:rPr>
              <w:t>不要在下单页面假设存在名为“Commercial Lease Agreement”的必选附加项。应购买真正提供租约的 Virtual Office，并向服务商索取已签署租约、订单/发票、地址使用说明和 W-9（如后续需要）。</w:t>
            </w:r>
          </w:p>
        </w:tc>
      </w:tr>
    </w:tbl>
    <w:p>
      <w:pPr>
        <w:spacing w:after="0"/>
      </w:pPr>
    </w:p>
    <w:p>
      <w:pPr>
        <w:pStyle w:val="Heading2"/>
      </w:pPr>
      <w:r>
        <w:rPr>
          <w:rFonts w:ascii="Aptos" w:hAnsi="Aptos" w:eastAsia="FangSong" w:cs="Aptos"/>
        </w:rPr>
        <w:t>01.3 银行与州务预核电话脚本</w:t>
      </w:r>
    </w:p>
    <w:p>
      <w:r>
        <w:rPr>
          <w:rFonts w:ascii="Aptos" w:hAnsi="Aptos" w:eastAsia="FangSong" w:cs="Aptos"/>
        </w:rPr>
        <w:t>在付年费、提交 Articles 前，分别问服务商和拟开户银行：</w:t>
      </w:r>
    </w:p>
    <w:p>
      <w:pPr>
        <w:pStyle w:val="ListBullet"/>
      </w:pPr>
      <w:r>
        <w:rPr>
          <w:rFonts w:ascii="Aptos" w:hAnsi="Aptos" w:eastAsia="FangSong" w:cs="Aptos"/>
        </w:rPr>
        <w:t>“The corporation will be managed primarily by a founder who may reside outside the United States. May this address be used only as mailing/principal-office address, and what evidence do you provide?”</w:t>
      </w:r>
    </w:p>
    <w:p>
      <w:pPr>
        <w:pStyle w:val="ListBullet"/>
      </w:pPr>
      <w:r>
        <w:rPr>
          <w:rFonts w:ascii="Aptos" w:hAnsi="Aptos" w:eastAsia="FangSong" w:cs="Aptos"/>
        </w:rPr>
        <w:t>“Do you support in-person inspection, certified mail, government notices, IRS CP 575/147C forwarding, and bank verification calls?”</w:t>
      </w:r>
    </w:p>
    <w:p>
      <w:pPr>
        <w:pStyle w:val="ListBullet"/>
      </w:pPr>
      <w:r>
        <w:rPr>
          <w:rFonts w:ascii="Aptos" w:hAnsi="Aptos" w:eastAsia="FangSong" w:cs="Aptos"/>
        </w:rPr>
        <w:t>“Will your branch open a nonprofit business account when the signer is a non-U.S. resident with an ITIN, the registered mailing address is a CMRA/virtual office, and IRS exemption is pending?”</w:t>
      </w:r>
    </w:p>
    <w:p>
      <w:pPr>
        <w:pStyle w:val="ListBullet"/>
      </w:pPr>
      <w:r>
        <w:rPr>
          <w:rFonts w:ascii="Aptos" w:hAnsi="Aptos" w:eastAsia="FangSong" w:cs="Aptos"/>
        </w:rPr>
        <w:t>“Which original IDs, proof of residential address, board resolution, beneficial-control information, source-of-funds narrative, and in-person attendance are required?”</w:t>
      </w:r>
    </w:p>
    <w:p>
      <w:pPr>
        <w:pStyle w:val="Heading2"/>
      </w:pPr>
      <w:r>
        <w:rPr>
          <w:rFonts w:ascii="Aptos" w:hAnsi="Aptos" w:eastAsia="FangSong" w:cs="Aptos"/>
        </w:rPr>
        <w:t>01.4 文件基础设施</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172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文件夹</w:t>
            </w:r>
          </w:p>
        </w:tc>
        <w:tc>
          <w:tcPr>
            <w:tcW w:type="dxa" w:w="511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最低内容</w:t>
            </w:r>
          </w:p>
        </w:tc>
        <w:tc>
          <w:tcPr>
            <w:tcW w:type="dxa" w:w="273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命名规则</w:t>
            </w:r>
          </w:p>
        </w:tc>
      </w:tr>
      <w:tr>
        <w:trPr>
          <w:cantSplit/>
        </w:trPr>
        <w:tc>
          <w:tcPr>
            <w:tcW w:type="dxa" w:w="17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01_State</w:t>
            </w:r>
          </w:p>
        </w:tc>
        <w:tc>
          <w:tcPr>
            <w:tcW w:type="dxa" w:w="51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Articles、filing receipt、entity ID、Good Standing、periodic reports、DBA</w:t>
            </w:r>
          </w:p>
        </w:tc>
        <w:tc>
          <w:tcPr>
            <w:tcW w:type="dxa" w:w="273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YYYY-MM-DD_Document_Final.pdf</w:t>
            </w:r>
          </w:p>
        </w:tc>
      </w:tr>
      <w:tr>
        <w:trPr>
          <w:cantSplit/>
        </w:trPr>
        <w:tc>
          <w:tcPr>
            <w:tcW w:type="dxa" w:w="172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02_Governance</w:t>
            </w:r>
          </w:p>
        </w:tc>
        <w:tc>
          <w:tcPr>
            <w:tcW w:type="dxa" w:w="51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Bylaws、board consents/minutes、policies、conflict disclosures</w:t>
            </w:r>
          </w:p>
        </w:tc>
        <w:tc>
          <w:tcPr>
            <w:tcW w:type="dxa" w:w="273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MeetingDate_Board_Action.pdf</w:t>
            </w:r>
          </w:p>
        </w:tc>
      </w:tr>
      <w:tr>
        <w:trPr>
          <w:cantSplit/>
        </w:trPr>
        <w:tc>
          <w:tcPr>
            <w:tcW w:type="dxa" w:w="17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03_IRS</w:t>
            </w:r>
          </w:p>
        </w:tc>
        <w:tc>
          <w:tcPr>
            <w:tcW w:type="dxa" w:w="51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SS-4、EIN notice、1023 submission、Pay.gov receipt、IRS correspondence、determination</w:t>
            </w:r>
          </w:p>
        </w:tc>
        <w:tc>
          <w:tcPr>
            <w:tcW w:type="dxa" w:w="273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IRS_Part-Line_Subject.pdf</w:t>
            </w:r>
          </w:p>
        </w:tc>
      </w:tr>
      <w:tr>
        <w:trPr>
          <w:cantSplit/>
        </w:trPr>
        <w:tc>
          <w:tcPr>
            <w:tcW w:type="dxa" w:w="172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04_Finance</w:t>
            </w:r>
          </w:p>
        </w:tc>
        <w:tc>
          <w:tcPr>
            <w:tcW w:type="dxa" w:w="51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bank statements、reconciliations、budget、general ledger、receipts、990</w:t>
            </w:r>
          </w:p>
        </w:tc>
        <w:tc>
          <w:tcPr>
            <w:tcW w:type="dxa" w:w="273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FY2026_Month_Statement.pdf</w:t>
            </w:r>
          </w:p>
        </w:tc>
      </w:tr>
      <w:tr>
        <w:trPr>
          <w:cantSplit/>
        </w:trPr>
        <w:tc>
          <w:tcPr>
            <w:tcW w:type="dxa" w:w="17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05_Programs</w:t>
            </w:r>
          </w:p>
        </w:tc>
        <w:tc>
          <w:tcPr>
            <w:tcW w:type="dxa" w:w="51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contracts、outputs、beneficiaries、evaluation、photos with releases</w:t>
            </w:r>
          </w:p>
        </w:tc>
        <w:tc>
          <w:tcPr>
            <w:tcW w:type="dxa" w:w="273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Program_Country_Date_Output.pdf</w:t>
            </w:r>
          </w:p>
        </w:tc>
      </w:tr>
      <w:tr>
        <w:trPr>
          <w:cantSplit/>
        </w:trPr>
        <w:tc>
          <w:tcPr>
            <w:tcW w:type="dxa" w:w="172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06_Compliance</w:t>
            </w:r>
          </w:p>
        </w:tc>
        <w:tc>
          <w:tcPr>
            <w:tcW w:type="dxa" w:w="51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charity filings、OFAC checks、insurance、data/privacy、PRC filings</w:t>
            </w:r>
          </w:p>
        </w:tc>
        <w:tc>
          <w:tcPr>
            <w:tcW w:type="dxa" w:w="273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Jurisdiction_Requirement_Date.pdf</w:t>
            </w:r>
          </w:p>
        </w:tc>
      </w:tr>
      <w:tr>
        <w:trPr>
          <w:cantSplit/>
        </w:trPr>
        <w:tc>
          <w:tcPr>
            <w:tcW w:type="dxa" w:w="17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07_ECOSOC</w:t>
            </w:r>
          </w:p>
        </w:tc>
        <w:tc>
          <w:tcPr>
            <w:tcW w:type="dxa" w:w="51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two-year evidence index、financials、questionnaire、UN correspondence</w:t>
            </w:r>
          </w:p>
        </w:tc>
        <w:tc>
          <w:tcPr>
            <w:tcW w:type="dxa" w:w="273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ECOSOC_Year_Category.pdf</w:t>
            </w:r>
          </w:p>
        </w:tc>
      </w:tr>
    </w:tbl>
    <w:p>
      <w:pPr>
        <w:spacing w:after="0"/>
      </w:pPr>
    </w:p>
    <w:p>
      <w:r>
        <w:br w:type="page"/>
      </w:r>
    </w:p>
    <w:p>
      <w:pPr>
        <w:spacing w:after="40"/>
      </w:pPr>
      <w:r>
        <w:rPr>
          <w:rFonts w:ascii="Aptos" w:hAnsi="Aptos" w:eastAsia="Microsoft YaHei" w:cs="Aptos"/>
          <w:b/>
          <w:color w:val="6A6A6A"/>
          <w:sz w:val="16"/>
        </w:rPr>
        <w:t>MODULE 02</w:t>
      </w:r>
    </w:p>
    <w:p>
      <w:pPr>
        <w:pStyle w:val="Heading1"/>
      </w:pPr>
      <w:r>
        <w:rPr>
          <w:rFonts w:ascii="Aptos" w:hAnsi="Aptos" w:eastAsia="FangSong" w:cs="Aptos"/>
        </w:rPr>
        <w:t>名称、商标与域名查验</w:t>
      </w:r>
    </w:p>
    <w:p>
      <w:pPr>
        <w:keepLines/>
      </w:pPr>
      <w:r>
        <w:rPr>
          <w:rFonts w:ascii="Aptos" w:hAnsi="Aptos" w:eastAsia="FangSong" w:cs="Aptos"/>
          <w:color w:val="6A6A6A"/>
          <w:sz w:val="21"/>
        </w:rPr>
        <w:t>州务名称可用、DBA、域名和联邦商标是四套不同权利；完成检索后再印刷、签约或公开发布。</w:t>
      </w:r>
    </w:p>
    <w:p>
      <w:pPr>
        <w:spacing w:after="180"/>
        <w:pBdr>
          <w:bottom w:val="single" w:sz="10" w:space="1" w:color="111111"/>
        </w:pBdr>
      </w:pPr>
    </w:p>
    <w:p>
      <w:pPr>
        <w:pStyle w:val="Heading2"/>
      </w:pPr>
      <w:r>
        <w:rPr>
          <w:rFonts w:ascii="Aptos" w:hAnsi="Aptos" w:eastAsia="FangSong" w:cs="Aptos"/>
        </w:rPr>
        <w:t>02.1 依次完成四层检索</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180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层级</w:t>
            </w:r>
          </w:p>
        </w:tc>
        <w:tc>
          <w:tcPr>
            <w:tcW w:type="dxa" w:w="532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操作</w:t>
            </w:r>
          </w:p>
        </w:tc>
        <w:tc>
          <w:tcPr>
            <w:tcW w:type="dxa" w:w="244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结论边界</w:t>
            </w:r>
          </w:p>
        </w:tc>
      </w:tr>
      <w:tr>
        <w:trPr>
          <w:cantSplit/>
        </w:trPr>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Colorado entity name</w:t>
            </w:r>
          </w:p>
        </w:tc>
        <w:tc>
          <w:tcPr>
            <w:tcW w:type="dxa" w:w="53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在 Colorado Business Database 搜索完整名称及关键词 GPTI / Global Prosperity / Transition Initiative。</w:t>
            </w:r>
          </w:p>
        </w:tc>
        <w:tc>
          <w:tcPr>
            <w:tcW w:type="dxa" w:w="24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州务系统接受只说明当前可登记，不代表商标无冲突。</w:t>
            </w:r>
          </w:p>
        </w:tc>
      </w:tr>
      <w:tr>
        <w:trPr>
          <w:cantSplit/>
        </w:trPr>
        <w:tc>
          <w:tcPr>
            <w:tcW w:type="dxa" w:w="18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Colorado trade name</w:t>
            </w:r>
          </w:p>
        </w:tc>
        <w:tc>
          <w:tcPr>
            <w:tcW w:type="dxa" w:w="532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搜索 The Climate Passport、Climate Passport、Passport for Climate 等近似名称。</w:t>
            </w:r>
          </w:p>
        </w:tc>
        <w:tc>
          <w:tcPr>
            <w:tcW w:type="dxa" w:w="24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DBA 非排他，不能阻止他人使用。</w:t>
            </w:r>
          </w:p>
        </w:tc>
      </w:tr>
      <w:tr>
        <w:trPr>
          <w:cantSplit/>
        </w:trPr>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USPTO trademark</w:t>
            </w:r>
          </w:p>
        </w:tc>
        <w:tc>
          <w:tcPr>
            <w:tcW w:type="dxa" w:w="53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在 Trademark Search 中检索文字、拼写变体、同义概念、相关商品/服务类别及在先权利人。</w:t>
            </w:r>
          </w:p>
        </w:tc>
        <w:tc>
          <w:tcPr>
            <w:tcW w:type="dxa" w:w="24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仅搜索完全相同文字不够；混淆近似是核心。</w:t>
            </w:r>
          </w:p>
        </w:tc>
      </w:tr>
      <w:tr>
        <w:trPr>
          <w:cantSplit/>
        </w:trPr>
        <w:tc>
          <w:tcPr>
            <w:tcW w:type="dxa" w:w="18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普通法与互联网</w:t>
            </w:r>
          </w:p>
        </w:tc>
        <w:tc>
          <w:tcPr>
            <w:tcW w:type="dxa" w:w="532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搜索域名、应用商店、行业会议、州公司、社交媒体和实际商业使用。</w:t>
            </w:r>
          </w:p>
        </w:tc>
        <w:tc>
          <w:tcPr>
            <w:tcW w:type="dxa" w:w="24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未注册商标仍可能产生地域性普通法权利。</w:t>
            </w:r>
          </w:p>
        </w:tc>
      </w:tr>
      <w:tr>
        <w:trPr>
          <w:cantSplit/>
        </w:trPr>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域名与账号</w:t>
            </w:r>
          </w:p>
        </w:tc>
        <w:tc>
          <w:tcPr>
            <w:tcW w:type="dxa" w:w="53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核对 gptinitiative.org 控制权、注册人、续费、DNS、组织邮箱与社媒账号。</w:t>
            </w:r>
          </w:p>
        </w:tc>
        <w:tc>
          <w:tcPr>
            <w:tcW w:type="dxa" w:w="24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域名所有权不等于商标权。</w:t>
            </w:r>
          </w:p>
        </w:tc>
      </w:tr>
    </w:tbl>
    <w:p>
      <w:pPr>
        <w:spacing w:after="0"/>
      </w:pPr>
    </w:p>
    <w:p>
      <w:r>
        <w:rPr>
          <w:rFonts w:ascii="Aptos" w:hAnsi="Aptos" w:eastAsia="FangSong" w:cs="Aptos"/>
        </w:rPr>
        <w:t>官方入口：</w:t>
      </w:r>
      <w:hyperlink r:id="rId13">
        <w:r>
          <w:rPr>
            <w:rFonts w:ascii="Aptos" w:hAnsi="Aptos" w:eastAsia="FangSong"/>
            <w:color w:val="303030"/>
            <w:u w:val="single"/>
          </w:rPr>
          <w:t>Colorado Business Database</w:t>
        </w:r>
      </w:hyperlink>
      <w:r>
        <w:t>；</w:t>
      </w:r>
      <w:hyperlink r:id="rId14">
        <w:r>
          <w:rPr>
            <w:rFonts w:ascii="Aptos" w:hAnsi="Aptos" w:eastAsia="FangSong"/>
            <w:color w:val="303030"/>
            <w:u w:val="single"/>
          </w:rPr>
          <w:t>USPTO Trademark Search</w:t>
        </w:r>
      </w:hyperlink>
    </w:p>
    <w:p>
      <w:r>
        <w:br w:type="page"/>
      </w:r>
    </w:p>
    <w:p>
      <w:pPr>
        <w:pStyle w:val="Heading2"/>
      </w:pPr>
      <w:r>
        <w:rPr>
          <w:rFonts w:ascii="Aptos" w:hAnsi="Aptos" w:eastAsia="FangSong" w:cs="Aptos"/>
        </w:rPr>
        <w:t>02.2 保存检索证据</w:t>
      </w:r>
    </w:p>
    <w:p>
      <w:pPr>
        <w:pStyle w:val="ListBullet"/>
      </w:pPr>
      <w:r>
        <w:rPr>
          <w:rFonts w:ascii="Aptos" w:hAnsi="Aptos" w:eastAsia="FangSong" w:cs="Aptos"/>
        </w:rPr>
        <w:t>☐ 保存检索日期、关键词、结果页 PDF/截图和前三个近似结果。</w:t>
      </w:r>
    </w:p>
    <w:p>
      <w:pPr>
        <w:pStyle w:val="ListBullet"/>
      </w:pPr>
      <w:r>
        <w:rPr>
          <w:rFonts w:ascii="Aptos" w:hAnsi="Aptos" w:eastAsia="FangSong" w:cs="Aptos"/>
        </w:rPr>
        <w:t>☐ 记录拟使用商品/服务：研究报告、教育会议、软件、数据、认证、咨询、赞助等。</w:t>
      </w:r>
    </w:p>
    <w:p>
      <w:pPr>
        <w:pStyle w:val="ListBullet"/>
      </w:pPr>
      <w:r>
        <w:rPr>
          <w:rFonts w:ascii="Aptos" w:hAnsi="Aptos" w:eastAsia="FangSong" w:cs="Aptos"/>
        </w:rPr>
        <w:t>☐ 若 The Climate Passport 由商业主体使用，商标申请人、域名注册人、软件/IP 所有人必须与结构图一致。</w:t>
      </w:r>
    </w:p>
    <w:p>
      <w:pPr>
        <w:pStyle w:val="ListBullet"/>
      </w:pPr>
      <w:r>
        <w:rPr>
          <w:rFonts w:ascii="Aptos" w:hAnsi="Aptos" w:eastAsia="FangSong" w:cs="Aptos"/>
        </w:rPr>
        <w:t>☐ 在提交联邦商标申请前，由美国商标律师做 clearance search 和申请基础（use / intent-to-use）判断。</w:t>
      </w:r>
    </w:p>
    <w:p>
      <w:pPr>
        <w:pStyle w:val="ListBullet"/>
      </w:pPr>
      <w:r>
        <w:rPr>
          <w:rFonts w:ascii="Aptos" w:hAnsi="Aptos" w:eastAsia="FangSong" w:cs="Aptos"/>
        </w:rPr>
        <w:t>☐ 不把 ™、®、UN 名称/徽记或 501(c)(3) 字样用于造成已获批、已授权或联合国背书的暗示。</w:t>
      </w:r>
    </w:p>
    <w:tbl>
      <w:tblPr>
        <w:tblW w:type="dxa" w:w="9360"/>
        <w:jc w:val="center"/>
        <w:tblLayout w:type="fixed"/>
        <w:tblLook w:firstColumn="1" w:firstRow="1" w:lastColumn="0" w:lastRow="0" w:noHBand="0" w:noVBand="1" w:val="04A0"/>
        <w:tblInd w:w="120" w:type="dxa"/>
      </w:tblPr>
      <w:tblGrid>
        <w:gridCol w:w="9706"/>
      </w:tblGrid>
      <w:tr>
        <w:tc>
          <w:tcPr>
            <w:tcW w:type="dxa" w:w="9706"/>
            <w:shd w:fill="EDEDED"/>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停止条件  </w:t>
            </w:r>
            <w:r>
              <w:rPr>
                <w:rFonts w:ascii="Aptos" w:hAnsi="Aptos" w:eastAsia="FangSong" w:cs="Aptos"/>
                <w:b w:val="0"/>
                <w:color w:val="303030"/>
                <w:sz w:val="19"/>
              </w:rPr>
              <w:t>如果检索出现同领域的 Climate Passport 或高度近似标识，不要仅凭 Colorado DBA 可备案就继续。先取得商标法律意见、调整名称或取得书面许可。</w:t>
            </w:r>
          </w:p>
        </w:tc>
      </w:tr>
    </w:tbl>
    <w:p>
      <w:pPr>
        <w:spacing w:after="0"/>
      </w:pPr>
    </w:p>
    <w:p>
      <w:r>
        <w:br w:type="page"/>
      </w:r>
    </w:p>
    <w:p>
      <w:pPr>
        <w:spacing w:after="40"/>
      </w:pPr>
      <w:r>
        <w:rPr>
          <w:rFonts w:ascii="Aptos" w:hAnsi="Aptos" w:eastAsia="Microsoft YaHei" w:cs="Aptos"/>
          <w:b/>
          <w:color w:val="6A6A6A"/>
          <w:sz w:val="16"/>
        </w:rPr>
        <w:t>MODULE 03</w:t>
      </w:r>
    </w:p>
    <w:p>
      <w:pPr>
        <w:pStyle w:val="Heading1"/>
      </w:pPr>
      <w:r>
        <w:rPr>
          <w:rFonts w:ascii="Aptos" w:hAnsi="Aptos" w:eastAsia="FangSong" w:cs="Aptos"/>
        </w:rPr>
        <w:t>Colorado Articles of Incorporation</w:t>
      </w:r>
    </w:p>
    <w:p>
      <w:pPr>
        <w:keepLines/>
      </w:pPr>
      <w:r>
        <w:rPr>
          <w:rFonts w:ascii="Aptos" w:hAnsi="Aptos" w:eastAsia="FangSong" w:cs="Aptos"/>
          <w:color w:val="6A6A6A"/>
          <w:sz w:val="21"/>
        </w:rPr>
        <w:t>州务登记使公司法律成立；免税条款、真实地址和无会员治理结构必须在首次申报时就正确。</w:t>
      </w:r>
    </w:p>
    <w:p>
      <w:pPr>
        <w:spacing w:after="180"/>
        <w:pBdr>
          <w:bottom w:val="single" w:sz="10" w:space="1" w:color="111111"/>
        </w:pBdr>
      </w:pPr>
    </w:p>
    <w:p>
      <w:pPr>
        <w:pStyle w:val="Heading2"/>
      </w:pPr>
      <w:r>
        <w:rPr>
          <w:rFonts w:ascii="Aptos" w:hAnsi="Aptos" w:eastAsia="FangSong" w:cs="Aptos"/>
        </w:rPr>
        <w:t>03.1 提交前文件包</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1728"/>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项目</w:t>
            </w:r>
          </w:p>
        </w:tc>
        <w:tc>
          <w:tcPr>
            <w:tcW w:type="dxa" w:w="6120"/>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准备内容</w:t>
            </w:r>
          </w:p>
        </w:tc>
        <w:tc>
          <w:tcPr>
            <w:tcW w:type="dxa" w:w="1728"/>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负责人</w:t>
            </w:r>
          </w:p>
        </w:tc>
      </w:tr>
      <w:tr>
        <w:trPr>
          <w:cantSplit/>
        </w:trPr>
        <w:tc>
          <w:tcPr>
            <w:tcW w:type="dxa" w:w="17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法定名称</w:t>
            </w:r>
          </w:p>
        </w:tc>
        <w:tc>
          <w:tcPr>
            <w:tcW w:type="dxa" w:w="61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Global Prosperity and Transition Initiative, Inc.；完成名称检索。</w:t>
            </w:r>
          </w:p>
        </w:tc>
        <w:tc>
          <w:tcPr>
            <w:tcW w:type="dxa" w:w="17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发起人</w:t>
            </w:r>
          </w:p>
        </w:tc>
      </w:tr>
      <w:tr>
        <w:trPr>
          <w:cantSplit/>
        </w:trPr>
        <w:tc>
          <w:tcPr>
            <w:tcW w:type="dxa" w:w="172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Principal office</w:t>
            </w:r>
          </w:p>
        </w:tc>
        <w:tc>
          <w:tcPr>
            <w:tcW w:type="dxa" w:w="61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真实街道与邮寄地址；确认是否在美国，不能用 P.O. Box 代替街道。</w:t>
            </w:r>
          </w:p>
        </w:tc>
        <w:tc>
          <w:tcPr>
            <w:tcW w:type="dxa" w:w="172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发起人/律师</w:t>
            </w:r>
          </w:p>
        </w:tc>
      </w:tr>
      <w:tr>
        <w:trPr>
          <w:cantSplit/>
        </w:trPr>
        <w:tc>
          <w:tcPr>
            <w:tcW w:type="dxa" w:w="17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Registered agent</w:t>
            </w:r>
          </w:p>
        </w:tc>
        <w:tc>
          <w:tcPr>
            <w:tcW w:type="dxa" w:w="61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服务商精确法定名称、Colorado 街道地址、书面同意。</w:t>
            </w:r>
          </w:p>
        </w:tc>
        <w:tc>
          <w:tcPr>
            <w:tcW w:type="dxa" w:w="17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服务商</w:t>
            </w:r>
          </w:p>
        </w:tc>
      </w:tr>
      <w:tr>
        <w:trPr>
          <w:cantSplit/>
        </w:trPr>
        <w:tc>
          <w:tcPr>
            <w:tcW w:type="dxa" w:w="172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Incorporator</w:t>
            </w:r>
          </w:p>
        </w:tc>
        <w:tc>
          <w:tcPr>
            <w:tcW w:type="dxa" w:w="61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18 岁以上个人或实体的姓名和地址；非美国地址可用。</w:t>
            </w:r>
          </w:p>
        </w:tc>
        <w:tc>
          <w:tcPr>
            <w:tcW w:type="dxa" w:w="172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发起人</w:t>
            </w:r>
          </w:p>
        </w:tc>
      </w:tr>
      <w:tr>
        <w:trPr>
          <w:cantSplit/>
        </w:trPr>
        <w:tc>
          <w:tcPr>
            <w:tcW w:type="dxa" w:w="17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治理选择</w:t>
            </w:r>
          </w:p>
        </w:tc>
        <w:tc>
          <w:tcPr>
            <w:tcW w:type="dxa" w:w="61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No voting members；由董事会治理。</w:t>
            </w:r>
          </w:p>
        </w:tc>
        <w:tc>
          <w:tcPr>
            <w:tcW w:type="dxa" w:w="17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拟任董事会</w:t>
            </w:r>
          </w:p>
        </w:tc>
      </w:tr>
      <w:tr>
        <w:trPr>
          <w:cantSplit/>
        </w:trPr>
        <w:tc>
          <w:tcPr>
            <w:tcW w:type="dxa" w:w="172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免税条款</w:t>
            </w:r>
          </w:p>
        </w:tc>
        <w:tc>
          <w:tcPr>
            <w:tcW w:type="dxa" w:w="61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目的/限制性条款附件 + dissolution 文本框。</w:t>
            </w:r>
          </w:p>
        </w:tc>
        <w:tc>
          <w:tcPr>
            <w:tcW w:type="dxa" w:w="172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美国非营利律师复核</w:t>
            </w:r>
          </w:p>
        </w:tc>
      </w:tr>
      <w:tr>
        <w:trPr>
          <w:cantSplit/>
        </w:trPr>
        <w:tc>
          <w:tcPr>
            <w:tcW w:type="dxa" w:w="17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付款</w:t>
            </w:r>
          </w:p>
        </w:tc>
        <w:tc>
          <w:tcPr>
            <w:tcW w:type="dxa" w:w="61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信用卡；州务费截至核验日为 $50。</w:t>
            </w:r>
          </w:p>
        </w:tc>
        <w:tc>
          <w:tcPr>
            <w:tcW w:type="dxa" w:w="17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发起人</w:t>
            </w:r>
          </w:p>
        </w:tc>
      </w:tr>
    </w:tbl>
    <w:p>
      <w:pPr>
        <w:spacing w:after="0"/>
      </w:pPr>
    </w:p>
    <w:p>
      <w:pPr>
        <w:pStyle w:val="Heading2"/>
      </w:pPr>
      <w:r>
        <w:rPr>
          <w:rFonts w:ascii="Aptos" w:hAnsi="Aptos" w:eastAsia="FangSong" w:cs="Aptos"/>
        </w:rPr>
        <w:t>03.2 官方入口与点击路径</w:t>
      </w:r>
    </w:p>
    <w:p>
      <w:pPr>
        <w:pStyle w:val="ListNumber"/>
      </w:pPr>
      <w:r>
        <w:rPr>
          <w:rFonts w:ascii="Aptos" w:hAnsi="Aptos" w:eastAsia="FangSong" w:cs="Aptos"/>
        </w:rPr>
        <w:t>打开 Colorado Secretary of State Business 首页。</w:t>
      </w:r>
    </w:p>
    <w:p>
      <w:pPr>
        <w:pStyle w:val="ListNumber"/>
      </w:pPr>
      <w:r>
        <w:rPr>
          <w:rFonts w:ascii="Aptos" w:hAnsi="Aptos" w:eastAsia="FangSong" w:cs="Aptos"/>
        </w:rPr>
        <w:t>选择 File a business document / File a form to create a new record。门户措辞可能调整，以“create a new record”为准。</w:t>
      </w:r>
    </w:p>
    <w:p>
      <w:pPr>
        <w:pStyle w:val="ListNumber"/>
      </w:pPr>
      <w:r>
        <w:rPr>
          <w:rFonts w:ascii="Aptos" w:hAnsi="Aptos" w:eastAsia="FangSong" w:cs="Aptos"/>
        </w:rPr>
        <w:t>选择 Nonprofit Corporation → Articles of Incorporation。</w:t>
      </w:r>
    </w:p>
    <w:p>
      <w:pPr>
        <w:pStyle w:val="ListNumber"/>
      </w:pPr>
      <w:r>
        <w:rPr>
          <w:rFonts w:ascii="Aptos" w:hAnsi="Aptos" w:eastAsia="FangSong" w:cs="Aptos"/>
        </w:rPr>
        <w:t>阅读 filing instructions；在提交当日重新核对费用和 registered-agent 新规则。</w:t>
      </w:r>
    </w:p>
    <w:p>
      <w:r>
        <w:rPr>
          <w:rFonts w:ascii="Aptos" w:hAnsi="Aptos" w:eastAsia="FangSong" w:cs="Aptos"/>
        </w:rPr>
        <w:t>入口：</w:t>
      </w:r>
      <w:hyperlink r:id="rId15">
        <w:r>
          <w:rPr>
            <w:rFonts w:ascii="Aptos" w:hAnsi="Aptos" w:eastAsia="FangSong"/>
            <w:color w:val="303030"/>
            <w:u w:val="single"/>
          </w:rPr>
          <w:t>Colorado Secretary of State — Business</w:t>
        </w:r>
      </w:hyperlink>
      <w:r>
        <w:t>；</w:t>
      </w:r>
      <w:hyperlink r:id="rId16">
        <w:r>
          <w:rPr>
            <w:rFonts w:ascii="Aptos" w:hAnsi="Aptos" w:eastAsia="FangSong"/>
            <w:color w:val="303030"/>
            <w:u w:val="single"/>
          </w:rPr>
          <w:t>Nonprofit Articles 官方说明</w:t>
        </w:r>
      </w:hyperlink>
    </w:p>
    <w:p>
      <w:pPr>
        <w:pStyle w:val="Heading2"/>
      </w:pPr>
      <w:r>
        <w:rPr>
          <w:rFonts w:ascii="Aptos" w:hAnsi="Aptos" w:eastAsia="FangSong" w:cs="Aptos"/>
        </w:rPr>
        <w:t>03.3 当前表单逐项填写</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208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字段</w:t>
            </w:r>
          </w:p>
        </w:tc>
        <w:tc>
          <w:tcPr>
            <w:tcW w:type="dxa" w:w="511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建议填写</w:t>
            </w:r>
          </w:p>
        </w:tc>
        <w:tc>
          <w:tcPr>
            <w:tcW w:type="dxa" w:w="237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核对点</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Entity name</w:t>
            </w:r>
          </w:p>
        </w:tc>
        <w:tc>
          <w:tcPr>
            <w:tcW w:type="dxa" w:w="51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Global Prosperity and Transition Initiative, Inc.</w:t>
            </w:r>
          </w:p>
        </w:tc>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Inc. 并非州法强制，但可自愿保留；以系统即时可用性为准。</w:t>
            </w:r>
          </w:p>
        </w:tc>
      </w:tr>
      <w:tr>
        <w:trPr>
          <w:cantSplit/>
        </w:trPr>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Principal office street address</w:t>
            </w:r>
          </w:p>
        </w:tc>
        <w:tc>
          <w:tcPr>
            <w:tcW w:type="dxa" w:w="51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填写真实主要办公街道地址；若实际管理在上海，可填写真实境外街道，按表单格式录入。</w:t>
            </w:r>
          </w:p>
        </w:tc>
        <w:tc>
          <w:tcPr>
            <w:tcW w:type="dxa" w:w="23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不得为 P.O. Box；不要为在线 EIN/KYC 而虚构 Denver 为经营中心。</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Principal office mailing address</w:t>
            </w:r>
          </w:p>
        </w:tc>
        <w:tc>
          <w:tcPr>
            <w:tcW w:type="dxa" w:w="51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如邮件由 Denver CMRA 接收，填写该专属 Suite；否则勾选 same as street。</w:t>
            </w:r>
          </w:p>
        </w:tc>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确认政府信件可及时扫描/转寄。</w:t>
            </w:r>
          </w:p>
        </w:tc>
      </w:tr>
      <w:tr>
        <w:trPr>
          <w:cantSplit/>
        </w:trPr>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Registered agent name</w:t>
            </w:r>
          </w:p>
        </w:tc>
        <w:tc>
          <w:tcPr>
            <w:tcW w:type="dxa" w:w="51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复制服务商提供的精确法定名称。</w:t>
            </w:r>
          </w:p>
        </w:tc>
        <w:tc>
          <w:tcPr>
            <w:tcW w:type="dxa" w:w="23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确认该实体在 Colorado good standing。</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Registered agent street address</w:t>
            </w:r>
          </w:p>
        </w:tc>
        <w:tc>
          <w:tcPr>
            <w:tcW w:type="dxa" w:w="51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复制服务商指定的 Colorado 实体街道。</w:t>
            </w:r>
          </w:p>
        </w:tc>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不能是商业邮箱或 P.O. Box。</w:t>
            </w:r>
          </w:p>
        </w:tc>
      </w:tr>
      <w:tr>
        <w:trPr>
          <w:cantSplit/>
        </w:trPr>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Agent consent statement</w:t>
            </w:r>
          </w:p>
        </w:tc>
        <w:tc>
          <w:tcPr>
            <w:tcW w:type="dxa" w:w="51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Yes。</w:t>
            </w:r>
          </w:p>
        </w:tc>
        <w:tc>
          <w:tcPr>
            <w:tcW w:type="dxa" w:w="23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仅在代理人已同意后勾选。</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Incorporator</w:t>
            </w:r>
          </w:p>
        </w:tc>
        <w:tc>
          <w:tcPr>
            <w:tcW w:type="dxa" w:w="51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发起人或授权实体的真实姓名/名称和地址。</w:t>
            </w:r>
          </w:p>
        </w:tc>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个人须年满 18；境外地址可按国际格式。</w:t>
            </w:r>
          </w:p>
        </w:tc>
      </w:tr>
      <w:tr>
        <w:trPr>
          <w:cantSplit/>
        </w:trPr>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Voting members</w:t>
            </w:r>
          </w:p>
        </w:tc>
        <w:tc>
          <w:tcPr>
            <w:tcW w:type="dxa" w:w="51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No。</w:t>
            </w:r>
          </w:p>
        </w:tc>
        <w:tc>
          <w:tcPr>
            <w:tcW w:type="dxa" w:w="23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表示没有具有法定投票权的会员；支持董事会治理。</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Dissolution</w:t>
            </w:r>
          </w:p>
        </w:tc>
        <w:tc>
          <w:tcPr>
            <w:tcW w:type="dxa" w:w="51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在表单专用框粘贴 Appendix A 的解散条款。</w:t>
            </w:r>
          </w:p>
        </w:tc>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不要只放在目的附件里。</w:t>
            </w:r>
          </w:p>
        </w:tc>
      </w:tr>
      <w:tr>
        <w:trPr>
          <w:cantSplit/>
        </w:trPr>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Additional information</w:t>
            </w:r>
          </w:p>
        </w:tc>
        <w:tc>
          <w:tcPr>
            <w:tcW w:type="dxa" w:w="51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上传单独 PDF：PURPOSES AND LIMITATIONS。</w:t>
            </w:r>
          </w:p>
        </w:tc>
        <w:tc>
          <w:tcPr>
            <w:tcW w:type="dxa" w:w="23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每页写法定名称；PDF 清晰、无密码。</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Delayed effective date</w:t>
            </w:r>
          </w:p>
        </w:tc>
        <w:tc>
          <w:tcPr>
            <w:tcW w:type="dxa" w:w="51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通常留空/立即生效；如需延迟，先由律师确认。</w:t>
            </w:r>
          </w:p>
        </w:tc>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成立日会影响 IRS 27 个月、州年报和 ECOSOC 两年计算。</w:t>
            </w:r>
          </w:p>
        </w:tc>
      </w:tr>
      <w:tr>
        <w:trPr>
          <w:cantSplit/>
        </w:trPr>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Filer/signature</w:t>
            </w:r>
          </w:p>
        </w:tc>
        <w:tc>
          <w:tcPr>
            <w:tcW w:type="dxa" w:w="51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填提交人的姓名、地址及电子签名。</w:t>
            </w:r>
          </w:p>
        </w:tc>
        <w:tc>
          <w:tcPr>
            <w:tcW w:type="dxa" w:w="23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签署即声明信息真实且获授权。</w:t>
            </w:r>
          </w:p>
        </w:tc>
      </w:tr>
    </w:tbl>
    <w:p>
      <w:pPr>
        <w:spacing w:after="0"/>
      </w:pPr>
    </w:p>
    <w:tbl>
      <w:tblPr>
        <w:tblW w:type="dxa" w:w="9360"/>
        <w:jc w:val="center"/>
        <w:tblLayout w:type="fixed"/>
        <w:tblLook w:firstColumn="1" w:firstRow="1" w:lastColumn="0" w:lastRow="0" w:noHBand="0" w:noVBand="1" w:val="04A0"/>
        <w:tblInd w:w="120" w:type="dxa"/>
      </w:tblPr>
      <w:tblGrid>
        <w:gridCol w:w="9706"/>
      </w:tblGrid>
      <w:tr>
        <w:tc>
          <w:tcPr>
            <w:tcW w:type="dxa" w:w="9706"/>
            <w:shd w:fill="F7F7F7"/>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纠错  </w:t>
            </w:r>
            <w:r>
              <w:rPr>
                <w:rFonts w:ascii="Aptos" w:hAnsi="Aptos" w:eastAsia="FangSong" w:cs="Aptos"/>
                <w:b w:val="0"/>
                <w:color w:val="303030"/>
                <w:sz w:val="19"/>
              </w:rPr>
              <w:t>当前非营利 Articles 表单没有 Authorized Shares 选项。不要把营利公司字段带入。Colorado 允许一个或以上董事；为免税治理、银行和 ECOSOC 可信度，本手册建议 3–5 名且多数独立。</w:t>
            </w:r>
          </w:p>
        </w:tc>
      </w:tr>
    </w:tbl>
    <w:p>
      <w:pPr>
        <w:spacing w:after="0"/>
      </w:pPr>
    </w:p>
    <w:p>
      <w:pPr>
        <w:pStyle w:val="Heading2"/>
      </w:pPr>
      <w:r>
        <w:rPr>
          <w:rFonts w:ascii="Aptos" w:hAnsi="Aptos" w:eastAsia="FangSong" w:cs="Aptos"/>
        </w:rPr>
        <w:t>03.4 提交、付款与归档</w:t>
      </w:r>
    </w:p>
    <w:p>
      <w:pPr>
        <w:pStyle w:val="ListNumber"/>
      </w:pPr>
      <w:r>
        <w:rPr>
          <w:rFonts w:ascii="Aptos" w:hAnsi="Aptos" w:eastAsia="FangSong" w:cs="Aptos"/>
        </w:rPr>
        <w:t>点击 Review，逐字核对法定名称、地址、agent、member 选择、解散条款和附件。</w:t>
      </w:r>
    </w:p>
    <w:p>
      <w:pPr>
        <w:pStyle w:val="ListNumber"/>
      </w:pPr>
      <w:r>
        <w:rPr>
          <w:rFonts w:ascii="Aptos" w:hAnsi="Aptos" w:eastAsia="FangSong" w:cs="Aptos"/>
        </w:rPr>
        <w:t>保存提交前整页 PDF/截图；支付当前州务费（核验日 $50）。</w:t>
      </w:r>
    </w:p>
    <w:p>
      <w:pPr>
        <w:pStyle w:val="ListNumber"/>
      </w:pPr>
      <w:r>
        <w:rPr>
          <w:rFonts w:ascii="Aptos" w:hAnsi="Aptos" w:eastAsia="FangSong" w:cs="Aptos"/>
        </w:rPr>
        <w:t>下载 filed Articles、transaction/filing confirmation 和 entity ID；不要只保存浏览器成功页。</w:t>
      </w:r>
    </w:p>
    <w:p>
      <w:pPr>
        <w:pStyle w:val="ListNumber"/>
      </w:pPr>
      <w:r>
        <w:rPr>
          <w:rFonts w:ascii="Aptos" w:hAnsi="Aptos" w:eastAsia="FangSong" w:cs="Aptos"/>
        </w:rPr>
        <w:t>进入 entity record，下载免费 Certificate of Good Standing；记录 periodic report month。</w:t>
      </w:r>
    </w:p>
    <w:p>
      <w:pPr>
        <w:pStyle w:val="ListNumber"/>
      </w:pPr>
      <w:r>
        <w:rPr>
          <w:rFonts w:ascii="Aptos" w:hAnsi="Aptos" w:eastAsia="FangSong" w:cs="Aptos"/>
        </w:rPr>
        <w:t>把成立日作为 Day 0，启动 27 个月 IRS 倒计时、Colorado periodic report、首次税年和 ECOSOC 两年证据期。</w:t>
      </w:r>
    </w:p>
    <w:p>
      <w:pPr>
        <w:pStyle w:val="Heading3"/>
      </w:pPr>
      <w:r>
        <w:rPr>
          <w:rFonts w:ascii="Aptos" w:hAnsi="Aptos" w:eastAsia="FangSong" w:cs="Aptos"/>
        </w:rPr>
        <w:t>提交后 24 小时检查</w:t>
      </w:r>
    </w:p>
    <w:p>
      <w:pPr>
        <w:pStyle w:val="ListBullet"/>
      </w:pPr>
      <w:r>
        <w:rPr>
          <w:rFonts w:ascii="Aptos" w:hAnsi="Aptos" w:eastAsia="FangSong" w:cs="Aptos"/>
        </w:rPr>
        <w:t>☐ Entity status 显示 Good Standing。</w:t>
      </w:r>
    </w:p>
    <w:p>
      <w:pPr>
        <w:pStyle w:val="ListBullet"/>
      </w:pPr>
      <w:r>
        <w:rPr>
          <w:rFonts w:ascii="Aptos" w:hAnsi="Aptos" w:eastAsia="FangSong" w:cs="Aptos"/>
        </w:rPr>
        <w:t>☐ 法定名称、principal office、registered agent 与回执完全一致。</w:t>
      </w:r>
    </w:p>
    <w:p>
      <w:pPr>
        <w:pStyle w:val="ListBullet"/>
      </w:pPr>
      <w:r>
        <w:rPr>
          <w:rFonts w:ascii="Aptos" w:hAnsi="Aptos" w:eastAsia="FangSong" w:cs="Aptos"/>
        </w:rPr>
        <w:t>☐ filed document 可以公开下载；附件已被州务系统正确收录。</w:t>
      </w:r>
    </w:p>
    <w:p>
      <w:pPr>
        <w:pStyle w:val="ListBullet"/>
      </w:pPr>
      <w:r>
        <w:rPr>
          <w:rFonts w:ascii="Aptos" w:hAnsi="Aptos" w:eastAsia="FangSong" w:cs="Aptos"/>
        </w:rPr>
        <w:t>☐ 服务商收到成立通知并能按公司名收件。</w:t>
      </w:r>
    </w:p>
    <w:p>
      <w:pPr>
        <w:pStyle w:val="ListBullet"/>
      </w:pPr>
      <w:r>
        <w:rPr>
          <w:rFonts w:ascii="Aptos" w:hAnsi="Aptos" w:eastAsia="FangSong" w:cs="Aptos"/>
        </w:rPr>
        <w:t>☐ 如发现错误，先确定正确的 correction/amendment 表格，不要重新成立第二家公司。</w:t>
      </w:r>
    </w:p>
    <w:p>
      <w:r>
        <w:br w:type="page"/>
      </w:r>
    </w:p>
    <w:p>
      <w:pPr>
        <w:spacing w:after="40"/>
      </w:pPr>
      <w:r>
        <w:rPr>
          <w:rFonts w:ascii="Aptos" w:hAnsi="Aptos" w:eastAsia="Microsoft YaHei" w:cs="Aptos"/>
          <w:b/>
          <w:color w:val="6A6A6A"/>
          <w:sz w:val="16"/>
        </w:rPr>
        <w:t>MODULE 04</w:t>
      </w:r>
    </w:p>
    <w:p>
      <w:pPr>
        <w:pStyle w:val="Heading1"/>
      </w:pPr>
      <w:r>
        <w:rPr>
          <w:rFonts w:ascii="Aptos" w:hAnsi="Aptos" w:eastAsia="FangSong" w:cs="Aptos"/>
        </w:rPr>
        <w:t>董事会、Bylaws 与初始组织决议</w:t>
      </w:r>
    </w:p>
    <w:p>
      <w:pPr>
        <w:keepLines/>
      </w:pPr>
      <w:r>
        <w:rPr>
          <w:rFonts w:ascii="Aptos" w:hAnsi="Aptos" w:eastAsia="FangSong" w:cs="Aptos"/>
          <w:color w:val="6A6A6A"/>
          <w:sz w:val="21"/>
        </w:rPr>
        <w:t>州务成立只是外壳；董事会采用治理文件、任命高管并建立独立决策记录后，机构才可安全签约和申请免税。</w:t>
      </w:r>
    </w:p>
    <w:p>
      <w:pPr>
        <w:spacing w:after="180"/>
        <w:pBdr>
          <w:bottom w:val="single" w:sz="10" w:space="1" w:color="111111"/>
        </w:pBdr>
      </w:pPr>
    </w:p>
    <w:p>
      <w:pPr>
        <w:pStyle w:val="Heading2"/>
      </w:pPr>
      <w:r>
        <w:rPr>
          <w:rFonts w:ascii="Aptos" w:hAnsi="Aptos" w:eastAsia="FangSong" w:cs="Aptos"/>
        </w:rPr>
        <w:t>04.1 董事会配置</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158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项目</w:t>
            </w:r>
          </w:p>
        </w:tc>
        <w:tc>
          <w:tcPr>
            <w:tcW w:type="dxa" w:w="324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最低法律线</w:t>
            </w:r>
          </w:p>
        </w:tc>
        <w:tc>
          <w:tcPr>
            <w:tcW w:type="dxa" w:w="475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本项目建议</w:t>
            </w:r>
          </w:p>
        </w:tc>
      </w:tr>
      <w:tr>
        <w:trPr>
          <w:cantSplit/>
        </w:trPr>
        <w:tc>
          <w:tcPr>
            <w:tcW w:type="dxa" w:w="15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董事人数</w:t>
            </w:r>
          </w:p>
        </w:tc>
        <w:tc>
          <w:tcPr>
            <w:tcW w:type="dxa" w:w="32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Colorado 法允许一个或以上，具体由 bylaws 规定。</w:t>
            </w:r>
          </w:p>
        </w:tc>
        <w:tc>
          <w:tcPr>
            <w:tcW w:type="dxa" w:w="47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3–5 人；多数无亲属、雇佣、投资、供应商或共同商业控制关系。</w:t>
            </w:r>
          </w:p>
        </w:tc>
      </w:tr>
      <w:tr>
        <w:trPr>
          <w:cantSplit/>
        </w:trPr>
        <w:tc>
          <w:tcPr>
            <w:tcW w:type="dxa" w:w="15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居住地</w:t>
            </w:r>
          </w:p>
        </w:tc>
        <w:tc>
          <w:tcPr>
            <w:tcW w:type="dxa" w:w="32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一般不要求董事为 Colorado 或美国居民。</w:t>
            </w:r>
          </w:p>
        </w:tc>
        <w:tc>
          <w:tcPr>
            <w:tcW w:type="dxa" w:w="47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至少一名熟悉美国治理/银行/税务的人；但不能作为名义董事。</w:t>
            </w:r>
          </w:p>
        </w:tc>
      </w:tr>
      <w:tr>
        <w:trPr>
          <w:cantSplit/>
        </w:trPr>
        <w:tc>
          <w:tcPr>
            <w:tcW w:type="dxa" w:w="15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任期</w:t>
            </w:r>
          </w:p>
        </w:tc>
        <w:tc>
          <w:tcPr>
            <w:tcW w:type="dxa" w:w="32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由 bylaws 规定；未规定时可能适用法定默认。</w:t>
            </w:r>
          </w:p>
        </w:tc>
        <w:tc>
          <w:tcPr>
            <w:tcW w:type="dxa" w:w="47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 年，可连任；错峰任期在规模扩大后采用。</w:t>
            </w:r>
          </w:p>
        </w:tc>
      </w:tr>
      <w:tr>
        <w:trPr>
          <w:cantSplit/>
        </w:trPr>
        <w:tc>
          <w:tcPr>
            <w:tcW w:type="dxa" w:w="15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高管</w:t>
            </w:r>
          </w:p>
        </w:tc>
        <w:tc>
          <w:tcPr>
            <w:tcW w:type="dxa" w:w="32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按 bylaws/董事会决议设置。</w:t>
            </w:r>
          </w:p>
        </w:tc>
        <w:tc>
          <w:tcPr>
            <w:tcW w:type="dxa" w:w="47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President/CEO、Secretary、Treasurer；CEO 与 Board Chair 尽量分离。</w:t>
            </w:r>
          </w:p>
        </w:tc>
      </w:tr>
      <w:tr>
        <w:trPr>
          <w:cantSplit/>
        </w:trPr>
        <w:tc>
          <w:tcPr>
            <w:tcW w:type="dxa" w:w="15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独立性</w:t>
            </w:r>
          </w:p>
        </w:tc>
        <w:tc>
          <w:tcPr>
            <w:tcW w:type="dxa" w:w="32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州法未以 501(c)(3) 术语规定统一比例。</w:t>
            </w:r>
          </w:p>
        </w:tc>
        <w:tc>
          <w:tcPr>
            <w:tcW w:type="dxa" w:w="47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关联交易和薪酬事项仅由独立董事决定并记录。</w:t>
            </w:r>
          </w:p>
        </w:tc>
      </w:tr>
    </w:tbl>
    <w:p>
      <w:pPr>
        <w:spacing w:after="0"/>
      </w:pPr>
    </w:p>
    <w:p>
      <w:pPr>
        <w:pStyle w:val="Heading2"/>
      </w:pPr>
      <w:r>
        <w:rPr>
          <w:rFonts w:ascii="Aptos" w:hAnsi="Aptos" w:eastAsia="FangSong" w:cs="Aptos"/>
        </w:rPr>
        <w:t>04.2 Bylaws 必须覆盖</w:t>
      </w:r>
    </w:p>
    <w:p>
      <w:pPr>
        <w:pStyle w:val="ListBullet"/>
      </w:pPr>
      <w:r>
        <w:rPr>
          <w:rFonts w:ascii="Aptos" w:hAnsi="Aptos" w:eastAsia="FangSong" w:cs="Aptos"/>
        </w:rPr>
        <w:t>☐ 无 voting members；全部公司权力由董事会行使。</w:t>
      </w:r>
    </w:p>
    <w:p>
      <w:pPr>
        <w:pStyle w:val="ListBullet"/>
      </w:pPr>
      <w:r>
        <w:rPr>
          <w:rFonts w:ascii="Aptos" w:hAnsi="Aptos" w:eastAsia="FangSong" w:cs="Aptos"/>
        </w:rPr>
        <w:t>☐ 董事人数/范围、资格、选任、任期、辞职、免职、空缺和年度会议。</w:t>
      </w:r>
    </w:p>
    <w:p>
      <w:pPr>
        <w:pStyle w:val="ListBullet"/>
      </w:pPr>
      <w:r>
        <w:rPr>
          <w:rFonts w:ascii="Aptos" w:hAnsi="Aptos" w:eastAsia="FangSong" w:cs="Aptos"/>
        </w:rPr>
        <w:t>☐ 通知、远程会议、法定人数（建议在任董事过半数）和通过票数。</w:t>
      </w:r>
    </w:p>
    <w:p>
      <w:pPr>
        <w:pStyle w:val="ListBullet"/>
      </w:pPr>
      <w:r>
        <w:rPr>
          <w:rFonts w:ascii="Aptos" w:hAnsi="Aptos" w:eastAsia="FangSong" w:cs="Aptos"/>
        </w:rPr>
        <w:t>☐ 不召开会议的书面行动：首份组织决议采用全体董事签署；电子签名和完整副本的保存方式。</w:t>
      </w:r>
    </w:p>
    <w:p>
      <w:pPr>
        <w:pStyle w:val="ListBullet"/>
      </w:pPr>
      <w:r>
        <w:rPr>
          <w:rFonts w:ascii="Aptos" w:hAnsi="Aptos" w:eastAsia="FangSong" w:cs="Aptos"/>
        </w:rPr>
        <w:t>☐ President/CEO、Secretary、Treasurer 的职责；不得一人绕过董事会控制银行和账目。</w:t>
      </w:r>
    </w:p>
    <w:p>
      <w:pPr>
        <w:pStyle w:val="ListBullet"/>
      </w:pPr>
      <w:r>
        <w:rPr>
          <w:rFonts w:ascii="Aptos" w:hAnsi="Aptos" w:eastAsia="FangSong" w:cs="Aptos"/>
        </w:rPr>
        <w:t>☐ 委员会权限及不能下放的董事会事项。</w:t>
      </w:r>
    </w:p>
    <w:p>
      <w:pPr>
        <w:pStyle w:val="ListBullet"/>
      </w:pPr>
      <w:r>
        <w:rPr>
          <w:rFonts w:ascii="Aptos" w:hAnsi="Aptos" w:eastAsia="FangSong" w:cs="Aptos"/>
        </w:rPr>
        <w:t>☐ 利益冲突、薪酬、关联交易、赔偿/保险、记录、财年、修订和解散。</w:t>
      </w:r>
    </w:p>
    <w:p>
      <w:pPr>
        <w:pStyle w:val="ListBullet"/>
      </w:pPr>
      <w:r>
        <w:rPr>
          <w:rFonts w:ascii="Aptos" w:hAnsi="Aptos" w:eastAsia="FangSong" w:cs="Aptos"/>
        </w:rPr>
        <w:t>☐ 明确 501(c)(3) 私人利益、政治竞选、游说和资产分配限制。</w:t>
      </w:r>
    </w:p>
    <w:p>
      <w:pPr>
        <w:pStyle w:val="Heading2"/>
      </w:pPr>
      <w:r>
        <w:rPr>
          <w:rFonts w:ascii="Aptos" w:hAnsi="Aptos" w:eastAsia="FangSong" w:cs="Aptos"/>
        </w:rPr>
        <w:t>04.3 初始组织行动：按此顺序签</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64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顺序</w:t>
            </w:r>
          </w:p>
        </w:tc>
        <w:tc>
          <w:tcPr>
            <w:tcW w:type="dxa" w:w="590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董事会行动</w:t>
            </w:r>
          </w:p>
        </w:tc>
        <w:tc>
          <w:tcPr>
            <w:tcW w:type="dxa" w:w="302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需附文件</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1</w:t>
            </w:r>
          </w:p>
        </w:tc>
        <w:tc>
          <w:tcPr>
            <w:tcW w:type="dxa" w:w="59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确认 filed Articles 和成立日。</w:t>
            </w:r>
          </w:p>
        </w:tc>
        <w:tc>
          <w:tcPr>
            <w:tcW w:type="dxa" w:w="30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Articles + Good Standing</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w:t>
            </w:r>
          </w:p>
        </w:tc>
        <w:tc>
          <w:tcPr>
            <w:tcW w:type="dxa" w:w="590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采用 Bylaws。</w:t>
            </w:r>
          </w:p>
        </w:tc>
        <w:tc>
          <w:tcPr>
            <w:tcW w:type="dxa" w:w="30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签署版 Bylaws</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3</w:t>
            </w:r>
          </w:p>
        </w:tc>
        <w:tc>
          <w:tcPr>
            <w:tcW w:type="dxa" w:w="59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确认初始董事，选举 Board Chair 及高管。</w:t>
            </w:r>
          </w:p>
        </w:tc>
        <w:tc>
          <w:tcPr>
            <w:tcW w:type="dxa" w:w="30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姓名、地址、任期、联系方式</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4</w:t>
            </w:r>
          </w:p>
        </w:tc>
        <w:tc>
          <w:tcPr>
            <w:tcW w:type="dxa" w:w="590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确定日历年财年（12 月 31 日结束）与会计方法。</w:t>
            </w:r>
          </w:p>
        </w:tc>
        <w:tc>
          <w:tcPr>
            <w:tcW w:type="dxa" w:w="30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财年决议</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5</w:t>
            </w:r>
          </w:p>
        </w:tc>
        <w:tc>
          <w:tcPr>
            <w:tcW w:type="dxa" w:w="59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采用 Conflict of Interest Policy；每位董事/高管签年度披露。</w:t>
            </w:r>
          </w:p>
        </w:tc>
        <w:tc>
          <w:tcPr>
            <w:tcW w:type="dxa" w:w="30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政策 + 披露表</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6</w:t>
            </w:r>
          </w:p>
        </w:tc>
        <w:tc>
          <w:tcPr>
            <w:tcW w:type="dxa" w:w="590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授权负责高管申请 EIN、提交 Form 1023、与 IRS 通讯。</w:t>
            </w:r>
          </w:p>
        </w:tc>
        <w:tc>
          <w:tcPr>
            <w:tcW w:type="dxa" w:w="30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授权条款</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7</w:t>
            </w:r>
          </w:p>
        </w:tc>
        <w:tc>
          <w:tcPr>
            <w:tcW w:type="dxa" w:w="59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授权开银行账户；规定签字人、双重审批、卡片与网银权限。</w:t>
            </w:r>
          </w:p>
        </w:tc>
        <w:tc>
          <w:tcPr>
            <w:tcW w:type="dxa" w:w="30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Banking Resolution</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8</w:t>
            </w:r>
          </w:p>
        </w:tc>
        <w:tc>
          <w:tcPr>
            <w:tcW w:type="dxa" w:w="590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批准启动预算、会计科目和支出报销政策。</w:t>
            </w:r>
          </w:p>
        </w:tc>
        <w:tc>
          <w:tcPr>
            <w:tcW w:type="dxa" w:w="30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Budget + expense policy</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9</w:t>
            </w:r>
          </w:p>
        </w:tc>
        <w:tc>
          <w:tcPr>
            <w:tcW w:type="dxa" w:w="59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决定 Climate Passport 结构；未获独立批准前暂停 DBA、许可、付款和共用数据。</w:t>
            </w:r>
          </w:p>
        </w:tc>
        <w:tc>
          <w:tcPr>
            <w:tcW w:type="dxa" w:w="30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结构图 + 回避记录</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10</w:t>
            </w:r>
          </w:p>
        </w:tc>
        <w:tc>
          <w:tcPr>
            <w:tcW w:type="dxa" w:w="590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采用 document retention、whistleblower、compensation、foreign project/OFAC、privacy/safeguarding 政策。</w:t>
            </w:r>
          </w:p>
        </w:tc>
        <w:tc>
          <w:tcPr>
            <w:tcW w:type="dxa" w:w="30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政策包</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11</w:t>
            </w:r>
          </w:p>
        </w:tc>
        <w:tc>
          <w:tcPr>
            <w:tcW w:type="dxa" w:w="59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授权 Colorado charity registration，并限制在其他州的公开募捐。</w:t>
            </w:r>
          </w:p>
        </w:tc>
        <w:tc>
          <w:tcPr>
            <w:tcW w:type="dxa" w:w="30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募资范围决议</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12</w:t>
            </w:r>
          </w:p>
        </w:tc>
        <w:tc>
          <w:tcPr>
            <w:tcW w:type="dxa" w:w="590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确定年度董事会和合规日历。</w:t>
            </w:r>
          </w:p>
        </w:tc>
        <w:tc>
          <w:tcPr>
            <w:tcW w:type="dxa" w:w="30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calendar + responsible owner</w:t>
            </w:r>
          </w:p>
        </w:tc>
      </w:tr>
    </w:tbl>
    <w:p>
      <w:pPr>
        <w:spacing w:after="0"/>
      </w:pPr>
    </w:p>
    <w:tbl>
      <w:tblPr>
        <w:tblW w:type="dxa" w:w="9360"/>
        <w:jc w:val="center"/>
        <w:tblLayout w:type="fixed"/>
        <w:tblLook w:firstColumn="1" w:firstRow="1" w:lastColumn="0" w:lastRow="0" w:noHBand="0" w:noVBand="1" w:val="04A0"/>
        <w:tblInd w:w="120" w:type="dxa"/>
      </w:tblPr>
      <w:tblGrid>
        <w:gridCol w:w="9706"/>
      </w:tblGrid>
      <w:tr>
        <w:tc>
          <w:tcPr>
            <w:tcW w:type="dxa" w:w="9706"/>
            <w:shd w:fill="F7F7F7"/>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执行  </w:t>
            </w:r>
            <w:r>
              <w:rPr>
                <w:rFonts w:ascii="Aptos" w:hAnsi="Aptos" w:eastAsia="FangSong" w:cs="Aptos"/>
                <w:b w:val="0"/>
                <w:color w:val="303030"/>
                <w:sz w:val="19"/>
              </w:rPr>
              <w:t>首份组织决议可采用全体董事一致书面同意；所有签名页、附件和日期应组合为一个不可修改 PDF，同时保存可编辑源文件。不要只签 Bylaws 而不签采用它的董事会行动。</w:t>
            </w:r>
          </w:p>
        </w:tc>
      </w:tr>
    </w:tbl>
    <w:p>
      <w:pPr>
        <w:spacing w:after="0"/>
      </w:pPr>
    </w:p>
    <w:p>
      <w:pPr>
        <w:pStyle w:val="Heading2"/>
      </w:pPr>
      <w:r>
        <w:rPr>
          <w:rFonts w:ascii="Aptos" w:hAnsi="Aptos" w:eastAsia="FangSong" w:cs="Aptos"/>
        </w:rPr>
        <w:t>04.4 至少立即采用的政策</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208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政策</w:t>
            </w:r>
          </w:p>
        </w:tc>
        <w:tc>
          <w:tcPr>
            <w:tcW w:type="dxa" w:w="468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为什么现在就需要</w:t>
            </w:r>
          </w:p>
        </w:tc>
        <w:tc>
          <w:tcPr>
            <w:tcW w:type="dxa" w:w="280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年度动作</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Conflict of Interest</w:t>
            </w:r>
          </w:p>
        </w:tc>
        <w:tc>
          <w:tcPr>
            <w:tcW w:type="dxa" w:w="468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商业 Climate Passport、创始人薪酬、关联供应商风险高。</w:t>
            </w:r>
          </w:p>
        </w:tc>
        <w:tc>
          <w:tcPr>
            <w:tcW w:type="dxa" w:w="28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每年披露；每笔关联交易单独批准。</w:t>
            </w:r>
          </w:p>
        </w:tc>
      </w:tr>
      <w:tr>
        <w:trPr>
          <w:cantSplit/>
        </w:trPr>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Compensation</w:t>
            </w:r>
          </w:p>
        </w:tc>
        <w:tc>
          <w:tcPr>
            <w:tcW w:type="dxa" w:w="468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防止 excess benefit；建立可比性与会议记录。</w:t>
            </w:r>
          </w:p>
        </w:tc>
        <w:tc>
          <w:tcPr>
            <w:tcW w:type="dxa" w:w="28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独立董事提前批准并保存 comparability data。</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Document Retention</w:t>
            </w:r>
          </w:p>
        </w:tc>
        <w:tc>
          <w:tcPr>
            <w:tcW w:type="dxa" w:w="468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1023、990、ECOSOC、跨境项目和数据证据需要长期可追溯。</w:t>
            </w:r>
          </w:p>
        </w:tc>
        <w:tc>
          <w:tcPr>
            <w:tcW w:type="dxa" w:w="28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每年检查保存期与 legal hold。</w:t>
            </w:r>
          </w:p>
        </w:tc>
      </w:tr>
      <w:tr>
        <w:trPr>
          <w:cantSplit/>
        </w:trPr>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Whistleblower</w:t>
            </w:r>
          </w:p>
        </w:tc>
        <w:tc>
          <w:tcPr>
            <w:tcW w:type="dxa" w:w="468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为员工、志愿者和合作方提供升级渠道。</w:t>
            </w:r>
          </w:p>
        </w:tc>
        <w:tc>
          <w:tcPr>
            <w:tcW w:type="dxa" w:w="28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测试渠道、无报复培训。</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Foreign Project / OFAC</w:t>
            </w:r>
          </w:p>
        </w:tc>
        <w:tc>
          <w:tcPr>
            <w:tcW w:type="dxa" w:w="468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中国项目、跨境付款、合作方和银行筛查。</w:t>
            </w:r>
          </w:p>
        </w:tc>
        <w:tc>
          <w:tcPr>
            <w:tcW w:type="dxa" w:w="28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每项目、每付款、名单更新时复查。</w:t>
            </w:r>
          </w:p>
        </w:tc>
      </w:tr>
      <w:tr>
        <w:trPr>
          <w:cantSplit/>
        </w:trPr>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Privacy &amp; Safeguarding</w:t>
            </w:r>
          </w:p>
        </w:tc>
        <w:tc>
          <w:tcPr>
            <w:tcW w:type="dxa" w:w="468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可能接触未成年人、学校和跨境个人信息。</w:t>
            </w:r>
          </w:p>
        </w:tc>
        <w:tc>
          <w:tcPr>
            <w:tcW w:type="dxa" w:w="28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数据地图、同意、供应商和事件演练。</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Expense/Reimbursement</w:t>
            </w:r>
          </w:p>
        </w:tc>
        <w:tc>
          <w:tcPr>
            <w:tcW w:type="dxa" w:w="468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防止个人/商业项目费用混入慈善账目。</w:t>
            </w:r>
          </w:p>
        </w:tc>
        <w:tc>
          <w:tcPr>
            <w:tcW w:type="dxa" w:w="28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凭证、审批、时限、禁止项目清单。</w:t>
            </w:r>
          </w:p>
        </w:tc>
      </w:tr>
    </w:tbl>
    <w:p>
      <w:pPr>
        <w:spacing w:after="0"/>
      </w:pPr>
    </w:p>
    <w:p>
      <w:r>
        <w:br w:type="page"/>
      </w:r>
    </w:p>
    <w:p>
      <w:pPr>
        <w:spacing w:after="40"/>
      </w:pPr>
      <w:r>
        <w:rPr>
          <w:rFonts w:ascii="Aptos" w:hAnsi="Aptos" w:eastAsia="Microsoft YaHei" w:cs="Aptos"/>
          <w:b/>
          <w:color w:val="6A6A6A"/>
          <w:sz w:val="16"/>
        </w:rPr>
        <w:t>MODULE 05</w:t>
      </w:r>
    </w:p>
    <w:p>
      <w:pPr>
        <w:pStyle w:val="Heading1"/>
      </w:pPr>
      <w:r>
        <w:rPr>
          <w:rFonts w:ascii="Aptos" w:hAnsi="Aptos" w:eastAsia="FangSong" w:cs="Aptos"/>
        </w:rPr>
        <w:t>EIN：在线还是国际 SS-4</w:t>
      </w:r>
    </w:p>
    <w:p>
      <w:pPr>
        <w:keepLines/>
      </w:pPr>
      <w:r>
        <w:rPr>
          <w:rFonts w:ascii="Aptos" w:hAnsi="Aptos" w:eastAsia="FangSong" w:cs="Aptos"/>
          <w:color w:val="6A6A6A"/>
          <w:sz w:val="21"/>
        </w:rPr>
        <w:t>先按实际经营地选择申请渠道；ITIN 解决身份号码问题，但不能把境外经营中心变成美国经营中心。</w:t>
      </w:r>
    </w:p>
    <w:p>
      <w:pPr>
        <w:spacing w:after="180"/>
        <w:pBdr>
          <w:bottom w:val="single" w:sz="10" w:space="1" w:color="111111"/>
        </w:pBdr>
      </w:pPr>
    </w:p>
    <w:p>
      <w:pPr>
        <w:pStyle w:val="Heading2"/>
      </w:pPr>
      <w:r>
        <w:rPr>
          <w:rFonts w:ascii="Aptos" w:hAnsi="Aptos" w:eastAsia="FangSong" w:cs="Aptos"/>
        </w:rPr>
        <w:t>05.1 决策树</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367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事实</w:t>
            </w:r>
          </w:p>
        </w:tc>
        <w:tc>
          <w:tcPr>
            <w:tcW w:type="dxa" w:w="338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申请路径</w:t>
            </w:r>
          </w:p>
        </w:tc>
        <w:tc>
          <w:tcPr>
            <w:tcW w:type="dxa" w:w="252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不要做</w:t>
            </w:r>
          </w:p>
        </w:tc>
      </w:tr>
      <w:tr>
        <w:trPr>
          <w:cantSplit/>
        </w:trPr>
        <w:tc>
          <w:tcPr>
            <w:tcW w:type="dxa" w:w="36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实际 principal business / office / agency 位于美国或美国领地；responsible party 有 SSN/ITIN。</w:t>
            </w:r>
          </w:p>
        </w:tc>
        <w:tc>
          <w:tcPr>
            <w:tcW w:type="dxa" w:w="33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IRS EIN Online；一次完成并下载 assignment notice。</w:t>
            </w:r>
          </w:p>
        </w:tc>
        <w:tc>
          <w:tcPr>
            <w:tcW w:type="dxa" w:w="25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不要让第三方抢占 responsible party；不要一天多次申请。</w:t>
            </w:r>
          </w:p>
        </w:tc>
      </w:tr>
      <w:tr>
        <w:trPr>
          <w:cantSplit/>
        </w:trPr>
        <w:tc>
          <w:tcPr>
            <w:tcW w:type="dxa" w:w="36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实际管理、控制和主要办公仍在上海/美国境外。</w:t>
            </w:r>
          </w:p>
        </w:tc>
        <w:tc>
          <w:tcPr>
            <w:tcW w:type="dxa" w:w="33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填写 Form SS-4，走国际电话 267-941-1099、国际传真或邮寄。</w:t>
            </w:r>
          </w:p>
        </w:tc>
        <w:tc>
          <w:tcPr>
            <w:tcW w:type="dxa" w:w="25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不要仅用 Denver 收信地址冒充实际经营中心以进入在线通道。</w:t>
            </w:r>
          </w:p>
        </w:tc>
      </w:tr>
      <w:tr>
        <w:trPr>
          <w:cantSplit/>
        </w:trPr>
        <w:tc>
          <w:tcPr>
            <w:tcW w:type="dxa" w:w="36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事实不清：管理团队跨美中两地、无固定办公室。</w:t>
            </w:r>
          </w:p>
        </w:tc>
        <w:tc>
          <w:tcPr>
            <w:tcW w:type="dxa" w:w="33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由美国税务律师/CPA 写一页事实判断，确定 line 5/6 和渠道。</w:t>
            </w:r>
          </w:p>
        </w:tc>
        <w:tc>
          <w:tcPr>
            <w:tcW w:type="dxa" w:w="25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不要依“银行想看到美国地址”倒推税务事实。</w:t>
            </w:r>
          </w:p>
        </w:tc>
      </w:tr>
    </w:tbl>
    <w:p>
      <w:pPr>
        <w:spacing w:after="0"/>
      </w:pPr>
    </w:p>
    <w:p>
      <w:pPr>
        <w:pStyle w:val="Heading2"/>
      </w:pPr>
      <w:r>
        <w:rPr>
          <w:rFonts w:ascii="Aptos" w:hAnsi="Aptos" w:eastAsia="FangSong" w:cs="Aptos"/>
        </w:rPr>
        <w:t>05.2 Responsible Party</w:t>
      </w:r>
    </w:p>
    <w:p>
      <w:r>
        <w:rPr>
          <w:rFonts w:ascii="Aptos" w:hAnsi="Aptos" w:eastAsia="FangSong" w:cs="Aptos"/>
        </w:rPr>
        <w:t>应填写对公司及其资金拥有最终有效控制的个人，例如实际 President/CEO，而不是注册代理人、律师、服务商、名义美国朋友或普通 nominee。Rao Wei 如确为最终负责高管且 ITIN 有效，可作为 responsible party；董事会应在组织决议中授权。</w:t>
      </w:r>
    </w:p>
    <w:p>
      <w:pPr>
        <w:pStyle w:val="Heading2"/>
      </w:pPr>
      <w:r>
        <w:rPr>
          <w:rFonts w:ascii="Aptos" w:hAnsi="Aptos" w:eastAsia="FangSong" w:cs="Aptos"/>
        </w:rPr>
        <w:t>05.3 在线路径（仅适用于美国实际 principal office）</w:t>
      </w:r>
    </w:p>
    <w:p>
      <w:pPr>
        <w:pStyle w:val="ListNumber"/>
      </w:pPr>
      <w:r>
        <w:rPr>
          <w:rFonts w:ascii="Aptos" w:hAnsi="Aptos" w:eastAsia="FangSong" w:cs="Aptos"/>
        </w:rPr>
        <w:t>进入 IRS Get an Employer Identification Number 页面，选择 Apply Online。</w:t>
      </w:r>
    </w:p>
    <w:p>
      <w:pPr>
        <w:pStyle w:val="ListNumber"/>
      </w:pPr>
      <w:r>
        <w:rPr>
          <w:rFonts w:ascii="Aptos" w:hAnsi="Aptos" w:eastAsia="FangSong" w:cs="Aptos"/>
        </w:rPr>
        <w:t>组织类型选择能准确描述非营利公司的选项；系统措辞若变化，以“other nonprofit/tax-exempt organization”相关路径为准。</w:t>
      </w:r>
    </w:p>
    <w:p>
      <w:pPr>
        <w:pStyle w:val="ListNumber"/>
      </w:pPr>
      <w:r>
        <w:rPr>
          <w:rFonts w:ascii="Aptos" w:hAnsi="Aptos" w:eastAsia="FangSong" w:cs="Aptos"/>
        </w:rPr>
        <w:t>原因选择 Started a new business；输入法定名称、成立日、Colorado、responsible party ITIN 和真实地址。</w:t>
      </w:r>
    </w:p>
    <w:p>
      <w:pPr>
        <w:pStyle w:val="ListNumber"/>
      </w:pPr>
      <w:r>
        <w:rPr>
          <w:rFonts w:ascii="Aptos" w:hAnsi="Aptos" w:eastAsia="FangSong" w:cs="Aptos"/>
        </w:rPr>
        <w:t>提交前将每一页打印/保存为 PDF；系统一次会话完成。</w:t>
      </w:r>
    </w:p>
    <w:p>
      <w:pPr>
        <w:pStyle w:val="ListNumber"/>
      </w:pPr>
      <w:r>
        <w:rPr>
          <w:rFonts w:ascii="Aptos" w:hAnsi="Aptos" w:eastAsia="FangSong" w:cs="Aptos"/>
        </w:rPr>
        <w:t>立即下载 EIN assignment notice；另存两个位置。关闭窗口后可能无法再次即时下载。</w:t>
      </w:r>
    </w:p>
    <w:p>
      <w:r>
        <w:rPr>
          <w:rFonts w:ascii="Aptos" w:hAnsi="Aptos" w:eastAsia="FangSong" w:cs="Aptos"/>
        </w:rPr>
        <w:t>入口与当前开放时段：</w:t>
      </w:r>
      <w:hyperlink r:id="rId17">
        <w:r>
          <w:rPr>
            <w:rFonts w:ascii="Aptos" w:hAnsi="Aptos" w:eastAsia="FangSong"/>
            <w:color w:val="303030"/>
            <w:u w:val="single"/>
          </w:rPr>
          <w:t>IRS — Get an EIN</w:t>
        </w:r>
      </w:hyperlink>
      <w:r>
        <w:t>。截至核验日，IRS 页面公布的在线时段为周一至周五 6:00 a.m.–1:00 a.m. ET、周六 6:00 a.m.–9:00 p.m. ET、周日 6:00 p.m.–midnight ET；提交当天重查。</w:t>
      </w:r>
    </w:p>
    <w:p>
      <w:pPr>
        <w:pStyle w:val="Heading2"/>
      </w:pPr>
      <w:r>
        <w:rPr>
          <w:rFonts w:ascii="Aptos" w:hAnsi="Aptos" w:eastAsia="FangSong" w:cs="Aptos"/>
        </w:rPr>
        <w:t>05.4 Form SS-4 逐行底稿（境外实际经营路径）</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1224"/>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行</w:t>
            </w:r>
          </w:p>
        </w:tc>
        <w:tc>
          <w:tcPr>
            <w:tcW w:type="dxa" w:w="2952"/>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填写逻辑</w:t>
            </w:r>
          </w:p>
        </w:tc>
        <w:tc>
          <w:tcPr>
            <w:tcW w:type="dxa" w:w="5472"/>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GPTI 底稿</w:t>
            </w:r>
          </w:p>
        </w:tc>
      </w:tr>
      <w:tr>
        <w:trPr>
          <w:cantSplit/>
        </w:trPr>
        <w:tc>
          <w:tcPr>
            <w:tcW w:type="dxa" w:w="12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1</w:t>
            </w:r>
          </w:p>
        </w:tc>
        <w:tc>
          <w:tcPr>
            <w:tcW w:type="dxa" w:w="29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Legal name</w:t>
            </w:r>
          </w:p>
        </w:tc>
        <w:tc>
          <w:tcPr>
            <w:tcW w:type="dxa" w:w="54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Global Prosperity and Transition Initiative, Inc.</w:t>
            </w:r>
          </w:p>
        </w:tc>
      </w:tr>
      <w:tr>
        <w:trPr>
          <w:cantSplit/>
        </w:trPr>
        <w:tc>
          <w:tcPr>
            <w:tcW w:type="dxa" w:w="12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2</w:t>
            </w:r>
          </w:p>
        </w:tc>
        <w:tc>
          <w:tcPr>
            <w:tcW w:type="dxa" w:w="29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Trade name</w:t>
            </w:r>
          </w:p>
        </w:tc>
        <w:tc>
          <w:tcPr>
            <w:tcW w:type="dxa" w:w="54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未批准 DBA 时留空；不要预填 The Climate Passport。</w:t>
            </w:r>
          </w:p>
        </w:tc>
      </w:tr>
      <w:tr>
        <w:trPr>
          <w:cantSplit/>
        </w:trPr>
        <w:tc>
          <w:tcPr>
            <w:tcW w:type="dxa" w:w="12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3</w:t>
            </w:r>
          </w:p>
        </w:tc>
        <w:tc>
          <w:tcPr>
            <w:tcW w:type="dxa" w:w="29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Executor/trustee/care of</w:t>
            </w:r>
          </w:p>
        </w:tc>
        <w:tc>
          <w:tcPr>
            <w:tcW w:type="dxa" w:w="54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公司通常留空；如 IRS 指引要求 c/o 再填。</w:t>
            </w:r>
          </w:p>
        </w:tc>
      </w:tr>
      <w:tr>
        <w:trPr>
          <w:cantSplit/>
        </w:trPr>
        <w:tc>
          <w:tcPr>
            <w:tcW w:type="dxa" w:w="12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4a–b</w:t>
            </w:r>
          </w:p>
        </w:tc>
        <w:tc>
          <w:tcPr>
            <w:tcW w:type="dxa" w:w="29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Mailing address</w:t>
            </w:r>
          </w:p>
        </w:tc>
        <w:tc>
          <w:tcPr>
            <w:tcW w:type="dxa" w:w="54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填写能可靠接收 IRS 原件的地址；可为合规 Denver 邮件地址。</w:t>
            </w:r>
          </w:p>
        </w:tc>
      </w:tr>
      <w:tr>
        <w:trPr>
          <w:cantSplit/>
        </w:trPr>
        <w:tc>
          <w:tcPr>
            <w:tcW w:type="dxa" w:w="12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5a–b</w:t>
            </w:r>
          </w:p>
        </w:tc>
        <w:tc>
          <w:tcPr>
            <w:tcW w:type="dxa" w:w="29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Street address if different</w:t>
            </w:r>
          </w:p>
        </w:tc>
        <w:tc>
          <w:tcPr>
            <w:tcW w:type="dxa" w:w="54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填写真实主要实体办公/经营地点；按实际情况，不能只为渠道选择而填。</w:t>
            </w:r>
          </w:p>
        </w:tc>
      </w:tr>
      <w:tr>
        <w:trPr>
          <w:cantSplit/>
        </w:trPr>
        <w:tc>
          <w:tcPr>
            <w:tcW w:type="dxa" w:w="12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6</w:t>
            </w:r>
          </w:p>
        </w:tc>
        <w:tc>
          <w:tcPr>
            <w:tcW w:type="dxa" w:w="29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County and state where principal business is located</w:t>
            </w:r>
          </w:p>
        </w:tc>
        <w:tc>
          <w:tcPr>
            <w:tcW w:type="dxa" w:w="54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若 principal business 在美国境外，按现行 instructions 对境外申请人的写法处理；先让 CPA 复核。</w:t>
            </w:r>
          </w:p>
        </w:tc>
      </w:tr>
      <w:tr>
        <w:trPr>
          <w:cantSplit/>
        </w:trPr>
        <w:tc>
          <w:tcPr>
            <w:tcW w:type="dxa" w:w="12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7a–b</w:t>
            </w:r>
          </w:p>
        </w:tc>
        <w:tc>
          <w:tcPr>
            <w:tcW w:type="dxa" w:w="29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Responsible party + SSN/EIN/ITIN</w:t>
            </w:r>
          </w:p>
        </w:tc>
        <w:tc>
          <w:tcPr>
            <w:tcW w:type="dxa" w:w="54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实际 CEO/President 的姓名与有效 ITIN；不得填 nominee。</w:t>
            </w:r>
          </w:p>
        </w:tc>
      </w:tr>
      <w:tr>
        <w:trPr>
          <w:cantSplit/>
        </w:trPr>
        <w:tc>
          <w:tcPr>
            <w:tcW w:type="dxa" w:w="12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8a</w:t>
            </w:r>
          </w:p>
        </w:tc>
        <w:tc>
          <w:tcPr>
            <w:tcW w:type="dxa" w:w="29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Is this application for an LLC?</w:t>
            </w:r>
          </w:p>
        </w:tc>
        <w:tc>
          <w:tcPr>
            <w:tcW w:type="dxa" w:w="54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No。GPTI 是 Colorado nonprofit corporation。</w:t>
            </w:r>
          </w:p>
        </w:tc>
      </w:tr>
      <w:tr>
        <w:trPr>
          <w:cantSplit/>
        </w:trPr>
        <w:tc>
          <w:tcPr>
            <w:tcW w:type="dxa" w:w="12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9a</w:t>
            </w:r>
          </w:p>
        </w:tc>
        <w:tc>
          <w:tcPr>
            <w:tcW w:type="dxa" w:w="29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Type of entity</w:t>
            </w:r>
          </w:p>
        </w:tc>
        <w:tc>
          <w:tcPr>
            <w:tcW w:type="dxa" w:w="54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Other nonprofit organization；说明 Colorado nonprofit corporation, 501(c)(3) exemption to be applied for。</w:t>
            </w:r>
          </w:p>
        </w:tc>
      </w:tr>
      <w:tr>
        <w:trPr>
          <w:cantSplit/>
        </w:trPr>
        <w:tc>
          <w:tcPr>
            <w:tcW w:type="dxa" w:w="12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9b</w:t>
            </w:r>
          </w:p>
        </w:tc>
        <w:tc>
          <w:tcPr>
            <w:tcW w:type="dxa" w:w="29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State/country of incorporation</w:t>
            </w:r>
          </w:p>
        </w:tc>
        <w:tc>
          <w:tcPr>
            <w:tcW w:type="dxa" w:w="54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Colorado, United States；成立日与 Articles 一致。</w:t>
            </w:r>
          </w:p>
        </w:tc>
      </w:tr>
      <w:tr>
        <w:trPr>
          <w:cantSplit/>
        </w:trPr>
        <w:tc>
          <w:tcPr>
            <w:tcW w:type="dxa" w:w="12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10</w:t>
            </w:r>
          </w:p>
        </w:tc>
        <w:tc>
          <w:tcPr>
            <w:tcW w:type="dxa" w:w="29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Reason for applying</w:t>
            </w:r>
          </w:p>
        </w:tc>
        <w:tc>
          <w:tcPr>
            <w:tcW w:type="dxa" w:w="54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Started new business；简述 charitable/educational/scientific nonprofit。</w:t>
            </w:r>
          </w:p>
        </w:tc>
      </w:tr>
      <w:tr>
        <w:trPr>
          <w:cantSplit/>
        </w:trPr>
        <w:tc>
          <w:tcPr>
            <w:tcW w:type="dxa" w:w="12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11</w:t>
            </w:r>
          </w:p>
        </w:tc>
        <w:tc>
          <w:tcPr>
            <w:tcW w:type="dxa" w:w="29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Date business started</w:t>
            </w:r>
          </w:p>
        </w:tc>
        <w:tc>
          <w:tcPr>
            <w:tcW w:type="dxa" w:w="54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Articles effective date。</w:t>
            </w:r>
          </w:p>
        </w:tc>
      </w:tr>
      <w:tr>
        <w:trPr>
          <w:cantSplit/>
        </w:trPr>
        <w:tc>
          <w:tcPr>
            <w:tcW w:type="dxa" w:w="12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12</w:t>
            </w:r>
          </w:p>
        </w:tc>
        <w:tc>
          <w:tcPr>
            <w:tcW w:type="dxa" w:w="29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Closing month</w:t>
            </w:r>
          </w:p>
        </w:tc>
        <w:tc>
          <w:tcPr>
            <w:tcW w:type="dxa" w:w="54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December。</w:t>
            </w:r>
          </w:p>
        </w:tc>
      </w:tr>
      <w:tr>
        <w:trPr>
          <w:cantSplit/>
        </w:trPr>
        <w:tc>
          <w:tcPr>
            <w:tcW w:type="dxa" w:w="12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13</w:t>
            </w:r>
          </w:p>
        </w:tc>
        <w:tc>
          <w:tcPr>
            <w:tcW w:type="dxa" w:w="29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Expected employees next 12 months</w:t>
            </w:r>
          </w:p>
        </w:tc>
        <w:tc>
          <w:tcPr>
            <w:tcW w:type="dxa" w:w="54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按事实填 agriculture / household / other；没有雇员填 0。</w:t>
            </w:r>
          </w:p>
        </w:tc>
      </w:tr>
      <w:tr>
        <w:trPr>
          <w:cantSplit/>
        </w:trPr>
        <w:tc>
          <w:tcPr>
            <w:tcW w:type="dxa" w:w="12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14–15</w:t>
            </w:r>
          </w:p>
        </w:tc>
        <w:tc>
          <w:tcPr>
            <w:tcW w:type="dxa" w:w="29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Employment tax options / first wages</w:t>
            </w:r>
          </w:p>
        </w:tc>
        <w:tc>
          <w:tcPr>
            <w:tcW w:type="dxa" w:w="54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无雇员时按 instructions 留空或不选择；有员工先由 payroll CPA 处理。</w:t>
            </w:r>
          </w:p>
        </w:tc>
      </w:tr>
      <w:tr>
        <w:trPr>
          <w:cantSplit/>
        </w:trPr>
        <w:tc>
          <w:tcPr>
            <w:tcW w:type="dxa" w:w="12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16</w:t>
            </w:r>
          </w:p>
        </w:tc>
        <w:tc>
          <w:tcPr>
            <w:tcW w:type="dxa" w:w="29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Principal activity</w:t>
            </w:r>
          </w:p>
        </w:tc>
        <w:tc>
          <w:tcPr>
            <w:tcW w:type="dxa" w:w="54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Other — charitable, educational, and scientific activities。</w:t>
            </w:r>
          </w:p>
        </w:tc>
      </w:tr>
      <w:tr>
        <w:trPr>
          <w:cantSplit/>
        </w:trPr>
        <w:tc>
          <w:tcPr>
            <w:tcW w:type="dxa" w:w="12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17</w:t>
            </w:r>
          </w:p>
        </w:tc>
        <w:tc>
          <w:tcPr>
            <w:tcW w:type="dxa" w:w="29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Describe activity</w:t>
            </w:r>
          </w:p>
        </w:tc>
        <w:tc>
          <w:tcPr>
            <w:tcW w:type="dxa" w:w="54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Nonpartisan climate-transition research, public education, convenings, and public-interest tools。须与 1023 一致。</w:t>
            </w:r>
          </w:p>
        </w:tc>
      </w:tr>
      <w:tr>
        <w:trPr>
          <w:cantSplit/>
        </w:trPr>
        <w:tc>
          <w:tcPr>
            <w:tcW w:type="dxa" w:w="12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18</w:t>
            </w:r>
          </w:p>
        </w:tc>
        <w:tc>
          <w:tcPr>
            <w:tcW w:type="dxa" w:w="29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Previous EIN</w:t>
            </w:r>
          </w:p>
        </w:tc>
        <w:tc>
          <w:tcPr>
            <w:tcW w:type="dxa" w:w="54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若该法人从未申请，No；不可把创始人或其他项目 EIN 混用。</w:t>
            </w:r>
          </w:p>
        </w:tc>
      </w:tr>
      <w:tr>
        <w:trPr>
          <w:cantSplit/>
        </w:trPr>
        <w:tc>
          <w:tcPr>
            <w:tcW w:type="dxa" w:w="12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Third-party designee</w:t>
            </w:r>
          </w:p>
        </w:tc>
        <w:tc>
          <w:tcPr>
            <w:tcW w:type="dxa" w:w="29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是否授权他人接收 EIN</w:t>
            </w:r>
          </w:p>
        </w:tc>
        <w:tc>
          <w:tcPr>
            <w:tcW w:type="dxa" w:w="54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仅在正式授权律师/CPA 时填写；注册代理服务商不自动获得权限。</w:t>
            </w:r>
          </w:p>
        </w:tc>
      </w:tr>
      <w:tr>
        <w:trPr>
          <w:cantSplit/>
        </w:trPr>
        <w:tc>
          <w:tcPr>
            <w:tcW w:type="dxa" w:w="12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Signature</w:t>
            </w:r>
          </w:p>
        </w:tc>
        <w:tc>
          <w:tcPr>
            <w:tcW w:type="dxa" w:w="29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负责高管签名、职务、电话、日期</w:t>
            </w:r>
          </w:p>
        </w:tc>
        <w:tc>
          <w:tcPr>
            <w:tcW w:type="dxa" w:w="54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与董事会授权和联系资料一致。</w:t>
            </w:r>
          </w:p>
        </w:tc>
      </w:tr>
    </w:tbl>
    <w:p>
      <w:pPr>
        <w:spacing w:after="0"/>
      </w:pPr>
    </w:p>
    <w:p>
      <w:pPr>
        <w:pStyle w:val="Heading2"/>
      </w:pPr>
      <w:r>
        <w:rPr>
          <w:rFonts w:ascii="Aptos" w:hAnsi="Aptos" w:eastAsia="FangSong" w:cs="Aptos"/>
        </w:rPr>
        <w:t>05.5 国际提交渠道与回执</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115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渠道</w:t>
            </w:r>
          </w:p>
        </w:tc>
        <w:tc>
          <w:tcPr>
            <w:tcW w:type="dxa" w:w="396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当前官方信息</w:t>
            </w:r>
          </w:p>
        </w:tc>
        <w:tc>
          <w:tcPr>
            <w:tcW w:type="dxa" w:w="453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操作</w:t>
            </w:r>
          </w:p>
        </w:tc>
      </w:tr>
      <w:tr>
        <w:trPr>
          <w:cantSplit/>
        </w:trPr>
        <w:tc>
          <w:tcPr>
            <w:tcW w:type="dxa" w:w="11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电话</w:t>
            </w:r>
          </w:p>
        </w:tc>
        <w:tc>
          <w:tcPr>
            <w:tcW w:type="dxa" w:w="39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+1 267-941-1099；周一至周五 6:00 a.m.–11:00 p.m. ET（非免费电话）。</w:t>
            </w:r>
          </w:p>
        </w:tc>
        <w:tc>
          <w:tcPr>
            <w:tcW w:type="dxa" w:w="453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由获授权的 responsible party/第三方拨打；手边放 SS-4、Articles、ITIN、地址和传真号。</w:t>
            </w:r>
          </w:p>
        </w:tc>
      </w:tr>
      <w:tr>
        <w:trPr>
          <w:cantSplit/>
        </w:trPr>
        <w:tc>
          <w:tcPr>
            <w:tcW w:type="dxa" w:w="11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传真</w:t>
            </w:r>
          </w:p>
        </w:tc>
        <w:tc>
          <w:tcPr>
            <w:tcW w:type="dxa" w:w="396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美国境内传真 855-215-1627；美国境外传真 304-707-9471。</w:t>
            </w:r>
          </w:p>
        </w:tc>
        <w:tc>
          <w:tcPr>
            <w:tcW w:type="dxa" w:w="453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用清晰 SS-4；封面写回传传真号；保留成功报告。通常约 4 个工作日，但不承诺。</w:t>
            </w:r>
          </w:p>
        </w:tc>
      </w:tr>
      <w:tr>
        <w:trPr>
          <w:cantSplit/>
        </w:trPr>
        <w:tc>
          <w:tcPr>
            <w:tcW w:type="dxa" w:w="11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邮寄</w:t>
            </w:r>
          </w:p>
        </w:tc>
        <w:tc>
          <w:tcPr>
            <w:tcW w:type="dxa" w:w="39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Internal Revenue Service, Attn: EIN International Operation, Cincinnati, OH 45999。</w:t>
            </w:r>
          </w:p>
        </w:tc>
        <w:tc>
          <w:tcPr>
            <w:tcW w:type="dxa" w:w="453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使用可追踪快递/邮件；官方一般估计约 4–5 周。</w:t>
            </w:r>
          </w:p>
        </w:tc>
      </w:tr>
    </w:tbl>
    <w:p>
      <w:pPr>
        <w:spacing w:after="0"/>
      </w:pPr>
    </w:p>
    <w:p>
      <w:r>
        <w:rPr>
          <w:rFonts w:ascii="Aptos" w:hAnsi="Aptos" w:eastAsia="FangSong" w:cs="Aptos"/>
        </w:rPr>
        <w:t>以提交日最新版为准：</w:t>
      </w:r>
      <w:hyperlink r:id="rId18">
        <w:r>
          <w:rPr>
            <w:rFonts w:ascii="Aptos" w:hAnsi="Aptos" w:eastAsia="FangSong"/>
            <w:color w:val="303030"/>
            <w:u w:val="single"/>
          </w:rPr>
          <w:t>Instructions for Form SS-4</w:t>
        </w:r>
      </w:hyperlink>
    </w:p>
    <w:p>
      <w:pPr>
        <w:pStyle w:val="Heading3"/>
      </w:pPr>
      <w:r>
        <w:rPr>
          <w:rFonts w:ascii="Aptos" w:hAnsi="Aptos" w:eastAsia="FangSong" w:cs="Aptos"/>
        </w:rPr>
        <w:t>收到 EIN 后</w:t>
      </w:r>
    </w:p>
    <w:p>
      <w:pPr>
        <w:pStyle w:val="ListBullet"/>
      </w:pPr>
      <w:r>
        <w:rPr>
          <w:rFonts w:ascii="Aptos" w:hAnsi="Aptos" w:eastAsia="FangSong" w:cs="Aptos"/>
        </w:rPr>
        <w:t>☐ 核对法定名称、地址和 EIN；错误立即按 IRS 程序更正。</w:t>
      </w:r>
    </w:p>
    <w:p>
      <w:pPr>
        <w:pStyle w:val="ListBullet"/>
      </w:pPr>
      <w:r>
        <w:rPr>
          <w:rFonts w:ascii="Aptos" w:hAnsi="Aptos" w:eastAsia="FangSong" w:cs="Aptos"/>
        </w:rPr>
        <w:t>☐ 保存 assignment notice/CP 575；银行若以后要求可申请 147C 验证信。</w:t>
      </w:r>
    </w:p>
    <w:p>
      <w:pPr>
        <w:pStyle w:val="ListBullet"/>
      </w:pPr>
      <w:r>
        <w:rPr>
          <w:rFonts w:ascii="Aptos" w:hAnsi="Aptos" w:eastAsia="FangSong" w:cs="Aptos"/>
        </w:rPr>
        <w:t>☐ 向银行、Pay.gov、会计系统和政府申报只使用法定名称与同一 EIN。</w:t>
      </w:r>
    </w:p>
    <w:p>
      <w:pPr>
        <w:pStyle w:val="ListBullet"/>
      </w:pPr>
      <w:r>
        <w:rPr>
          <w:rFonts w:ascii="Aptos" w:hAnsi="Aptos" w:eastAsia="FangSong" w:cs="Aptos"/>
        </w:rPr>
        <w:t>☐ responsible party 或地址变化时，按要求提交 Form 8822-B；responsible party 变更通常须在 60 天内报告。</w:t>
      </w:r>
    </w:p>
    <w:p>
      <w:pPr>
        <w:pStyle w:val="ListBullet"/>
      </w:pPr>
      <w:r>
        <w:rPr>
          <w:rFonts w:ascii="Aptos" w:hAnsi="Aptos" w:eastAsia="FangSong" w:cs="Aptos"/>
        </w:rPr>
        <w:t>☐ 不再次申请第二个 EIN；不要把 DBA 当作新法人申请。</w:t>
      </w:r>
    </w:p>
    <w:p>
      <w:r>
        <w:br w:type="page"/>
      </w:r>
    </w:p>
    <w:p>
      <w:pPr>
        <w:spacing w:after="40"/>
      </w:pPr>
      <w:r>
        <w:rPr>
          <w:rFonts w:ascii="Aptos" w:hAnsi="Aptos" w:eastAsia="Microsoft YaHei" w:cs="Aptos"/>
          <w:b/>
          <w:color w:val="6A6A6A"/>
          <w:sz w:val="16"/>
        </w:rPr>
        <w:t>MODULE 06</w:t>
      </w:r>
    </w:p>
    <w:p>
      <w:pPr>
        <w:pStyle w:val="Heading1"/>
      </w:pPr>
      <w:r>
        <w:rPr>
          <w:rFonts w:ascii="Aptos" w:hAnsi="Aptos" w:eastAsia="FangSong" w:cs="Aptos"/>
        </w:rPr>
        <w:t>DBA：仅在结构审查通过后</w:t>
      </w:r>
    </w:p>
    <w:p>
      <w:pPr>
        <w:keepLines/>
      </w:pPr>
      <w:r>
        <w:rPr>
          <w:rFonts w:ascii="Aptos" w:hAnsi="Aptos" w:eastAsia="FangSong" w:cs="Aptos"/>
          <w:color w:val="6A6A6A"/>
          <w:sz w:val="21"/>
        </w:rPr>
        <w:t>Trade name 只是公开使用的别名，不是新法人、不产生商标权，也不隔离责任或资金。</w:t>
      </w:r>
    </w:p>
    <w:p>
      <w:pPr>
        <w:spacing w:after="180"/>
        <w:pBdr>
          <w:bottom w:val="single" w:sz="10" w:space="1" w:color="111111"/>
        </w:pBdr>
      </w:pPr>
    </w:p>
    <w:p>
      <w:pPr>
        <w:pStyle w:val="Heading2"/>
      </w:pPr>
      <w:r>
        <w:rPr>
          <w:rFonts w:ascii="Aptos" w:hAnsi="Aptos" w:eastAsia="FangSong" w:cs="Aptos"/>
        </w:rPr>
        <w:t>06.1 是否备案 The Climate Passport</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345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结构事实</w:t>
            </w:r>
          </w:p>
        </w:tc>
        <w:tc>
          <w:tcPr>
            <w:tcW w:type="dxa" w:w="324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决定</w:t>
            </w:r>
          </w:p>
        </w:tc>
        <w:tc>
          <w:tcPr>
            <w:tcW w:type="dxa" w:w="288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原因</w:t>
            </w:r>
          </w:p>
        </w:tc>
      </w:tr>
      <w:tr>
        <w:trPr>
          <w:cantSplit/>
        </w:trPr>
        <w:tc>
          <w:tcPr>
            <w:tcW w:type="dxa" w:w="345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The Climate Passport 将商业化、收费、融资或由关联商业实体拥有。</w:t>
            </w:r>
          </w:p>
        </w:tc>
        <w:tc>
          <w:tcPr>
            <w:tcW w:type="dxa" w:w="32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GPTI 暂不备案该 DBA。</w:t>
            </w:r>
          </w:p>
        </w:tc>
        <w:tc>
          <w:tcPr>
            <w:tcW w:type="dxa" w:w="288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减少捐赠人混淆、private benefit、IP 归属和银行流水混用风险。</w:t>
            </w:r>
          </w:p>
        </w:tc>
      </w:tr>
      <w:tr>
        <w:trPr>
          <w:cantSplit/>
        </w:trPr>
        <w:tc>
          <w:tcPr>
            <w:tcW w:type="dxa" w:w="345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商业实体书面许可 GPTI 在特定公益活动中有限使用品牌，独立董事已批准。</w:t>
            </w:r>
          </w:p>
        </w:tc>
        <w:tc>
          <w:tcPr>
            <w:tcW w:type="dxa" w:w="32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通常以“program presented with/under license”说明，不必自动成为 GPTI 的 DBA。</w:t>
            </w:r>
          </w:p>
        </w:tc>
        <w:tc>
          <w:tcPr>
            <w:tcW w:type="dxa" w:w="288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品牌许可与 DBA 是不同问题；使用范围应由合同限定。</w:t>
            </w:r>
          </w:p>
        </w:tc>
      </w:tr>
      <w:tr>
        <w:trPr>
          <w:cantSplit/>
        </w:trPr>
        <w:tc>
          <w:tcPr>
            <w:tcW w:type="dxa" w:w="345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董事会决定将其永久作为完全公益、无创始人商业权益的 GPTI 项目。</w:t>
            </w:r>
          </w:p>
        </w:tc>
        <w:tc>
          <w:tcPr>
            <w:tcW w:type="dxa" w:w="32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律师复核后可备案 DBA。</w:t>
            </w:r>
          </w:p>
        </w:tc>
        <w:tc>
          <w:tcPr>
            <w:tcW w:type="dxa" w:w="288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需同步转让/许可商标、域名、代码和数据，并在 1023 如实说明。</w:t>
            </w:r>
          </w:p>
        </w:tc>
      </w:tr>
    </w:tbl>
    <w:p>
      <w:pPr>
        <w:spacing w:after="0"/>
      </w:pPr>
    </w:p>
    <w:p>
      <w:pPr>
        <w:pStyle w:val="Heading2"/>
      </w:pPr>
      <w:r>
        <w:rPr>
          <w:rFonts w:ascii="Aptos" w:hAnsi="Aptos" w:eastAsia="FangSong" w:cs="Aptos"/>
        </w:rPr>
        <w:t>06.2 条件满足后的备案步骤</w:t>
      </w:r>
    </w:p>
    <w:p>
      <w:pPr>
        <w:pStyle w:val="ListNumber"/>
      </w:pPr>
      <w:r>
        <w:rPr>
          <w:rFonts w:ascii="Aptos" w:hAnsi="Aptos" w:eastAsia="FangSong" w:cs="Aptos"/>
        </w:rPr>
        <w:t>在 Colorado Business Database 搜索 GPTI entity ID，并打开实体记录。</w:t>
      </w:r>
    </w:p>
    <w:p>
      <w:pPr>
        <w:pStyle w:val="ListNumber"/>
      </w:pPr>
      <w:r>
        <w:rPr>
          <w:rFonts w:ascii="Aptos" w:hAnsi="Aptos" w:eastAsia="FangSong" w:cs="Aptos"/>
        </w:rPr>
        <w:t>选择 File a form → Statement of Trade Name of a Reporting Entity。</w:t>
      </w:r>
    </w:p>
    <w:p>
      <w:pPr>
        <w:pStyle w:val="ListNumber"/>
      </w:pPr>
      <w:r>
        <w:rPr>
          <w:rFonts w:ascii="Aptos" w:hAnsi="Aptos" w:eastAsia="FangSong" w:cs="Aptos"/>
        </w:rPr>
        <w:t>Trade name 输入经批准的精确文字；若批准的是 The Climate Passport，不要增删标点或所有格。</w:t>
      </w:r>
    </w:p>
    <w:p>
      <w:pPr>
        <w:pStyle w:val="ListNumber"/>
      </w:pPr>
      <w:r>
        <w:rPr>
          <w:rFonts w:ascii="Aptos" w:hAnsi="Aptos" w:eastAsia="FangSong" w:cs="Aptos"/>
        </w:rPr>
        <w:t>填写用途/地址等门户当前要求；复核后支付当前费用（核验日 $20）。</w:t>
      </w:r>
    </w:p>
    <w:p>
      <w:pPr>
        <w:pStyle w:val="ListNumber"/>
      </w:pPr>
      <w:r>
        <w:rPr>
          <w:rFonts w:ascii="Aptos" w:hAnsi="Aptos" w:eastAsia="FangSong" w:cs="Aptos"/>
        </w:rPr>
        <w:t>下载 trade-name filing、交易回执；向银行或付款平台增加别名时仍以 GPTI 法定账户为主。</w:t>
      </w:r>
    </w:p>
    <w:p>
      <w:pPr>
        <w:pStyle w:val="ListNumber"/>
      </w:pPr>
      <w:r>
        <w:rPr>
          <w:rFonts w:ascii="Aptos" w:hAnsi="Aptos" w:eastAsia="FangSong" w:cs="Aptos"/>
        </w:rPr>
        <w:t>在网站、合同和收据写清：The Climate Passport is a trade name/program of Global Prosperity and Transition Initiative, Inc.；若只是授权品牌，则写清许可关系而非 DBA。</w:t>
      </w:r>
    </w:p>
    <w:p>
      <w:r>
        <w:rPr>
          <w:rFonts w:ascii="Aptos" w:hAnsi="Aptos" w:eastAsia="FangSong" w:cs="Aptos"/>
        </w:rPr>
        <w:t>官方说明：</w:t>
      </w:r>
      <w:hyperlink r:id="rId19">
        <w:r>
          <w:rPr>
            <w:rFonts w:ascii="Aptos" w:hAnsi="Aptos" w:eastAsia="FangSong"/>
            <w:color w:val="303030"/>
            <w:u w:val="single"/>
          </w:rPr>
          <w:t>Colorado Trade Name FAQ</w:t>
        </w:r>
      </w:hyperlink>
    </w:p>
    <w:tbl>
      <w:tblPr>
        <w:tblW w:type="dxa" w:w="9360"/>
        <w:jc w:val="center"/>
        <w:tblLayout w:type="fixed"/>
        <w:tblLook w:firstColumn="1" w:firstRow="1" w:lastColumn="0" w:lastRow="0" w:noHBand="0" w:noVBand="1" w:val="04A0"/>
        <w:tblInd w:w="120" w:type="dxa"/>
      </w:tblPr>
      <w:tblGrid>
        <w:gridCol w:w="9706"/>
      </w:tblGrid>
      <w:tr>
        <w:tc>
          <w:tcPr>
            <w:tcW w:type="dxa" w:w="9706"/>
            <w:shd w:fill="F7F7F7"/>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确认  </w:t>
            </w:r>
            <w:r>
              <w:rPr>
                <w:rFonts w:ascii="Aptos" w:hAnsi="Aptos" w:eastAsia="FangSong" w:cs="Aptos"/>
                <w:b w:val="0"/>
                <w:color w:val="303030"/>
                <w:sz w:val="19"/>
              </w:rPr>
              <w:t>Colorado reporting entity 的 trade name 通常随实体保持 Good Standing/Noncompliant 而有效，并非普通个人 trade name 的年度续展逻辑；但费用、表单和状态规则应在提交日重查。</w:t>
            </w:r>
          </w:p>
        </w:tc>
      </w:tr>
    </w:tbl>
    <w:p>
      <w:pPr>
        <w:spacing w:after="0"/>
      </w:pPr>
    </w:p>
    <w:p>
      <w:r>
        <w:br w:type="page"/>
      </w:r>
    </w:p>
    <w:p>
      <w:pPr>
        <w:spacing w:after="40"/>
      </w:pPr>
      <w:r>
        <w:rPr>
          <w:rFonts w:ascii="Aptos" w:hAnsi="Aptos" w:eastAsia="Microsoft YaHei" w:cs="Aptos"/>
          <w:b/>
          <w:color w:val="6A6A6A"/>
          <w:sz w:val="16"/>
        </w:rPr>
        <w:t>MODULE 07</w:t>
      </w:r>
    </w:p>
    <w:p>
      <w:pPr>
        <w:pStyle w:val="Heading1"/>
      </w:pPr>
      <w:r>
        <w:rPr>
          <w:rFonts w:ascii="Aptos" w:hAnsi="Aptos" w:eastAsia="FangSong" w:cs="Aptos"/>
        </w:rPr>
        <w:t>银行开户与财务内控</w:t>
      </w:r>
    </w:p>
    <w:p>
      <w:pPr>
        <w:keepLines/>
      </w:pPr>
      <w:r>
        <w:rPr>
          <w:rFonts w:ascii="Aptos" w:hAnsi="Aptos" w:eastAsia="FangSong" w:cs="Aptos"/>
          <w:color w:val="6A6A6A"/>
          <w:sz w:val="21"/>
        </w:rPr>
        <w:t>先预核境外签字人和 CMRA 地址，再预约到店；把慈善资金与商业项目、个人账户彻底分开。</w:t>
      </w:r>
    </w:p>
    <w:p>
      <w:pPr>
        <w:spacing w:after="180"/>
        <w:pBdr>
          <w:bottom w:val="single" w:sz="10" w:space="1" w:color="111111"/>
        </w:pBdr>
      </w:pPr>
    </w:p>
    <w:p>
      <w:pPr>
        <w:pStyle w:val="Heading2"/>
      </w:pPr>
      <w:r>
        <w:rPr>
          <w:rFonts w:ascii="Aptos" w:hAnsi="Aptos" w:eastAsia="FangSong" w:cs="Aptos"/>
        </w:rPr>
        <w:t>07.1 先给 2–3 家分行做预核</w:t>
      </w:r>
    </w:p>
    <w:p>
      <w:r>
        <w:rPr>
          <w:rFonts w:ascii="Aptos" w:hAnsi="Aptos" w:eastAsia="FangSong" w:cs="Aptos"/>
        </w:rPr>
        <w:t>East West Bank 有非营利客户服务，但是否开户由具体分行和 KYC 审查决定。不要仅凭个人银行关系或商业租约判断。向分行提供以下事实：</w:t>
      </w:r>
    </w:p>
    <w:p>
      <w:pPr>
        <w:pStyle w:val="ListBullet"/>
      </w:pPr>
      <w:r>
        <w:rPr>
          <w:rFonts w:ascii="Aptos" w:hAnsi="Aptos" w:eastAsia="FangSong" w:cs="Aptos"/>
        </w:rPr>
        <w:t>法人为 Colorado nonprofit corporation；EIN 已取得；501(c)(3) 将申请/正在审理。</w:t>
      </w:r>
    </w:p>
    <w:p>
      <w:pPr>
        <w:pStyle w:val="ListBullet"/>
      </w:pPr>
      <w:r>
        <w:rPr>
          <w:rFonts w:ascii="Aptos" w:hAnsi="Aptos" w:eastAsia="FangSong" w:cs="Aptos"/>
        </w:rPr>
        <w:t>CEO/签字人的国籍、常住地、ITIN、是否能到店；董事是否均在境外。</w:t>
      </w:r>
    </w:p>
    <w:p>
      <w:pPr>
        <w:pStyle w:val="ListBullet"/>
      </w:pPr>
      <w:r>
        <w:rPr>
          <w:rFonts w:ascii="Aptos" w:hAnsi="Aptos" w:eastAsia="FangSong" w:cs="Aptos"/>
        </w:rPr>
        <w:t>registered mailing address 为 CMRA/virtual office，实际主要办公地点在哪里。</w:t>
      </w:r>
    </w:p>
    <w:p>
      <w:pPr>
        <w:pStyle w:val="ListBullet"/>
      </w:pPr>
      <w:r>
        <w:rPr>
          <w:rFonts w:ascii="Aptos" w:hAnsi="Aptos" w:eastAsia="FangSong" w:cs="Aptos"/>
        </w:rPr>
        <w:t>预计资金来源：美国公众捐赠、基金会、企业赞助、项目服务费、境外付款；预计国家和月交易量。</w:t>
      </w:r>
    </w:p>
    <w:p>
      <w:pPr>
        <w:pStyle w:val="ListBullet"/>
      </w:pPr>
      <w:r>
        <w:rPr>
          <w:rFonts w:ascii="Aptos" w:hAnsi="Aptos" w:eastAsia="FangSong" w:cs="Aptos"/>
        </w:rPr>
        <w:t>是否需要美元国际电汇、人民币相关付款、双重批准、公司卡和线上捐赠处理。</w:t>
      </w:r>
    </w:p>
    <w:p>
      <w:r>
        <w:rPr>
          <w:rFonts w:ascii="Aptos" w:hAnsi="Aptos" w:eastAsia="FangSong" w:cs="Aptos"/>
        </w:rPr>
        <w:t>联系：</w:t>
      </w:r>
      <w:hyperlink r:id="rId20">
        <w:r>
          <w:rPr>
            <w:rFonts w:ascii="Aptos" w:hAnsi="Aptos" w:eastAsia="FangSong"/>
            <w:color w:val="303030"/>
            <w:u w:val="single"/>
          </w:rPr>
          <w:t>East West Bank Nonprofit Organizations</w:t>
        </w:r>
      </w:hyperlink>
      <w:r>
        <w:t>；可先致电其 Business Banking 联系渠道 800-419-8039，并以预约分行的最新清单为准。</w:t>
      </w:r>
    </w:p>
    <w:p>
      <w:pPr>
        <w:pStyle w:val="Heading2"/>
      </w:pPr>
      <w:r>
        <w:rPr>
          <w:rFonts w:ascii="Aptos" w:hAnsi="Aptos" w:eastAsia="FangSong" w:cs="Aptos"/>
        </w:rPr>
        <w:t>07.2 开户资料包</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122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类别</w:t>
            </w:r>
          </w:p>
        </w:tc>
        <w:tc>
          <w:tcPr>
            <w:tcW w:type="dxa" w:w="525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文件</w:t>
            </w:r>
          </w:p>
        </w:tc>
        <w:tc>
          <w:tcPr>
            <w:tcW w:type="dxa" w:w="309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注意</w:t>
            </w:r>
          </w:p>
        </w:tc>
      </w:tr>
      <w:tr>
        <w:trPr>
          <w:cantSplit/>
        </w:trPr>
        <w:tc>
          <w:tcPr>
            <w:tcW w:type="dxa" w:w="12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州务</w:t>
            </w:r>
          </w:p>
        </w:tc>
        <w:tc>
          <w:tcPr>
            <w:tcW w:type="dxa" w:w="525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filed Articles、entity record、fresh Certificate of Good Standing、DBA（如已合规备案）</w:t>
            </w:r>
          </w:p>
        </w:tc>
        <w:tc>
          <w:tcPr>
            <w:tcW w:type="dxa" w:w="30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证书可在州务页面免费生成；建议 30 天内。</w:t>
            </w:r>
          </w:p>
        </w:tc>
      </w:tr>
      <w:tr>
        <w:trPr>
          <w:cantSplit/>
        </w:trPr>
        <w:tc>
          <w:tcPr>
            <w:tcW w:type="dxa" w:w="12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税务</w:t>
            </w:r>
          </w:p>
        </w:tc>
        <w:tc>
          <w:tcPr>
            <w:tcW w:type="dxa" w:w="525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EIN assignment notice / CP 575 / 147C</w:t>
            </w:r>
          </w:p>
        </w:tc>
        <w:tc>
          <w:tcPr>
            <w:tcW w:type="dxa" w:w="30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名称和地址须与银行申请一致。</w:t>
            </w:r>
          </w:p>
        </w:tc>
      </w:tr>
      <w:tr>
        <w:trPr>
          <w:cantSplit/>
        </w:trPr>
        <w:tc>
          <w:tcPr>
            <w:tcW w:type="dxa" w:w="12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治理</w:t>
            </w:r>
          </w:p>
        </w:tc>
        <w:tc>
          <w:tcPr>
            <w:tcW w:type="dxa" w:w="525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签署 Bylaws、initial board consent/minutes、officer roster、banking resolution</w:t>
            </w:r>
          </w:p>
        </w:tc>
        <w:tc>
          <w:tcPr>
            <w:tcW w:type="dxa" w:w="30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决议列明银行、账户类型、签字人、权限和双重审批。</w:t>
            </w:r>
          </w:p>
        </w:tc>
      </w:tr>
      <w:tr>
        <w:trPr>
          <w:cantSplit/>
        </w:trPr>
        <w:tc>
          <w:tcPr>
            <w:tcW w:type="dxa" w:w="12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个人 KYC</w:t>
            </w:r>
          </w:p>
        </w:tc>
        <w:tc>
          <w:tcPr>
            <w:tcW w:type="dxa" w:w="525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每位控制人/签字人的护照、ITIN 证明、住宅地址证明、美国电话/邮箱</w:t>
            </w:r>
          </w:p>
        </w:tc>
        <w:tc>
          <w:tcPr>
            <w:tcW w:type="dxa" w:w="30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银行可能要求亲自到场、第二证件和签证/入境信息。</w:t>
            </w:r>
          </w:p>
        </w:tc>
      </w:tr>
      <w:tr>
        <w:trPr>
          <w:cantSplit/>
        </w:trPr>
        <w:tc>
          <w:tcPr>
            <w:tcW w:type="dxa" w:w="12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地址</w:t>
            </w:r>
          </w:p>
        </w:tc>
        <w:tc>
          <w:tcPr>
            <w:tcW w:type="dxa" w:w="525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服务商租约、订单/发票、USPS 1583 完成证明、实际经营地证明</w:t>
            </w:r>
          </w:p>
        </w:tc>
        <w:tc>
          <w:tcPr>
            <w:tcW w:type="dxa" w:w="30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租约只是证据之一；如实说明 CMRA 与实际经营地。</w:t>
            </w:r>
          </w:p>
        </w:tc>
      </w:tr>
      <w:tr>
        <w:trPr>
          <w:cantSplit/>
        </w:trPr>
        <w:tc>
          <w:tcPr>
            <w:tcW w:type="dxa" w:w="12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业务</w:t>
            </w:r>
          </w:p>
        </w:tc>
        <w:tc>
          <w:tcPr>
            <w:tcW w:type="dxa" w:w="525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一页 mission、网站、12 个月预算、source of funds、预期国家/交易量、主要合同</w:t>
            </w:r>
          </w:p>
        </w:tc>
        <w:tc>
          <w:tcPr>
            <w:tcW w:type="dxa" w:w="30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解释上海/中国活动的合法合作和备案路径。</w:t>
            </w:r>
          </w:p>
        </w:tc>
      </w:tr>
      <w:tr>
        <w:trPr>
          <w:cantSplit/>
        </w:trPr>
        <w:tc>
          <w:tcPr>
            <w:tcW w:type="dxa" w:w="12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税务状态</w:t>
            </w:r>
          </w:p>
        </w:tc>
        <w:tc>
          <w:tcPr>
            <w:tcW w:type="dxa" w:w="525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IRS determination letter（若已取得）；未取得则写 501(c)(3) application pending</w:t>
            </w:r>
          </w:p>
        </w:tc>
        <w:tc>
          <w:tcPr>
            <w:tcW w:type="dxa" w:w="30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不要在获批前表示已经“IRS certified”。</w:t>
            </w:r>
          </w:p>
        </w:tc>
      </w:tr>
      <w:tr>
        <w:trPr>
          <w:cantSplit/>
        </w:trPr>
        <w:tc>
          <w:tcPr>
            <w:tcW w:type="dxa" w:w="12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资金</w:t>
            </w:r>
          </w:p>
        </w:tc>
        <w:tc>
          <w:tcPr>
            <w:tcW w:type="dxa" w:w="525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initial deposit 及来源证明</w:t>
            </w:r>
          </w:p>
        </w:tc>
        <w:tc>
          <w:tcPr>
            <w:tcW w:type="dxa" w:w="30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不得从商业 Climate Passport 不明款项或个人代收混入。</w:t>
            </w:r>
          </w:p>
        </w:tc>
      </w:tr>
    </w:tbl>
    <w:p>
      <w:pPr>
        <w:spacing w:after="0"/>
      </w:pPr>
    </w:p>
    <w:p>
      <w:pPr>
        <w:pStyle w:val="Heading2"/>
      </w:pPr>
      <w:r>
        <w:rPr>
          <w:rFonts w:ascii="Aptos" w:hAnsi="Aptos" w:eastAsia="FangSong" w:cs="Aptos"/>
        </w:rPr>
        <w:t>07.3 账户权限与日常控制</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158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控制</w:t>
            </w:r>
          </w:p>
        </w:tc>
        <w:tc>
          <w:tcPr>
            <w:tcW w:type="dxa" w:w="547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最低规则</w:t>
            </w:r>
          </w:p>
        </w:tc>
        <w:tc>
          <w:tcPr>
            <w:tcW w:type="dxa" w:w="252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证据</w:t>
            </w:r>
          </w:p>
        </w:tc>
      </w:tr>
      <w:tr>
        <w:trPr>
          <w:cantSplit/>
        </w:trPr>
        <w:tc>
          <w:tcPr>
            <w:tcW w:type="dxa" w:w="15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收款</w:t>
            </w:r>
          </w:p>
        </w:tc>
        <w:tc>
          <w:tcPr>
            <w:tcW w:type="dxa" w:w="54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所有捐赠、赞助和项目费进入 GPTI 法定账户；付款页明确收款主体与税务性质。</w:t>
            </w:r>
          </w:p>
        </w:tc>
        <w:tc>
          <w:tcPr>
            <w:tcW w:type="dxa" w:w="25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合同、收据、processor report</w:t>
            </w:r>
          </w:p>
        </w:tc>
      </w:tr>
      <w:tr>
        <w:trPr>
          <w:cantSplit/>
        </w:trPr>
        <w:tc>
          <w:tcPr>
            <w:tcW w:type="dxa" w:w="15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付款</w:t>
            </w:r>
          </w:p>
        </w:tc>
        <w:tc>
          <w:tcPr>
            <w:tcW w:type="dxa" w:w="54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超过董事会设定阈值的 ACH/wire 需两人批准；关联方付款一律独立董事预批。</w:t>
            </w:r>
          </w:p>
        </w:tc>
        <w:tc>
          <w:tcPr>
            <w:tcW w:type="dxa" w:w="25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网银审批日志</w:t>
            </w:r>
          </w:p>
        </w:tc>
      </w:tr>
      <w:tr>
        <w:trPr>
          <w:cantSplit/>
        </w:trPr>
        <w:tc>
          <w:tcPr>
            <w:tcW w:type="dxa" w:w="15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公司卡</w:t>
            </w:r>
          </w:p>
        </w:tc>
        <w:tc>
          <w:tcPr>
            <w:tcW w:type="dxa" w:w="54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低限额、实名持卡、禁止现金预支；30 天内交票据和业务目的。</w:t>
            </w:r>
          </w:p>
        </w:tc>
        <w:tc>
          <w:tcPr>
            <w:tcW w:type="dxa" w:w="25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expense report</w:t>
            </w:r>
          </w:p>
        </w:tc>
      </w:tr>
      <w:tr>
        <w:trPr>
          <w:cantSplit/>
        </w:trPr>
        <w:tc>
          <w:tcPr>
            <w:tcW w:type="dxa" w:w="15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对账</w:t>
            </w:r>
          </w:p>
        </w:tc>
        <w:tc>
          <w:tcPr>
            <w:tcW w:type="dxa" w:w="54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Treasurer/外部 bookkeeper 每月对账；非付款人复核。</w:t>
            </w:r>
          </w:p>
        </w:tc>
        <w:tc>
          <w:tcPr>
            <w:tcW w:type="dxa" w:w="25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签字 reconciliation</w:t>
            </w:r>
          </w:p>
        </w:tc>
      </w:tr>
      <w:tr>
        <w:trPr>
          <w:cantSplit/>
        </w:trPr>
        <w:tc>
          <w:tcPr>
            <w:tcW w:type="dxa" w:w="15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跨境</w:t>
            </w:r>
          </w:p>
        </w:tc>
        <w:tc>
          <w:tcPr>
            <w:tcW w:type="dxa" w:w="54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付款前合同、发票、OFAC、受益所有人、银行和目的国检查；保存汇率。</w:t>
            </w:r>
          </w:p>
        </w:tc>
        <w:tc>
          <w:tcPr>
            <w:tcW w:type="dxa" w:w="25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screening file + wire packet</w:t>
            </w:r>
          </w:p>
        </w:tc>
      </w:tr>
      <w:tr>
        <w:trPr>
          <w:cantSplit/>
        </w:trPr>
        <w:tc>
          <w:tcPr>
            <w:tcW w:type="dxa" w:w="15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限制性资金</w:t>
            </w:r>
          </w:p>
        </w:tc>
        <w:tc>
          <w:tcPr>
            <w:tcW w:type="dxa" w:w="54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按 grant/project 建立 class 或 fund code；不得挪作商业开发。</w:t>
            </w:r>
          </w:p>
        </w:tc>
        <w:tc>
          <w:tcPr>
            <w:tcW w:type="dxa" w:w="25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general ledger</w:t>
            </w:r>
          </w:p>
        </w:tc>
      </w:tr>
      <w:tr>
        <w:trPr>
          <w:cantSplit/>
        </w:trPr>
        <w:tc>
          <w:tcPr>
            <w:tcW w:type="dxa" w:w="15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现金储备</w:t>
            </w:r>
          </w:p>
        </w:tc>
        <w:tc>
          <w:tcPr>
            <w:tcW w:type="dxa" w:w="54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董事会批准储备与投资政策；禁止个人借款。</w:t>
            </w:r>
          </w:p>
        </w:tc>
        <w:tc>
          <w:tcPr>
            <w:tcW w:type="dxa" w:w="25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board resolution</w:t>
            </w:r>
          </w:p>
        </w:tc>
      </w:tr>
    </w:tbl>
    <w:p>
      <w:pPr>
        <w:spacing w:after="0"/>
      </w:pPr>
    </w:p>
    <w:tbl>
      <w:tblPr>
        <w:tblW w:type="dxa" w:w="9360"/>
        <w:jc w:val="center"/>
        <w:tblLayout w:type="fixed"/>
        <w:tblLook w:firstColumn="1" w:firstRow="1" w:lastColumn="0" w:lastRow="0" w:noHBand="0" w:noVBand="1" w:val="04A0"/>
        <w:tblInd w:w="120" w:type="dxa"/>
      </w:tblPr>
      <w:tblGrid>
        <w:gridCol w:w="9706"/>
      </w:tblGrid>
      <w:tr>
        <w:tc>
          <w:tcPr>
            <w:tcW w:type="dxa" w:w="9706"/>
            <w:shd w:fill="EDEDED"/>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停止条件  </w:t>
            </w:r>
            <w:r>
              <w:rPr>
                <w:rFonts w:ascii="Aptos" w:hAnsi="Aptos" w:eastAsia="FangSong" w:cs="Aptos"/>
                <w:b w:val="0"/>
                <w:color w:val="303030"/>
                <w:sz w:val="19"/>
              </w:rPr>
              <w:t>银行拒绝 CMRA、境外控制人或业务国家时，不要虚报地址、借用朋友住址、让朋友充当 nominee officer，也不要暂时用个人账户收捐赠。更换银行或调整真实运营安排。</w:t>
            </w:r>
          </w:p>
        </w:tc>
      </w:tr>
    </w:tbl>
    <w:p>
      <w:pPr>
        <w:spacing w:after="0"/>
      </w:pPr>
    </w:p>
    <w:p>
      <w:r>
        <w:br w:type="page"/>
      </w:r>
    </w:p>
    <w:p>
      <w:pPr>
        <w:spacing w:after="40"/>
      </w:pPr>
      <w:r>
        <w:rPr>
          <w:rFonts w:ascii="Aptos" w:hAnsi="Aptos" w:eastAsia="Microsoft YaHei" w:cs="Aptos"/>
          <w:b/>
          <w:color w:val="6A6A6A"/>
          <w:sz w:val="16"/>
        </w:rPr>
        <w:t>MODULE 08</w:t>
      </w:r>
    </w:p>
    <w:p>
      <w:pPr>
        <w:pStyle w:val="Heading1"/>
      </w:pPr>
      <w:r>
        <w:rPr>
          <w:rFonts w:ascii="Aptos" w:hAnsi="Aptos" w:eastAsia="FangSong" w:cs="Aptos"/>
        </w:rPr>
        <w:t>Colorado 慈善募资登记</w:t>
      </w:r>
    </w:p>
    <w:p>
      <w:pPr>
        <w:keepLines/>
      </w:pPr>
      <w:r>
        <w:rPr>
          <w:rFonts w:ascii="Aptos" w:hAnsi="Aptos" w:eastAsia="FangSong" w:cs="Aptos"/>
          <w:color w:val="6A6A6A"/>
          <w:sz w:val="21"/>
        </w:rPr>
        <w:t>成立公司和取得 EIN 不等于可以募捐；在 Colorado solicitation 前先完成 charity registration。</w:t>
      </w:r>
    </w:p>
    <w:p>
      <w:pPr>
        <w:spacing w:after="180"/>
        <w:pBdr>
          <w:bottom w:val="single" w:sz="10" w:space="1" w:color="111111"/>
        </w:pBdr>
      </w:pPr>
    </w:p>
    <w:p>
      <w:pPr>
        <w:pStyle w:val="Heading2"/>
      </w:pPr>
      <w:r>
        <w:rPr>
          <w:rFonts w:ascii="Aptos" w:hAnsi="Aptos" w:eastAsia="FangSong" w:cs="Aptos"/>
        </w:rPr>
        <w:t>08.1 何时触发</w:t>
      </w:r>
    </w:p>
    <w:p>
      <w:r>
        <w:rPr>
          <w:rFonts w:ascii="Aptos" w:hAnsi="Aptos" w:eastAsia="FangSong" w:cs="Aptos"/>
        </w:rPr>
        <w:t>计划通过网站 Donate 按钮、邮件、社交媒体、活动、赞助提案或定向请求向 Colorado 居民/机构索取 charitable contributions 时，应先判断是否须向 Colorado Secretary of State Charities Program 登记。除非明确符合有限豁免，否则按需要登记执行。</w:t>
      </w:r>
    </w:p>
    <w:tbl>
      <w:tblPr>
        <w:tblW w:type="dxa" w:w="9360"/>
        <w:jc w:val="center"/>
        <w:tblLayout w:type="fixed"/>
        <w:tblLook w:firstColumn="1" w:firstRow="1" w:lastColumn="0" w:lastRow="0" w:noHBand="0" w:noVBand="1" w:val="04A0"/>
        <w:tblInd w:w="120" w:type="dxa"/>
      </w:tblPr>
      <w:tblGrid>
        <w:gridCol w:w="9706"/>
      </w:tblGrid>
      <w:tr>
        <w:tc>
          <w:tcPr>
            <w:tcW w:type="dxa" w:w="9706"/>
            <w:shd w:fill="EDEDED"/>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停止条件  </w:t>
            </w:r>
            <w:r>
              <w:rPr>
                <w:rFonts w:ascii="Aptos" w:hAnsi="Aptos" w:eastAsia="FangSong" w:cs="Aptos"/>
                <w:b w:val="0"/>
                <w:color w:val="303030"/>
                <w:sz w:val="19"/>
              </w:rPr>
              <w:t>未完成 Colorado 登记和跨州分析前，不要开启面向全美公众的 Donate 按钮或发送全国募捐邮件。互联网可访问不自动等于在每州登记，但主动定向、重复捐赠或 substantial contacts 可能触发其他州义务。</w:t>
            </w:r>
          </w:p>
        </w:tc>
      </w:tr>
    </w:tbl>
    <w:p>
      <w:pPr>
        <w:spacing w:after="0"/>
      </w:pPr>
    </w:p>
    <w:p>
      <w:pPr>
        <w:pStyle w:val="Heading2"/>
      </w:pPr>
      <w:r>
        <w:rPr>
          <w:rFonts w:ascii="Aptos" w:hAnsi="Aptos" w:eastAsia="FangSong" w:cs="Aptos"/>
        </w:rPr>
        <w:t>08.2 初次登记步骤</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64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步骤</w:t>
            </w:r>
          </w:p>
        </w:tc>
        <w:tc>
          <w:tcPr>
            <w:tcW w:type="dxa" w:w="388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操作</w:t>
            </w:r>
          </w:p>
        </w:tc>
        <w:tc>
          <w:tcPr>
            <w:tcW w:type="dxa" w:w="504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准备内容</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1</w:t>
            </w:r>
          </w:p>
        </w:tc>
        <w:tc>
          <w:tcPr>
            <w:tcW w:type="dxa" w:w="38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进入 Colorado Charities Program，创建/登录 filing account。</w:t>
            </w:r>
          </w:p>
        </w:tc>
        <w:tc>
          <w:tcPr>
            <w:tcW w:type="dxa" w:w="50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法定名称、EIN、entity ID、principal place of business、联系方式。</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w:t>
            </w:r>
          </w:p>
        </w:tc>
        <w:tc>
          <w:tcPr>
            <w:tcW w:type="dxa" w:w="38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选择 Register a Charitable Organization。</w:t>
            </w:r>
          </w:p>
        </w:tc>
        <w:tc>
          <w:tcPr>
            <w:tcW w:type="dxa" w:w="50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成立文件、目的、会计年度、负责人和托管记录的人。</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3</w:t>
            </w:r>
          </w:p>
        </w:tc>
        <w:tc>
          <w:tcPr>
            <w:tcW w:type="dxa" w:w="38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回答是否使用 paid solicitor、professional fundraising consultant、商业共同推广。</w:t>
            </w:r>
          </w:p>
        </w:tc>
        <w:tc>
          <w:tcPr>
            <w:tcW w:type="dxa" w:w="50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如实披露合同；有则先做专项合规。</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4</w:t>
            </w:r>
          </w:p>
        </w:tc>
        <w:tc>
          <w:tcPr>
            <w:tcW w:type="dxa" w:w="38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新机构无完整财年时使用善意估算。</w:t>
            </w:r>
          </w:p>
        </w:tc>
        <w:tc>
          <w:tcPr>
            <w:tcW w:type="dxa" w:w="50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董事会批准的 short-year 预算、预计收入/支出和资产负债。</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5</w:t>
            </w:r>
          </w:p>
        </w:tc>
        <w:tc>
          <w:tcPr>
            <w:tcW w:type="dxa" w:w="38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填写 principal place of business。</w:t>
            </w:r>
          </w:p>
        </w:tc>
        <w:tc>
          <w:tcPr>
            <w:tcW w:type="dxa" w:w="50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必须按州务指引提供街道；若确无街道，评估 registered agent 或保管记录高管地址的允许路径。</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6</w:t>
            </w:r>
          </w:p>
        </w:tc>
        <w:tc>
          <w:tcPr>
            <w:tcW w:type="dxa" w:w="38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电子签名并支付当前登记费（核验日 $10）。</w:t>
            </w:r>
          </w:p>
        </w:tc>
        <w:tc>
          <w:tcPr>
            <w:tcW w:type="dxa" w:w="50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保存提交 PDF、receipt、registration number 和到期日。</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7</w:t>
            </w:r>
          </w:p>
        </w:tc>
        <w:tc>
          <w:tcPr>
            <w:tcW w:type="dxa" w:w="38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新机构取得实际首年数据后，按门户规定更正/提交 actual financials。</w:t>
            </w:r>
          </w:p>
        </w:tc>
        <w:tc>
          <w:tcPr>
            <w:tcW w:type="dxa" w:w="50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不要只依本手册日期；将州务 dashboard 与 Form 990 到期日并列跟踪。</w:t>
            </w:r>
          </w:p>
        </w:tc>
      </w:tr>
    </w:tbl>
    <w:p>
      <w:pPr>
        <w:spacing w:after="0"/>
      </w:pPr>
    </w:p>
    <w:p>
      <w:r>
        <w:rPr>
          <w:rFonts w:ascii="Aptos" w:hAnsi="Aptos" w:eastAsia="FangSong" w:cs="Aptos"/>
        </w:rPr>
        <w:t>官方入口：</w:t>
      </w:r>
      <w:hyperlink r:id="rId21">
        <w:r>
          <w:rPr>
            <w:rFonts w:ascii="Aptos" w:hAnsi="Aptos" w:eastAsia="FangSong"/>
            <w:color w:val="303030"/>
            <w:u w:val="single"/>
          </w:rPr>
          <w:t>Colorado Charitable Organization Registration</w:t>
        </w:r>
      </w:hyperlink>
      <w:r>
        <w:t>；</w:t>
      </w:r>
      <w:hyperlink r:id="rId22">
        <w:r>
          <w:rPr>
            <w:rFonts w:ascii="Aptos" w:hAnsi="Aptos" w:eastAsia="FangSong"/>
            <w:color w:val="303030"/>
            <w:u w:val="single"/>
          </w:rPr>
          <w:t>Common Filing Mistakes</w:t>
        </w:r>
      </w:hyperlink>
    </w:p>
    <w:p>
      <w:pPr>
        <w:pStyle w:val="Heading2"/>
      </w:pPr>
      <w:r>
        <w:rPr>
          <w:rFonts w:ascii="Aptos" w:hAnsi="Aptos" w:eastAsia="FangSong" w:cs="Aptos"/>
        </w:rPr>
        <w:t>08.3 年度续报</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237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事项</w:t>
            </w:r>
          </w:p>
        </w:tc>
        <w:tc>
          <w:tcPr>
            <w:tcW w:type="dxa" w:w="367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日历年机构的一般时间</w:t>
            </w:r>
          </w:p>
        </w:tc>
        <w:tc>
          <w:tcPr>
            <w:tcW w:type="dxa" w:w="352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动作</w:t>
            </w:r>
          </w:p>
        </w:tc>
      </w:tr>
      <w:tr>
        <w:trPr>
          <w:cantSplit/>
        </w:trPr>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Charity renewal/financial report</w:t>
            </w:r>
          </w:p>
        </w:tc>
        <w:tc>
          <w:tcPr>
            <w:tcW w:type="dxa" w:w="36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通常财年结束后第 5 个月第 15 日，即 5 月 15 日。</w:t>
            </w:r>
          </w:p>
        </w:tc>
        <w:tc>
          <w:tcPr>
            <w:tcW w:type="dxa" w:w="35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从 990/990-EZ/财务记录取数；提前 30 天。</w:t>
            </w:r>
          </w:p>
        </w:tc>
      </w:tr>
      <w:tr>
        <w:trPr>
          <w:cantSplit/>
        </w:trPr>
        <w:tc>
          <w:tcPr>
            <w:tcW w:type="dxa" w:w="23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Automatic extension</w:t>
            </w:r>
          </w:p>
        </w:tc>
        <w:tc>
          <w:tcPr>
            <w:tcW w:type="dxa" w:w="36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州务系统提供一定自动延展机制，具体看 dashboard。</w:t>
            </w:r>
          </w:p>
        </w:tc>
        <w:tc>
          <w:tcPr>
            <w:tcW w:type="dxa" w:w="352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不要假设 IRS Form 8868 自动延长州登记。</w:t>
            </w:r>
          </w:p>
        </w:tc>
      </w:tr>
      <w:tr>
        <w:trPr>
          <w:cantSplit/>
        </w:trPr>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Initial estimated financials update</w:t>
            </w:r>
          </w:p>
        </w:tc>
        <w:tc>
          <w:tcPr>
            <w:tcW w:type="dxa" w:w="36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按州务新机构规则，在 actual data 可用并到达相应截止时提交。</w:t>
            </w:r>
          </w:p>
        </w:tc>
        <w:tc>
          <w:tcPr>
            <w:tcW w:type="dxa" w:w="35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CPA 同时核对首次 Form 990 与州务要求。</w:t>
            </w:r>
          </w:p>
        </w:tc>
      </w:tr>
      <w:tr>
        <w:trPr>
          <w:cantSplit/>
        </w:trPr>
        <w:tc>
          <w:tcPr>
            <w:tcW w:type="dxa" w:w="23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Material changes</w:t>
            </w:r>
          </w:p>
        </w:tc>
        <w:tc>
          <w:tcPr>
            <w:tcW w:type="dxa" w:w="36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名称、地址、负责人、募资合同等变化时。</w:t>
            </w:r>
          </w:p>
        </w:tc>
        <w:tc>
          <w:tcPr>
            <w:tcW w:type="dxa" w:w="352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及时更新，保留 confirmation。</w:t>
            </w:r>
          </w:p>
        </w:tc>
      </w:tr>
    </w:tbl>
    <w:p>
      <w:pPr>
        <w:spacing w:after="0"/>
      </w:pPr>
    </w:p>
    <w:p>
      <w:r>
        <w:br w:type="page"/>
      </w:r>
    </w:p>
    <w:p>
      <w:pPr>
        <w:spacing w:after="40"/>
      </w:pPr>
      <w:r>
        <w:rPr>
          <w:rFonts w:ascii="Aptos" w:hAnsi="Aptos" w:eastAsia="Microsoft YaHei" w:cs="Aptos"/>
          <w:b/>
          <w:color w:val="6A6A6A"/>
          <w:sz w:val="16"/>
        </w:rPr>
        <w:t>MODULE 09</w:t>
      </w:r>
    </w:p>
    <w:p>
      <w:pPr>
        <w:pStyle w:val="Heading1"/>
      </w:pPr>
      <w:r>
        <w:rPr>
          <w:rFonts w:ascii="Aptos" w:hAnsi="Aptos" w:eastAsia="FangSong" w:cs="Aptos"/>
        </w:rPr>
        <w:t>完整 Form 1023 逐部分填报</w:t>
      </w:r>
    </w:p>
    <w:p>
      <w:pPr>
        <w:keepLines/>
      </w:pPr>
      <w:r>
        <w:rPr>
          <w:rFonts w:ascii="Aptos" w:hAnsi="Aptos" w:eastAsia="FangSong" w:cs="Aptos"/>
          <w:color w:val="6A6A6A"/>
          <w:sz w:val="21"/>
        </w:rPr>
        <w:t>以真实活动、关联关系和财务模型为主线；不要用“中立”“公益”等词掩盖商业、政策或跨境事实。</w:t>
      </w:r>
    </w:p>
    <w:p>
      <w:pPr>
        <w:spacing w:after="180"/>
        <w:pBdr>
          <w:bottom w:val="single" w:sz="10" w:space="1" w:color="111111"/>
        </w:pBdr>
      </w:pPr>
    </w:p>
    <w:p>
      <w:pPr>
        <w:pStyle w:val="Heading2"/>
      </w:pPr>
      <w:r>
        <w:rPr>
          <w:rFonts w:ascii="Aptos" w:hAnsi="Aptos" w:eastAsia="FangSong" w:cs="Aptos"/>
        </w:rPr>
        <w:t>09.1 选择完整 Form 1023 的理由</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244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问题</w:t>
            </w:r>
          </w:p>
        </w:tc>
        <w:tc>
          <w:tcPr>
            <w:tcW w:type="dxa" w:w="381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法律结论</w:t>
            </w:r>
          </w:p>
        </w:tc>
        <w:tc>
          <w:tcPr>
            <w:tcW w:type="dxa" w:w="331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本项目决定</w:t>
            </w:r>
          </w:p>
        </w:tc>
      </w:tr>
      <w:tr>
        <w:trPr>
          <w:cantSplit/>
        </w:trPr>
        <w:tc>
          <w:tcPr>
            <w:tcW w:type="dxa" w:w="24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1023-EZ 是否因海外活动自动禁用？</w:t>
            </w:r>
          </w:p>
        </w:tc>
        <w:tc>
          <w:tcPr>
            <w:tcW w:type="dxa" w:w="381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不是。资格取决于 current eligibility worksheet，包括通常不超过 $50,000 gross receipts、资产不超过 $250,000 及其他排除项。</w:t>
            </w:r>
          </w:p>
        </w:tc>
        <w:tc>
          <w:tcPr>
            <w:tcW w:type="dxa" w:w="33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不能以“有上海项目”作为唯一否定理由。</w:t>
            </w:r>
          </w:p>
        </w:tc>
      </w:tr>
      <w:tr>
        <w:trPr>
          <w:cantSplit/>
        </w:trPr>
        <w:tc>
          <w:tcPr>
            <w:tcW w:type="dxa" w:w="24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为什么仍建议完整 1023？</w:t>
            </w:r>
          </w:p>
        </w:tc>
        <w:tc>
          <w:tcPr>
            <w:tcW w:type="dxa" w:w="381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IRS 可审查更完整事实；申请及附件多数会公开。</w:t>
            </w:r>
          </w:p>
        </w:tc>
        <w:tc>
          <w:tcPr>
            <w:tcW w:type="dxa" w:w="33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跨境活动、关联商业 IP、赞助/服务费、未成年人数据和 ECOSOC 目标需要完整披露并取得更清晰记录。</w:t>
            </w:r>
          </w:p>
        </w:tc>
      </w:tr>
      <w:tr>
        <w:trPr>
          <w:cantSplit/>
        </w:trPr>
        <w:tc>
          <w:tcPr>
            <w:tcW w:type="dxa" w:w="24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费用</w:t>
            </w:r>
          </w:p>
        </w:tc>
        <w:tc>
          <w:tcPr>
            <w:tcW w:type="dxa" w:w="381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截至核验日，完整 Form 1023 为 $600；1023-EZ 为 $275。</w:t>
            </w:r>
          </w:p>
        </w:tc>
        <w:tc>
          <w:tcPr>
            <w:tcW w:type="dxa" w:w="33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预算按 $600，并在支付日重查。</w:t>
            </w:r>
          </w:p>
        </w:tc>
      </w:tr>
    </w:tbl>
    <w:p>
      <w:pPr>
        <w:spacing w:after="0"/>
      </w:pPr>
    </w:p>
    <w:p>
      <w:pPr>
        <w:pStyle w:val="Heading2"/>
      </w:pPr>
      <w:r>
        <w:rPr>
          <w:rFonts w:ascii="Aptos" w:hAnsi="Aptos" w:eastAsia="FangSong" w:cs="Aptos"/>
        </w:rPr>
        <w:t>09.2 申报前四个硬条件</w:t>
      </w:r>
    </w:p>
    <w:p>
      <w:pPr>
        <w:pStyle w:val="ListBullet"/>
      </w:pPr>
      <w:r>
        <w:rPr>
          <w:rFonts w:ascii="Aptos" w:hAnsi="Aptos" w:eastAsia="FangSong" w:cs="Aptos"/>
        </w:rPr>
        <w:t>☐ Articles 的 501(c)(3) purpose/limitations 与 dissolution 条款已正确生效；若有错，先在 Colorado 修正并取得 filed amendment。</w:t>
      </w:r>
    </w:p>
    <w:p>
      <w:pPr>
        <w:pStyle w:val="ListBullet"/>
      </w:pPr>
      <w:r>
        <w:rPr>
          <w:rFonts w:ascii="Aptos" w:hAnsi="Aptos" w:eastAsia="FangSong" w:cs="Aptos"/>
        </w:rPr>
        <w:t>☐ Bylaws 已由董事会采用；高管、董事、利益冲突披露和初始预算已签。</w:t>
      </w:r>
    </w:p>
    <w:p>
      <w:pPr>
        <w:pStyle w:val="ListBullet"/>
      </w:pPr>
      <w:r>
        <w:rPr>
          <w:rFonts w:ascii="Aptos" w:hAnsi="Aptos" w:eastAsia="FangSong" w:cs="Aptos"/>
        </w:rPr>
        <w:t>☐ Climate Passport 的商业/公益边界、IP 所有人和所有关联交易已在合同与董事会记录中固定。</w:t>
      </w:r>
    </w:p>
    <w:p>
      <w:pPr>
        <w:pStyle w:val="ListBullet"/>
      </w:pPr>
      <w:r>
        <w:rPr>
          <w:rFonts w:ascii="Aptos" w:hAnsi="Aptos" w:eastAsia="FangSong" w:cs="Aptos"/>
        </w:rPr>
        <w:t>☐ 申请日距成立月份结束不超过 27 个月；若超过，Part VIII 的有效日期和合理原因由律师处理。</w:t>
      </w:r>
    </w:p>
    <w:p>
      <w:pPr>
        <w:pStyle w:val="Heading2"/>
      </w:pPr>
      <w:r>
        <w:rPr>
          <w:rFonts w:ascii="Aptos" w:hAnsi="Aptos" w:eastAsia="FangSong" w:cs="Aptos"/>
        </w:rPr>
        <w:t>09.3 Pay.gov 创建与文件准备</w:t>
      </w:r>
    </w:p>
    <w:p>
      <w:pPr>
        <w:pStyle w:val="ListNumber"/>
      </w:pPr>
      <w:r>
        <w:rPr>
          <w:rFonts w:ascii="Aptos" w:hAnsi="Aptos" w:eastAsia="FangSong" w:cs="Aptos"/>
        </w:rPr>
        <w:t>使用机构控制的邮箱创建 Pay.gov 账户，启用 MFA；不要把唯一访问权交给服务商。</w:t>
      </w:r>
    </w:p>
    <w:p>
      <w:pPr>
        <w:pStyle w:val="ListNumber"/>
      </w:pPr>
      <w:r>
        <w:rPr>
          <w:rFonts w:ascii="Aptos" w:hAnsi="Aptos" w:eastAsia="FangSong" w:cs="Aptos"/>
        </w:rPr>
        <w:t>搜索“Form 1023, Application for Recognition of Exemption Under Section 501(c)(3)”。核对标题和当前 revision。</w:t>
      </w:r>
    </w:p>
    <w:p>
      <w:pPr>
        <w:pStyle w:val="ListNumber"/>
      </w:pPr>
      <w:r>
        <w:rPr>
          <w:rFonts w:ascii="Aptos" w:hAnsi="Aptos" w:eastAsia="FangSong" w:cs="Aptos"/>
        </w:rPr>
        <w:t>建立 master answer file：每个问题按 Part / Line 编号；董事会、律师、CPA 在提交前签字确认。</w:t>
      </w:r>
    </w:p>
    <w:p>
      <w:pPr>
        <w:pStyle w:val="ListNumber"/>
      </w:pPr>
      <w:r>
        <w:rPr>
          <w:rFonts w:ascii="Aptos" w:hAnsi="Aptos" w:eastAsia="FangSong" w:cs="Aptos"/>
        </w:rPr>
        <w:t>把 organizing document、amendments、bylaws、授权和 supplement 按官方顺序合并为一个无密码 PDF；当前官方限制为 15 MB。</w:t>
      </w:r>
    </w:p>
    <w:p>
      <w:pPr>
        <w:pStyle w:val="ListNumber"/>
      </w:pPr>
      <w:r>
        <w:rPr>
          <w:rFonts w:ascii="Aptos" w:hAnsi="Aptos" w:eastAsia="FangSong" w:cs="Aptos"/>
        </w:rPr>
        <w:t>从最终 PDF 删除 SSN/ITIN、出生日期、个人银行号、护照和不必要的住址/商业机密；申请材料可能公开。</w:t>
      </w:r>
    </w:p>
    <w:p>
      <w:r>
        <w:rPr>
          <w:rFonts w:ascii="Aptos" w:hAnsi="Aptos" w:eastAsia="FangSong" w:cs="Aptos"/>
        </w:rPr>
        <w:t>入口：</w:t>
      </w:r>
      <w:hyperlink r:id="rId23">
        <w:r>
          <w:rPr>
            <w:rFonts w:ascii="Aptos" w:hAnsi="Aptos" w:eastAsia="FangSong"/>
            <w:color w:val="303030"/>
            <w:u w:val="single"/>
          </w:rPr>
          <w:t>Pay.gov Form 1023</w:t>
        </w:r>
      </w:hyperlink>
      <w:r>
        <w:t>；</w:t>
      </w:r>
      <w:hyperlink r:id="rId24">
        <w:r>
          <w:rPr>
            <w:rFonts w:ascii="Aptos" w:hAnsi="Aptos" w:eastAsia="FangSong"/>
            <w:color w:val="303030"/>
            <w:u w:val="single"/>
          </w:rPr>
          <w:t>IRS Form 1023 Instructions</w:t>
        </w:r>
      </w:hyperlink>
    </w:p>
    <w:p>
      <w:pPr>
        <w:pStyle w:val="Heading2"/>
      </w:pPr>
      <w:r>
        <w:rPr>
          <w:rFonts w:ascii="Aptos" w:hAnsi="Aptos" w:eastAsia="FangSong" w:cs="Aptos"/>
        </w:rPr>
        <w:t>09.4 现行 Part I–X 填写地图</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691"/>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Part</w:t>
            </w:r>
          </w:p>
        </w:tc>
        <w:tc>
          <w:tcPr>
            <w:tcW w:type="dxa" w:w="2232"/>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内容</w:t>
            </w:r>
          </w:p>
        </w:tc>
        <w:tc>
          <w:tcPr>
            <w:tcW w:type="dxa" w:w="6653"/>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GPTI 填报控制点</w:t>
            </w:r>
          </w:p>
        </w:tc>
      </w:tr>
      <w:tr>
        <w:trPr>
          <w:cantSplit/>
        </w:trPr>
        <w:tc>
          <w:tcPr>
            <w:tcW w:type="dxa" w:w="691"/>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I</w:t>
            </w:r>
          </w:p>
        </w:tc>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Identification</w:t>
            </w:r>
          </w:p>
        </w:tc>
        <w:tc>
          <w:tcPr>
            <w:tcW w:type="dxa" w:w="6653"/>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法定名称、EIN、地址、成立日、财年、网站、联系人与代表授权一致；真实 principal office 与 mailing 分开。</w:t>
            </w:r>
          </w:p>
        </w:tc>
      </w:tr>
      <w:tr>
        <w:trPr>
          <w:cantSplit/>
        </w:trPr>
        <w:tc>
          <w:tcPr>
            <w:tcW w:type="dxa" w:w="691"/>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II</w:t>
            </w:r>
          </w:p>
        </w:tc>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Organizational Structure</w:t>
            </w:r>
          </w:p>
        </w:tc>
        <w:tc>
          <w:tcPr>
            <w:tcW w:type="dxa" w:w="6653"/>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选择 corporation；上传 Colorado filed Articles 及所有 amendment；不能只上传 Good Standing。</w:t>
            </w:r>
          </w:p>
        </w:tc>
      </w:tr>
      <w:tr>
        <w:trPr>
          <w:cantSplit/>
        </w:trPr>
        <w:tc>
          <w:tcPr>
            <w:tcW w:type="dxa" w:w="691"/>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III</w:t>
            </w:r>
          </w:p>
        </w:tc>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Required Provisions</w:t>
            </w:r>
          </w:p>
        </w:tc>
        <w:tc>
          <w:tcPr>
            <w:tcW w:type="dxa" w:w="6653"/>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指出 purpose 和 dissolution 的精确文件、条款/页码；若在附件，写清名称和页码。</w:t>
            </w:r>
          </w:p>
        </w:tc>
      </w:tr>
      <w:tr>
        <w:trPr>
          <w:cantSplit/>
        </w:trPr>
        <w:tc>
          <w:tcPr>
            <w:tcW w:type="dxa" w:w="691"/>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IV</w:t>
            </w:r>
          </w:p>
        </w:tc>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Your Activities</w:t>
            </w:r>
          </w:p>
        </w:tc>
        <w:tc>
          <w:tcPr>
            <w:tcW w:type="dxa" w:w="6653"/>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逐项说明过去、现在和计划活动；包括海外、资助、募资、赞助、服务费、IP/关联方、数据、未成年人、游说。</w:t>
            </w:r>
          </w:p>
        </w:tc>
      </w:tr>
      <w:tr>
        <w:trPr>
          <w:cantSplit/>
        </w:trPr>
        <w:tc>
          <w:tcPr>
            <w:tcW w:type="dxa" w:w="691"/>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V</w:t>
            </w:r>
          </w:p>
        </w:tc>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Compensation and Other Financial Arrangements</w:t>
            </w:r>
          </w:p>
        </w:tc>
        <w:tc>
          <w:tcPr>
            <w:tcW w:type="dxa" w:w="6653"/>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列董事/高管/关键人员、薪酬、家属/业务关系、关联交易、合同、贷款和资产转移。</w:t>
            </w:r>
          </w:p>
        </w:tc>
      </w:tr>
      <w:tr>
        <w:trPr>
          <w:cantSplit/>
        </w:trPr>
        <w:tc>
          <w:tcPr>
            <w:tcW w:type="dxa" w:w="691"/>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VI</w:t>
            </w:r>
          </w:p>
        </w:tc>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Financial Data</w:t>
            </w:r>
          </w:p>
        </w:tc>
        <w:tc>
          <w:tcPr>
            <w:tcW w:type="dxa" w:w="6653"/>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成立不足 1 年通常提供当前年与后两年合计 3 年；按实际申请时长核对 instructions。全部美元并说明汇率。</w:t>
            </w:r>
          </w:p>
        </w:tc>
      </w:tr>
      <w:tr>
        <w:trPr>
          <w:cantSplit/>
        </w:trPr>
        <w:tc>
          <w:tcPr>
            <w:tcW w:type="dxa" w:w="691"/>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VII</w:t>
            </w:r>
          </w:p>
        </w:tc>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Foundation Classification</w:t>
            </w:r>
          </w:p>
        </w:tc>
        <w:tc>
          <w:tcPr>
            <w:tcW w:type="dxa" w:w="6653"/>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在 170(b)(1)(A)(vi) 与 509(a)(2) 等分类中按真实收入模型选择；不能只为看起来“公众化”而重分类。</w:t>
            </w:r>
          </w:p>
        </w:tc>
      </w:tr>
      <w:tr>
        <w:trPr>
          <w:cantSplit/>
        </w:trPr>
        <w:tc>
          <w:tcPr>
            <w:tcW w:type="dxa" w:w="691"/>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VIII</w:t>
            </w:r>
          </w:p>
        </w:tc>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Effective Date</w:t>
            </w:r>
          </w:p>
        </w:tc>
        <w:tc>
          <w:tcPr>
            <w:tcW w:type="dxa" w:w="6653"/>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及时申请通常请求自成立日起生效；超过 27 个月需处理迟报规则和可能的 reasonable cause。</w:t>
            </w:r>
          </w:p>
        </w:tc>
      </w:tr>
      <w:tr>
        <w:trPr>
          <w:cantSplit/>
        </w:trPr>
        <w:tc>
          <w:tcPr>
            <w:tcW w:type="dxa" w:w="691"/>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IX</w:t>
            </w:r>
          </w:p>
        </w:tc>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Annual Filing Requirements</w:t>
            </w:r>
          </w:p>
        </w:tc>
        <w:tc>
          <w:tcPr>
            <w:tcW w:type="dxa" w:w="6653"/>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确认 990 系列义务；申请 pending 也要按时申报。</w:t>
            </w:r>
          </w:p>
        </w:tc>
      </w:tr>
      <w:tr>
        <w:trPr>
          <w:cantSplit/>
        </w:trPr>
        <w:tc>
          <w:tcPr>
            <w:tcW w:type="dxa" w:w="691"/>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X</w:t>
            </w:r>
          </w:p>
        </w:tc>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Signature</w:t>
            </w:r>
          </w:p>
        </w:tc>
        <w:tc>
          <w:tcPr>
            <w:tcW w:type="dxa" w:w="6653"/>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由获授权 officer/director/trustee 在伪证责任声明下电子签署。</w:t>
            </w:r>
          </w:p>
        </w:tc>
      </w:tr>
    </w:tbl>
    <w:p>
      <w:pPr>
        <w:spacing w:after="0"/>
      </w:pPr>
    </w:p>
    <w:tbl>
      <w:tblPr>
        <w:tblW w:type="dxa" w:w="9360"/>
        <w:jc w:val="center"/>
        <w:tblLayout w:type="fixed"/>
        <w:tblLook w:firstColumn="1" w:firstRow="1" w:lastColumn="0" w:lastRow="0" w:noHBand="0" w:noVBand="1" w:val="04A0"/>
        <w:tblInd w:w="120" w:type="dxa"/>
      </w:tblPr>
      <w:tblGrid>
        <w:gridCol w:w="9706"/>
      </w:tblGrid>
      <w:tr>
        <w:tc>
          <w:tcPr>
            <w:tcW w:type="dxa" w:w="9706"/>
            <w:shd w:fill="EDEDED"/>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纠错  </w:t>
            </w:r>
            <w:r>
              <w:rPr>
                <w:rFonts w:ascii="Aptos" w:hAnsi="Aptos" w:eastAsia="FangSong" w:cs="Aptos"/>
                <w:b w:val="0"/>
                <w:color w:val="303030"/>
                <w:sz w:val="19"/>
              </w:rPr>
              <w:t>现行 Form 1023 没有“Part XI Financial Data”。海外活动在 Part IV；Form 1023 Schedule F 是低收入住房项目。年度 Form 990 的 Schedule F 才用于部分海外活动报告。</w:t>
            </w:r>
          </w:p>
        </w:tc>
      </w:tr>
    </w:tbl>
    <w:p>
      <w:pPr>
        <w:spacing w:after="0"/>
      </w:pPr>
    </w:p>
    <w:p>
      <w:pPr>
        <w:pStyle w:val="Heading2"/>
      </w:pPr>
      <w:r>
        <w:rPr>
          <w:rFonts w:ascii="Aptos" w:hAnsi="Aptos" w:eastAsia="FangSong" w:cs="Aptos"/>
        </w:rPr>
        <w:t>09.5 Part I：Identification</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201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字段组</w:t>
            </w:r>
          </w:p>
        </w:tc>
        <w:tc>
          <w:tcPr>
            <w:tcW w:type="dxa" w:w="468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填法</w:t>
            </w:r>
          </w:p>
        </w:tc>
        <w:tc>
          <w:tcPr>
            <w:tcW w:type="dxa" w:w="288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附件/核验</w:t>
            </w:r>
          </w:p>
        </w:tc>
      </w:tr>
      <w:tr>
        <w:trPr>
          <w:cantSplit/>
        </w:trPr>
        <w:tc>
          <w:tcPr>
            <w:tcW w:type="dxa" w:w="201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Name / EIN</w:t>
            </w:r>
          </w:p>
        </w:tc>
        <w:tc>
          <w:tcPr>
            <w:tcW w:type="dxa" w:w="468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与 Articles 和 EIN notice 逐字一致。</w:t>
            </w:r>
          </w:p>
        </w:tc>
        <w:tc>
          <w:tcPr>
            <w:tcW w:type="dxa" w:w="288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不要在 legal name 写 DBA。</w:t>
            </w:r>
          </w:p>
        </w:tc>
      </w:tr>
      <w:tr>
        <w:trPr>
          <w:cantSplit/>
        </w:trPr>
        <w:tc>
          <w:tcPr>
            <w:tcW w:type="dxa" w:w="201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Mailing / principal address</w:t>
            </w:r>
          </w:p>
        </w:tc>
        <w:tc>
          <w:tcPr>
            <w:tcW w:type="dxa" w:w="468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mailing 可为可靠收信地址；principal office 按事实。</w:t>
            </w:r>
          </w:p>
        </w:tc>
        <w:tc>
          <w:tcPr>
            <w:tcW w:type="dxa" w:w="288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与 SS-4、银行、网站差异可解释。</w:t>
            </w:r>
          </w:p>
        </w:tc>
      </w:tr>
      <w:tr>
        <w:trPr>
          <w:cantSplit/>
        </w:trPr>
        <w:tc>
          <w:tcPr>
            <w:tcW w:type="dxa" w:w="201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Contact person</w:t>
            </w:r>
          </w:p>
        </w:tc>
        <w:tc>
          <w:tcPr>
            <w:tcW w:type="dxa" w:w="468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由能在 IRS 工作时间回答活动、财务和治理的人担任。</w:t>
            </w:r>
          </w:p>
        </w:tc>
        <w:tc>
          <w:tcPr>
            <w:tcW w:type="dxa" w:w="288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指定 backup；监控垃圾邮件和纸质信。</w:t>
            </w:r>
          </w:p>
        </w:tc>
      </w:tr>
      <w:tr>
        <w:trPr>
          <w:cantSplit/>
        </w:trPr>
        <w:tc>
          <w:tcPr>
            <w:tcW w:type="dxa" w:w="201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Authorized representative</w:t>
            </w:r>
          </w:p>
        </w:tc>
        <w:tc>
          <w:tcPr>
            <w:tcW w:type="dxa" w:w="468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需要律师/CPA 代表时提交 Form 2848；仅收副本可用 Form 8821。</w:t>
            </w:r>
          </w:p>
        </w:tc>
        <w:tc>
          <w:tcPr>
            <w:tcW w:type="dxa" w:w="288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确认 CAF/权限范围。</w:t>
            </w:r>
          </w:p>
        </w:tc>
      </w:tr>
      <w:tr>
        <w:trPr>
          <w:cantSplit/>
        </w:trPr>
        <w:tc>
          <w:tcPr>
            <w:tcW w:type="dxa" w:w="201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Formation / fiscal year</w:t>
            </w:r>
          </w:p>
        </w:tc>
        <w:tc>
          <w:tcPr>
            <w:tcW w:type="dxa" w:w="468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Articles effective date；December year-end。</w:t>
            </w:r>
          </w:p>
        </w:tc>
        <w:tc>
          <w:tcPr>
            <w:tcW w:type="dxa" w:w="288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与预算列、990 calendar 一致。</w:t>
            </w:r>
          </w:p>
        </w:tc>
      </w:tr>
      <w:tr>
        <w:trPr>
          <w:cantSplit/>
        </w:trPr>
        <w:tc>
          <w:tcPr>
            <w:tcW w:type="dxa" w:w="201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Website / email</w:t>
            </w:r>
          </w:p>
        </w:tc>
        <w:tc>
          <w:tcPr>
            <w:tcW w:type="dxa" w:w="468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gptinitiative.org；申请前上线最小可信网站。</w:t>
            </w:r>
          </w:p>
        </w:tc>
        <w:tc>
          <w:tcPr>
            <w:tcW w:type="dxa" w:w="288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内容不得声称已获 501(c)(3) 或 UN status。</w:t>
            </w:r>
          </w:p>
        </w:tc>
      </w:tr>
    </w:tbl>
    <w:p>
      <w:pPr>
        <w:spacing w:after="0"/>
      </w:pPr>
    </w:p>
    <w:p>
      <w:pPr>
        <w:pStyle w:val="Heading2"/>
      </w:pPr>
      <w:r>
        <w:rPr>
          <w:rFonts w:ascii="Aptos" w:hAnsi="Aptos" w:eastAsia="FangSong" w:cs="Aptos"/>
        </w:rPr>
        <w:t>09.6 Part II–III：组织文件</w:t>
      </w:r>
    </w:p>
    <w:p>
      <w:r>
        <w:rPr>
          <w:rFonts w:ascii="Aptos" w:hAnsi="Aptos" w:eastAsia="FangSong" w:cs="Aptos"/>
        </w:rPr>
        <w:t>在 supplement 中使用如下定位方式，而不是只回答“Yes”：</w:t>
      </w:r>
    </w:p>
    <w:tbl>
      <w:tblPr>
        <w:tblW w:type="dxa" w:w="9360"/>
        <w:jc w:val="center"/>
        <w:tblLayout w:type="fixed"/>
        <w:tblLook w:firstColumn="1" w:firstRow="1" w:lastColumn="0" w:lastRow="0" w:noHBand="0" w:noVBand="1" w:val="04A0"/>
        <w:tblInd w:w="120" w:type="dxa"/>
      </w:tblPr>
      <w:tblGrid>
        <w:gridCol w:w="9706"/>
      </w:tblGrid>
      <w:tr>
        <w:tc>
          <w:tcPr>
            <w:tcW w:type="dxa" w:w="9706"/>
            <w:shd w:fill="F7F7F7"/>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定位示例  </w:t>
            </w:r>
            <w:r>
              <w:rPr>
                <w:rFonts w:ascii="Aptos" w:hAnsi="Aptos" w:eastAsia="FangSong" w:cs="Aptos"/>
                <w:b w:val="0"/>
                <w:color w:val="303030"/>
                <w:sz w:val="19"/>
              </w:rPr>
              <w:t>Purpose clause: Articles of Incorporation, Additional Information — “Purposes and Limitations,” page 1. Dissolution clause: Articles of Incorporation, “Distribution of Assets upon Dissolution,” filed text, page [X].</w:t>
            </w:r>
          </w:p>
        </w:tc>
      </w:tr>
    </w:tbl>
    <w:p>
      <w:pPr>
        <w:spacing w:after="0"/>
      </w:pPr>
    </w:p>
    <w:p>
      <w:r>
        <w:rPr>
          <w:rFonts w:ascii="Aptos" w:hAnsi="Aptos" w:eastAsia="FangSong" w:cs="Aptos"/>
        </w:rPr>
        <w:t>如州务 filed PDF 未显示附件或条款被截断，停止提交 1023；先向 Colorado SOS 确认记录或提交 amendment/correction。</w:t>
      </w:r>
    </w:p>
    <w:p>
      <w:pPr>
        <w:pStyle w:val="Heading2"/>
      </w:pPr>
      <w:r>
        <w:rPr>
          <w:rFonts w:ascii="Aptos" w:hAnsi="Aptos" w:eastAsia="FangSong" w:cs="Aptos"/>
        </w:rPr>
        <w:t>09.7 Part IV：每项活动的七要素</w:t>
      </w:r>
    </w:p>
    <w:tbl>
      <w:tblPr>
        <w:tblW w:type="dxa" w:w="9360"/>
        <w:tblLayout w:type="fixed"/>
        <w:tblLook w:firstColumn="1" w:firstRow="1" w:lastColumn="0" w:lastRow="0" w:noHBand="0" w:noVBand="1" w:val="04A0"/>
        <w:jc w:val="center"/>
        <w:tblInd w:w="120" w:type="dxa"/>
      </w:tblPr>
      <w:tblGrid>
        <w:gridCol w:w="4853"/>
        <w:gridCol w:w="4853"/>
      </w:tblGrid>
      <w:tr>
        <w:trPr>
          <w:tblHeader w:val="true"/>
          <w:cantSplit/>
        </w:trPr>
        <w:tc>
          <w:tcPr>
            <w:tcW w:type="dxa" w:w="151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要素</w:t>
            </w:r>
          </w:p>
        </w:tc>
        <w:tc>
          <w:tcPr>
            <w:tcW w:type="dxa" w:w="806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必须回答</w:t>
            </w:r>
          </w:p>
        </w:tc>
      </w:tr>
      <w:tr>
        <w:trPr>
          <w:cantSplit/>
        </w:trPr>
        <w:tc>
          <w:tcPr>
            <w:tcW w:type="dxa" w:w="15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What</w:t>
            </w:r>
          </w:p>
        </w:tc>
        <w:tc>
          <w:tcPr>
            <w:tcW w:type="dxa" w:w="806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具体做什么：研究、课程、报告、活动、工具、grant、认证、软件或咨询；不要只写使命。</w:t>
            </w:r>
          </w:p>
        </w:tc>
      </w:tr>
      <w:tr>
        <w:trPr>
          <w:cantSplit/>
        </w:trPr>
        <w:tc>
          <w:tcPr>
            <w:tcW w:type="dxa" w:w="15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Who</w:t>
            </w:r>
          </w:p>
        </w:tc>
        <w:tc>
          <w:tcPr>
            <w:tcW w:type="dxa" w:w="806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由谁执行；员工/志愿者/承包商/关联商业实体；谁选择受益人。</w:t>
            </w:r>
          </w:p>
        </w:tc>
      </w:tr>
      <w:tr>
        <w:trPr>
          <w:cantSplit/>
        </w:trPr>
        <w:tc>
          <w:tcPr>
            <w:tcW w:type="dxa" w:w="15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Where</w:t>
            </w:r>
          </w:p>
        </w:tc>
        <w:tc>
          <w:tcPr>
            <w:tcW w:type="dxa" w:w="806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国家、城市、线上/线下；明确美国、中国和其他国家。</w:t>
            </w:r>
          </w:p>
        </w:tc>
      </w:tr>
      <w:tr>
        <w:trPr>
          <w:cantSplit/>
        </w:trPr>
        <w:tc>
          <w:tcPr>
            <w:tcW w:type="dxa" w:w="15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When</w:t>
            </w:r>
          </w:p>
        </w:tc>
        <w:tc>
          <w:tcPr>
            <w:tcW w:type="dxa" w:w="806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已开始、正在进行还是未来；频率、时长、首期日期。</w:t>
            </w:r>
          </w:p>
        </w:tc>
      </w:tr>
      <w:tr>
        <w:trPr>
          <w:cantSplit/>
        </w:trPr>
        <w:tc>
          <w:tcPr>
            <w:tcW w:type="dxa" w:w="15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Time</w:t>
            </w:r>
          </w:p>
        </w:tc>
        <w:tc>
          <w:tcPr>
            <w:tcW w:type="dxa" w:w="806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占员工/志愿者总时间百分比；所有活动合计 100%。</w:t>
            </w:r>
          </w:p>
        </w:tc>
      </w:tr>
      <w:tr>
        <w:trPr>
          <w:cantSplit/>
        </w:trPr>
        <w:tc>
          <w:tcPr>
            <w:tcW w:type="dxa" w:w="15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Money</w:t>
            </w:r>
          </w:p>
        </w:tc>
        <w:tc>
          <w:tcPr>
            <w:tcW w:type="dxa" w:w="806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资金来源与占总支出百分比；所有活动支出比例与预算一致。</w:t>
            </w:r>
          </w:p>
        </w:tc>
      </w:tr>
      <w:tr>
        <w:trPr>
          <w:cantSplit/>
        </w:trPr>
        <w:tc>
          <w:tcPr>
            <w:tcW w:type="dxa" w:w="15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Why exempt</w:t>
            </w:r>
          </w:p>
        </w:tc>
        <w:tc>
          <w:tcPr>
            <w:tcW w:type="dxa" w:w="806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活动如何直接实现 charitable / educational / scientific 目的；公众如何受益，如何防止私人利益。</w:t>
            </w:r>
          </w:p>
        </w:tc>
      </w:tr>
    </w:tbl>
    <w:p>
      <w:pPr>
        <w:spacing w:after="0"/>
      </w:pPr>
    </w:p>
    <w:p>
      <w:pPr>
        <w:pStyle w:val="Heading3"/>
      </w:pPr>
      <w:r>
        <w:rPr>
          <w:rFonts w:ascii="Aptos" w:hAnsi="Aptos" w:eastAsia="FangSong" w:cs="Aptos"/>
        </w:rPr>
        <w:t>建议活动组合（仅为起草框架，须按实际改写）</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259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活动</w:t>
            </w:r>
          </w:p>
        </w:tc>
        <w:tc>
          <w:tcPr>
            <w:tcW w:type="dxa" w:w="158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示例时间占比</w:t>
            </w:r>
          </w:p>
        </w:tc>
        <w:tc>
          <w:tcPr>
            <w:tcW w:type="dxa" w:w="540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必须披露的事实</w:t>
            </w:r>
          </w:p>
        </w:tc>
      </w:tr>
      <w:tr>
        <w:trPr>
          <w:cantSplit/>
        </w:trPr>
        <w:tc>
          <w:tcPr>
            <w:tcW w:type="dxa" w:w="25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非党派研究与公共方法</w:t>
            </w:r>
          </w:p>
        </w:tc>
        <w:tc>
          <w:tcPr>
            <w:tcW w:type="dxa" w:w="15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30%</w:t>
            </w:r>
          </w:p>
        </w:tc>
        <w:tc>
          <w:tcPr>
            <w:tcW w:type="dxa" w:w="54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研究方法、编辑独立、成果公开方式、IP 许可、企业输入不控制结论。</w:t>
            </w:r>
          </w:p>
        </w:tc>
      </w:tr>
      <w:tr>
        <w:trPr>
          <w:cantSplit/>
        </w:trPr>
        <w:tc>
          <w:tcPr>
            <w:tcW w:type="dxa" w:w="25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公共教育与出版</w:t>
            </w:r>
          </w:p>
        </w:tc>
        <w:tc>
          <w:tcPr>
            <w:tcW w:type="dxa" w:w="15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25%</w:t>
            </w:r>
          </w:p>
        </w:tc>
        <w:tc>
          <w:tcPr>
            <w:tcW w:type="dxa" w:w="54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受众、免费/收费、课程、白皮书、网站、内容审查和可及性。</w:t>
            </w:r>
          </w:p>
        </w:tc>
      </w:tr>
      <w:tr>
        <w:trPr>
          <w:cantSplit/>
        </w:trPr>
        <w:tc>
          <w:tcPr>
            <w:tcW w:type="dxa" w:w="25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会议与公共研讨</w:t>
            </w:r>
          </w:p>
        </w:tc>
        <w:tc>
          <w:tcPr>
            <w:tcW w:type="dxa" w:w="15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20%</w:t>
            </w:r>
          </w:p>
        </w:tc>
        <w:tc>
          <w:tcPr>
            <w:tcW w:type="dxa" w:w="54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上海气候周等合作、场地/赞助、讲者选择、PRC 备案、是否给赞助商商业权益。</w:t>
            </w:r>
          </w:p>
        </w:tc>
      </w:tr>
      <w:tr>
        <w:trPr>
          <w:cantSplit/>
        </w:trPr>
        <w:tc>
          <w:tcPr>
            <w:tcW w:type="dxa" w:w="25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青年气候素养</w:t>
            </w:r>
          </w:p>
        </w:tc>
        <w:tc>
          <w:tcPr>
            <w:tcW w:type="dxa" w:w="15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15%</w:t>
            </w:r>
          </w:p>
        </w:tc>
        <w:tc>
          <w:tcPr>
            <w:tcW w:type="dxa" w:w="54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年龄、学校/家长、数据、同意、safeguarding、免费或奖学金政策。</w:t>
            </w:r>
          </w:p>
        </w:tc>
      </w:tr>
      <w:tr>
        <w:trPr>
          <w:cantSplit/>
        </w:trPr>
        <w:tc>
          <w:tcPr>
            <w:tcW w:type="dxa" w:w="25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公益技术援助/小额资助</w:t>
            </w:r>
          </w:p>
        </w:tc>
        <w:tc>
          <w:tcPr>
            <w:tcW w:type="dxa" w:w="15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10%</w:t>
            </w:r>
          </w:p>
        </w:tc>
        <w:tc>
          <w:tcPr>
            <w:tcW w:type="dxa" w:w="54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选择标准、非歧视、国外受款人尽调、控制与监督、禁止转用于商业项目。</w:t>
            </w:r>
          </w:p>
        </w:tc>
      </w:tr>
    </w:tbl>
    <w:p>
      <w:pPr>
        <w:spacing w:after="0"/>
      </w:pPr>
    </w:p>
    <w:tbl>
      <w:tblPr>
        <w:tblW w:type="dxa" w:w="9360"/>
        <w:jc w:val="center"/>
        <w:tblLayout w:type="fixed"/>
        <w:tblLook w:firstColumn="1" w:firstRow="1" w:lastColumn="0" w:lastRow="0" w:noHBand="0" w:noVBand="1" w:val="04A0"/>
        <w:tblInd w:w="120" w:type="dxa"/>
      </w:tblPr>
      <w:tblGrid>
        <w:gridCol w:w="9706"/>
      </w:tblGrid>
      <w:tr>
        <w:tc>
          <w:tcPr>
            <w:tcW w:type="dxa" w:w="9706"/>
            <w:shd w:fill="EDEDED"/>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重要  </w:t>
            </w:r>
            <w:r>
              <w:rPr>
                <w:rFonts w:ascii="Aptos" w:hAnsi="Aptos" w:eastAsia="FangSong" w:cs="Aptos"/>
                <w:b w:val="0"/>
                <w:color w:val="303030"/>
                <w:sz w:val="19"/>
              </w:rPr>
              <w:t>以上 30/25/20/15/10 只是写作示例，不是“过审比例”。若实际主要活动是为特定企业建立收费数据产品，就必须如实披露并重新评估是否符合 501(c)(3)，不能把它写成公共研究。</w:t>
            </w:r>
          </w:p>
        </w:tc>
      </w:tr>
    </w:tbl>
    <w:p>
      <w:pPr>
        <w:spacing w:after="0"/>
      </w:pPr>
    </w:p>
    <w:p>
      <w:pPr>
        <w:pStyle w:val="Heading3"/>
      </w:pPr>
      <w:r>
        <w:rPr>
          <w:rFonts w:ascii="Aptos" w:hAnsi="Aptos" w:eastAsia="FangSong" w:cs="Aptos"/>
        </w:rPr>
        <w:t>Part IV 专项披露清单</w:t>
      </w:r>
    </w:p>
    <w:p>
      <w:pPr>
        <w:pStyle w:val="ListBullet"/>
      </w:pPr>
      <w:r>
        <w:rPr>
          <w:rFonts w:ascii="Aptos" w:hAnsi="Aptos" w:eastAsia="FangSong" w:cs="Aptos"/>
        </w:rPr>
        <w:t>☐ Foreign activities：国家、合作方、资金流、监督、现场人员、当地许可、记录和制裁风险。</w:t>
      </w:r>
    </w:p>
    <w:p>
      <w:pPr>
        <w:pStyle w:val="ListBullet"/>
      </w:pPr>
      <w:r>
        <w:rPr>
          <w:rFonts w:ascii="Aptos" w:hAnsi="Aptos" w:eastAsia="FangSong" w:cs="Aptos"/>
        </w:rPr>
        <w:t>☐ Grants：谁有资格、公开/定向选择、评审人、客观标准、协议、报告、暂停/追回、禁止私利。</w:t>
      </w:r>
    </w:p>
    <w:p>
      <w:pPr>
        <w:pStyle w:val="ListBullet"/>
      </w:pPr>
      <w:r>
        <w:rPr>
          <w:rFonts w:ascii="Aptos" w:hAnsi="Aptos" w:eastAsia="FangSong" w:cs="Aptos"/>
        </w:rPr>
        <w:t>☐ Fundraising：网站、基金会、企业赞助、活动、境外捐赠、第三方 fundraiser 和州登记。</w:t>
      </w:r>
    </w:p>
    <w:p>
      <w:pPr>
        <w:pStyle w:val="ListBullet"/>
      </w:pPr>
      <w:r>
        <w:rPr>
          <w:rFonts w:ascii="Aptos" w:hAnsi="Aptos" w:eastAsia="FangSong" w:cs="Aptos"/>
        </w:rPr>
        <w:t>☐ Fees：收费表、低收入减免、成本/市场定价、是否与教育目的相关、盈余如何使用。</w:t>
      </w:r>
    </w:p>
    <w:p>
      <w:pPr>
        <w:pStyle w:val="ListBullet"/>
      </w:pPr>
      <w:r>
        <w:rPr>
          <w:rFonts w:ascii="Aptos" w:hAnsi="Aptos" w:eastAsia="FangSong" w:cs="Aptos"/>
        </w:rPr>
        <w:t>☐ Sponsorship/advertising：Logo 致谢与促销、独家、价格信息、endorsement、销售线索分别说明。</w:t>
      </w:r>
    </w:p>
    <w:p>
      <w:pPr>
        <w:pStyle w:val="ListBullet"/>
      </w:pPr>
      <w:r>
        <w:rPr>
          <w:rFonts w:ascii="Aptos" w:hAnsi="Aptos" w:eastAsia="FangSong" w:cs="Aptos"/>
        </w:rPr>
        <w:t>☐ Intellectual property：谁拥有现有和新 IP；GPTI 是否获得持续、足够、按公允条件的权利。</w:t>
      </w:r>
    </w:p>
    <w:p>
      <w:pPr>
        <w:pStyle w:val="ListBullet"/>
      </w:pPr>
      <w:r>
        <w:rPr>
          <w:rFonts w:ascii="Aptos" w:hAnsi="Aptos" w:eastAsia="FangSong" w:cs="Aptos"/>
        </w:rPr>
        <w:t>☐ Related parties：Climate Passport 商业实体、上海气候周、创始人控制实体、供应商和共享人员/地址。</w:t>
      </w:r>
    </w:p>
    <w:p>
      <w:pPr>
        <w:pStyle w:val="ListBullet"/>
      </w:pPr>
      <w:r>
        <w:rPr>
          <w:rFonts w:ascii="Aptos" w:hAnsi="Aptos" w:eastAsia="FangSong" w:cs="Aptos"/>
        </w:rPr>
        <w:t>☐ Research：方法、同行/独立审查、结果是否公开、资助者是否可压制不利结果。</w:t>
      </w:r>
    </w:p>
    <w:p>
      <w:pPr>
        <w:pStyle w:val="ListBullet"/>
      </w:pPr>
      <w:r>
        <w:rPr>
          <w:rFonts w:ascii="Aptos" w:hAnsi="Aptos" w:eastAsia="FangSong" w:cs="Aptos"/>
        </w:rPr>
        <w:t>☐ Youth/data：年龄、同意、收集字段、存储地、跨境、供应商、保留/删除和安全。</w:t>
      </w:r>
    </w:p>
    <w:p>
      <w:pPr>
        <w:pStyle w:val="ListBullet"/>
      </w:pPr>
      <w:r>
        <w:rPr>
          <w:rFonts w:ascii="Aptos" w:hAnsi="Aptos" w:eastAsia="FangSong" w:cs="Aptos"/>
        </w:rPr>
        <w:t>☐ Policy/lobbying：实际非党派教育、行政倡导、立法游说分别描述；政治竞选介入明确禁止。</w:t>
      </w:r>
    </w:p>
    <w:p>
      <w:pPr>
        <w:pStyle w:val="Heading2"/>
      </w:pPr>
      <w:r>
        <w:rPr>
          <w:rFonts w:ascii="Aptos" w:hAnsi="Aptos" w:eastAsia="FangSong" w:cs="Aptos"/>
        </w:rPr>
        <w:t>09.8 游说与政治活动</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230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活动</w:t>
            </w:r>
          </w:p>
        </w:tc>
        <w:tc>
          <w:tcPr>
            <w:tcW w:type="dxa" w:w="446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501(c)(3) 规则</w:t>
            </w:r>
          </w:p>
        </w:tc>
        <w:tc>
          <w:tcPr>
            <w:tcW w:type="dxa" w:w="280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控制</w:t>
            </w:r>
          </w:p>
        </w:tc>
      </w:tr>
      <w:tr>
        <w:trPr>
          <w:cantSplit/>
        </w:trPr>
        <w:tc>
          <w:tcPr>
            <w:tcW w:type="dxa" w:w="23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候选人/政党竞选介入</w:t>
            </w:r>
          </w:p>
        </w:tc>
        <w:tc>
          <w:tcPr>
            <w:tcW w:type="dxa" w:w="446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绝对禁止，包括明示/暗示支持反对、资源或官方渠道介入。</w:t>
            </w:r>
          </w:p>
        </w:tc>
        <w:tc>
          <w:tcPr>
            <w:tcW w:type="dxa" w:w="28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网站和活动审批；选举期培训；无例外。</w:t>
            </w:r>
          </w:p>
        </w:tc>
      </w:tr>
      <w:tr>
        <w:trPr>
          <w:cantSplit/>
        </w:trPr>
        <w:tc>
          <w:tcPr>
            <w:tcW w:type="dxa" w:w="230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立法游说</w:t>
            </w:r>
          </w:p>
        </w:tc>
        <w:tc>
          <w:tcPr>
            <w:tcW w:type="dxa" w:w="446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不得成为 substantial part；公共慈善机构可评估 Form 5768 的 501(h) 支出测试选择。</w:t>
            </w:r>
          </w:p>
        </w:tc>
        <w:tc>
          <w:tcPr>
            <w:tcW w:type="dxa" w:w="28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分类 direct/grassroots；单独记账；董事会年度预算。</w:t>
            </w:r>
          </w:p>
        </w:tc>
      </w:tr>
      <w:tr>
        <w:trPr>
          <w:cantSplit/>
        </w:trPr>
        <w:tc>
          <w:tcPr>
            <w:tcW w:type="dxa" w:w="23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非党派研究/教育</w:t>
            </w:r>
          </w:p>
        </w:tc>
        <w:tc>
          <w:tcPr>
            <w:tcW w:type="dxa" w:w="446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在完整、客观、公开且不以行动号召为主时可属于教育/研究。</w:t>
            </w:r>
          </w:p>
        </w:tc>
        <w:tc>
          <w:tcPr>
            <w:tcW w:type="dxa" w:w="28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方法透明、多方观点、公开分发。</w:t>
            </w:r>
          </w:p>
        </w:tc>
      </w:tr>
      <w:tr>
        <w:trPr>
          <w:cantSplit/>
        </w:trPr>
        <w:tc>
          <w:tcPr>
            <w:tcW w:type="dxa" w:w="230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行政机关/国际机构交流</w:t>
            </w:r>
          </w:p>
        </w:tc>
        <w:tc>
          <w:tcPr>
            <w:tcW w:type="dxa" w:w="446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不一定是立法游说，但需按具体沟通对象和内容分类。</w:t>
            </w:r>
          </w:p>
        </w:tc>
        <w:tc>
          <w:tcPr>
            <w:tcW w:type="dxa" w:w="28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活动前由 counsel/负责人标注。</w:t>
            </w:r>
          </w:p>
        </w:tc>
      </w:tr>
    </w:tbl>
    <w:p>
      <w:pPr>
        <w:spacing w:after="0"/>
      </w:pPr>
    </w:p>
    <w:p>
      <w:pPr>
        <w:pStyle w:val="Heading2"/>
      </w:pPr>
      <w:r>
        <w:rPr>
          <w:rFonts w:ascii="Aptos" w:hAnsi="Aptos" w:eastAsia="FangSong" w:cs="Aptos"/>
        </w:rPr>
        <w:t>09.9 Part V：薪酬与关联安排</w:t>
      </w:r>
    </w:p>
    <w:p>
      <w:r>
        <w:rPr>
          <w:rFonts w:ascii="Aptos" w:hAnsi="Aptos" w:eastAsia="FangSong" w:cs="Aptos"/>
        </w:rPr>
        <w:t>给 CEO 发薪并不被禁止；问题是金额是否合理、程序是否独立、交付是否真实。采用 rebuttable presumption 的三要素：</w:t>
      </w:r>
    </w:p>
    <w:p>
      <w:pPr>
        <w:pStyle w:val="ListNumber"/>
      </w:pPr>
      <w:r>
        <w:rPr>
          <w:rFonts w:ascii="Aptos" w:hAnsi="Aptos" w:eastAsia="FangSong" w:cs="Aptos"/>
        </w:rPr>
        <w:t>由无利益冲突且在交易前的授权机构批准。</w:t>
      </w:r>
    </w:p>
    <w:p>
      <w:pPr>
        <w:pStyle w:val="ListNumber"/>
      </w:pPr>
      <w:r>
        <w:rPr>
          <w:rFonts w:ascii="Aptos" w:hAnsi="Aptos" w:eastAsia="FangSong" w:cs="Aptos"/>
        </w:rPr>
        <w:t>批准者依赖适当 comparability data：同地区/规模/职责的 990、薪酬调查、书面报价或独立专家资料。</w:t>
      </w:r>
    </w:p>
    <w:p>
      <w:pPr>
        <w:pStyle w:val="ListNumber"/>
      </w:pPr>
      <w:r>
        <w:rPr>
          <w:rFonts w:ascii="Aptos" w:hAnsi="Aptos" w:eastAsia="FangSong" w:cs="Aptos"/>
        </w:rPr>
        <w:t>及时记录条款、出席与回避、数据来源、讨论和投票；一般应在下一次会议前完成并在合理期限内批准记录。</w:t>
      </w:r>
    </w:p>
    <w:tbl>
      <w:tblPr>
        <w:tblW w:type="dxa" w:w="9360"/>
        <w:tblLayout w:type="fixed"/>
        <w:tblLook w:firstColumn="1" w:firstRow="1" w:lastColumn="0" w:lastRow="0" w:noHBand="0" w:noVBand="1" w:val="04A0"/>
        <w:jc w:val="center"/>
        <w:tblInd w:w="120" w:type="dxa"/>
      </w:tblPr>
      <w:tblGrid>
        <w:gridCol w:w="4853"/>
        <w:gridCol w:w="4853"/>
      </w:tblGrid>
      <w:tr>
        <w:trPr>
          <w:tblHeader w:val="true"/>
          <w:cantSplit/>
        </w:trPr>
        <w:tc>
          <w:tcPr>
            <w:tcW w:type="dxa" w:w="460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须披露安排</w:t>
            </w:r>
          </w:p>
        </w:tc>
        <w:tc>
          <w:tcPr>
            <w:tcW w:type="dxa" w:w="496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底稿证据</w:t>
            </w:r>
          </w:p>
        </w:tc>
      </w:tr>
      <w:tr>
        <w:trPr>
          <w:cantSplit/>
        </w:trPr>
        <w:tc>
          <w:tcPr>
            <w:tcW w:type="dxa" w:w="46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CEO/创始人薪酬、奖金、住房、保险、差旅和报销</w:t>
            </w:r>
          </w:p>
        </w:tc>
        <w:tc>
          <w:tcPr>
            <w:tcW w:type="dxa" w:w="496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岗位说明、工时、比较数据、独立决议、W-2/1099 分析</w:t>
            </w:r>
          </w:p>
        </w:tc>
      </w:tr>
      <w:tr>
        <w:trPr>
          <w:cantSplit/>
        </w:trPr>
        <w:tc>
          <w:tcPr>
            <w:tcW w:type="dxa" w:w="46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Climate Passport 商业实体的许可/服务/赞助</w:t>
            </w:r>
          </w:p>
        </w:tc>
        <w:tc>
          <w:tcPr>
            <w:tcW w:type="dxa" w:w="496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所有权披露、合同、报价/估值、回避、交付验收</w:t>
            </w:r>
          </w:p>
        </w:tc>
      </w:tr>
      <w:tr>
        <w:trPr>
          <w:cantSplit/>
        </w:trPr>
        <w:tc>
          <w:tcPr>
            <w:tcW w:type="dxa" w:w="46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与董事亲属或其公司交易</w:t>
            </w:r>
          </w:p>
        </w:tc>
        <w:tc>
          <w:tcPr>
            <w:tcW w:type="dxa" w:w="496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关系图、替代供应商、价格、公益必要性</w:t>
            </w:r>
          </w:p>
        </w:tc>
      </w:tr>
      <w:tr>
        <w:trPr>
          <w:cantSplit/>
        </w:trPr>
        <w:tc>
          <w:tcPr>
            <w:tcW w:type="dxa" w:w="46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知识产权转让、免费许可、数据或客户线索</w:t>
            </w:r>
          </w:p>
        </w:tc>
        <w:tc>
          <w:tcPr>
            <w:tcW w:type="dxa" w:w="496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权属链、FMV、使用限制、终止、数据权利</w:t>
            </w:r>
          </w:p>
        </w:tc>
      </w:tr>
      <w:tr>
        <w:trPr>
          <w:cantSplit/>
        </w:trPr>
        <w:tc>
          <w:tcPr>
            <w:tcW w:type="dxa" w:w="46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贷款、预付款、资产销售或成本分摊</w:t>
            </w:r>
          </w:p>
        </w:tc>
        <w:tc>
          <w:tcPr>
            <w:tcW w:type="dxa" w:w="496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不得口头；董事会和 counsel/CPA 复核</w:t>
            </w:r>
          </w:p>
        </w:tc>
      </w:tr>
    </w:tbl>
    <w:p>
      <w:pPr>
        <w:spacing w:after="0"/>
      </w:pPr>
    </w:p>
    <w:p>
      <w:pPr>
        <w:pStyle w:val="Heading2"/>
      </w:pPr>
      <w:r>
        <w:rPr>
          <w:rFonts w:ascii="Aptos" w:hAnsi="Aptos" w:eastAsia="FangSong" w:cs="Aptos"/>
        </w:rPr>
        <w:t>09.10 Part VI：财务数据</w:t>
      </w:r>
    </w:p>
    <w:p>
      <w:r>
        <w:rPr>
          <w:rFonts w:ascii="Aptos" w:hAnsi="Aptos" w:eastAsia="FangSong" w:cs="Aptos"/>
        </w:rPr>
        <w:t>若在成立不足一年时申请，通常提交当前短税年和后两年预测，合计 3 年；成立超过一年后的列数按现行 instructions 调整。全部用美元，境外金额注明汇率来源和日期。预测必须能回到活动叙述。</w:t>
      </w:r>
    </w:p>
    <w:tbl>
      <w:tblPr>
        <w:tblW w:type="dxa" w:w="9360"/>
        <w:tblLayout w:type="fixed"/>
        <w:tblLook w:firstColumn="1" w:firstRow="1" w:lastColumn="0" w:lastRow="0" w:noHBand="0" w:noVBand="1" w:val="04A0"/>
        <w:jc w:val="center"/>
        <w:tblInd w:w="120" w:type="dxa"/>
      </w:tblPr>
      <w:tblGrid>
        <w:gridCol w:w="1941"/>
        <w:gridCol w:w="1941"/>
        <w:gridCol w:w="1941"/>
        <w:gridCol w:w="1941"/>
        <w:gridCol w:w="1941"/>
      </w:tblGrid>
      <w:tr>
        <w:trPr>
          <w:tblHeader w:val="true"/>
          <w:cantSplit/>
        </w:trPr>
        <w:tc>
          <w:tcPr>
            <w:tcW w:type="dxa" w:w="2232"/>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收入/支出类别</w:t>
            </w:r>
          </w:p>
        </w:tc>
        <w:tc>
          <w:tcPr>
            <w:tcW w:type="dxa" w:w="1440"/>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2026 short year</w:t>
            </w:r>
          </w:p>
        </w:tc>
        <w:tc>
          <w:tcPr>
            <w:tcW w:type="dxa" w:w="1296"/>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2027</w:t>
            </w:r>
          </w:p>
        </w:tc>
        <w:tc>
          <w:tcPr>
            <w:tcW w:type="dxa" w:w="1296"/>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2028</w:t>
            </w:r>
          </w:p>
        </w:tc>
        <w:tc>
          <w:tcPr>
            <w:tcW w:type="dxa" w:w="3312"/>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分类说明</w:t>
            </w:r>
          </w:p>
        </w:tc>
      </w:tr>
      <w:tr>
        <w:trPr>
          <w:cantSplit/>
        </w:trPr>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Public contributions</w:t>
            </w:r>
          </w:p>
        </w:tc>
        <w:tc>
          <w:tcPr>
            <w:tcW w:type="dxa" w:w="14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33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无显著回报的公众/个人/部分机构捐赠</w:t>
            </w:r>
          </w:p>
        </w:tc>
      </w:tr>
      <w:tr>
        <w:trPr>
          <w:cantSplit/>
        </w:trPr>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Foundation grants</w:t>
            </w:r>
          </w:p>
        </w:tc>
        <w:tc>
          <w:tcPr>
            <w:tcW w:type="dxa" w:w="14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33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按赠款合同；记录 restricted/unrestricted</w:t>
            </w:r>
          </w:p>
        </w:tc>
      </w:tr>
      <w:tr>
        <w:trPr>
          <w:cantSplit/>
        </w:trPr>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Qualified sponsorship</w:t>
            </w:r>
          </w:p>
        </w:tc>
        <w:tc>
          <w:tcPr>
            <w:tcW w:type="dxa" w:w="14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33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仅在回报符合 qualified sponsorship 时列此</w:t>
            </w:r>
          </w:p>
        </w:tc>
      </w:tr>
      <w:tr>
        <w:trPr>
          <w:cantSplit/>
        </w:trPr>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Program service revenue</w:t>
            </w:r>
          </w:p>
        </w:tc>
        <w:tc>
          <w:tcPr>
            <w:tcW w:type="dxa" w:w="14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33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与 exempt program 直接相关的收费</w:t>
            </w:r>
          </w:p>
        </w:tc>
      </w:tr>
      <w:tr>
        <w:trPr>
          <w:cantSplit/>
        </w:trPr>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Advertising/other business</w:t>
            </w:r>
          </w:p>
        </w:tc>
        <w:tc>
          <w:tcPr>
            <w:tcW w:type="dxa" w:w="14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33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单独识别潜在 UBIT，不要混入 sponsorship</w:t>
            </w:r>
          </w:p>
        </w:tc>
      </w:tr>
      <w:tr>
        <w:trPr>
          <w:cantSplit/>
        </w:trPr>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Total revenue</w:t>
            </w:r>
          </w:p>
        </w:tc>
        <w:tc>
          <w:tcPr>
            <w:tcW w:type="dxa" w:w="14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33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每列求和</w:t>
            </w:r>
          </w:p>
        </w:tc>
      </w:tr>
      <w:tr>
        <w:trPr>
          <w:cantSplit/>
        </w:trPr>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Program services</w:t>
            </w:r>
          </w:p>
        </w:tc>
        <w:tc>
          <w:tcPr>
            <w:tcW w:type="dxa" w:w="14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33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按五项活动拆分的直接+分配成本</w:t>
            </w:r>
          </w:p>
        </w:tc>
      </w:tr>
      <w:tr>
        <w:trPr>
          <w:cantSplit/>
        </w:trPr>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Management/general</w:t>
            </w:r>
          </w:p>
        </w:tc>
        <w:tc>
          <w:tcPr>
            <w:tcW w:type="dxa" w:w="14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33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治理、会计、法律、行政</w:t>
            </w:r>
          </w:p>
        </w:tc>
      </w:tr>
      <w:tr>
        <w:trPr>
          <w:cantSplit/>
        </w:trPr>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Fundraising</w:t>
            </w:r>
          </w:p>
        </w:tc>
        <w:tc>
          <w:tcPr>
            <w:tcW w:type="dxa" w:w="14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33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募资人员、平台、活动分摊</w:t>
            </w:r>
          </w:p>
        </w:tc>
      </w:tr>
      <w:tr>
        <w:trPr>
          <w:cantSplit/>
        </w:trPr>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Total expenses</w:t>
            </w:r>
          </w:p>
        </w:tc>
        <w:tc>
          <w:tcPr>
            <w:tcW w:type="dxa" w:w="14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33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与现金流和人员计划一致</w:t>
            </w:r>
          </w:p>
        </w:tc>
      </w:tr>
      <w:tr>
        <w:trPr>
          <w:cantSplit/>
        </w:trPr>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Year-end assets/liabilities</w:t>
            </w:r>
          </w:p>
        </w:tc>
        <w:tc>
          <w:tcPr>
            <w:tcW w:type="dxa" w:w="14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12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 ]</w:t>
            </w:r>
          </w:p>
        </w:tc>
        <w:tc>
          <w:tcPr>
            <w:tcW w:type="dxa" w:w="33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现金、应收、预付、设备、应付、restricted balances</w:t>
            </w:r>
          </w:p>
        </w:tc>
      </w:tr>
    </w:tbl>
    <w:p>
      <w:pPr>
        <w:spacing w:after="0"/>
      </w:pPr>
    </w:p>
    <w:p>
      <w:pPr>
        <w:pStyle w:val="Heading3"/>
      </w:pPr>
      <w:r>
        <w:rPr>
          <w:rFonts w:ascii="Aptos" w:hAnsi="Aptos" w:eastAsia="FangSong" w:cs="Aptos"/>
        </w:rPr>
        <w:t>财务预测质量检查</w:t>
      </w:r>
    </w:p>
    <w:p>
      <w:pPr>
        <w:pStyle w:val="ListBullet"/>
      </w:pPr>
      <w:r>
        <w:rPr>
          <w:rFonts w:ascii="Aptos" w:hAnsi="Aptos" w:eastAsia="FangSong" w:cs="Aptos"/>
        </w:rPr>
        <w:t>☐ 所有收入有来源逻辑，不人为拆分捐赠人以通过 public support test。</w:t>
      </w:r>
    </w:p>
    <w:p>
      <w:pPr>
        <w:pStyle w:val="ListBullet"/>
      </w:pPr>
      <w:r>
        <w:rPr>
          <w:rFonts w:ascii="Aptos" w:hAnsi="Aptos" w:eastAsia="FangSong" w:cs="Aptos"/>
        </w:rPr>
        <w:t>☐ 每项活动的费用比例与 Part IV 时间/支出比例大致一致；差异有说明。</w:t>
      </w:r>
    </w:p>
    <w:p>
      <w:pPr>
        <w:pStyle w:val="ListBullet"/>
      </w:pPr>
      <w:r>
        <w:rPr>
          <w:rFonts w:ascii="Aptos" w:hAnsi="Aptos" w:eastAsia="FangSong" w:cs="Aptos"/>
        </w:rPr>
        <w:t>☐ 关联方合同、CEO 薪酬、国际差旅、保险、会计、法律、翻译、数据安全和 PRC 备案成本已计入。</w:t>
      </w:r>
    </w:p>
    <w:p>
      <w:pPr>
        <w:pStyle w:val="ListBullet"/>
      </w:pPr>
      <w:r>
        <w:rPr>
          <w:rFonts w:ascii="Aptos" w:hAnsi="Aptos" w:eastAsia="FangSong" w:cs="Aptos"/>
        </w:rPr>
        <w:t>☐ 赞助含广告权益时按实际性质分类；潜在 UBIT 单列。</w:t>
      </w:r>
    </w:p>
    <w:p>
      <w:pPr>
        <w:pStyle w:val="ListBullet"/>
      </w:pPr>
      <w:r>
        <w:rPr>
          <w:rFonts w:ascii="Aptos" w:hAnsi="Aptos" w:eastAsia="FangSong" w:cs="Aptos"/>
        </w:rPr>
        <w:t>☐ 现金赤字有真实融资计划；大额结余有储备/未来项目说明。</w:t>
      </w:r>
    </w:p>
    <w:p>
      <w:pPr>
        <w:pStyle w:val="ListBullet"/>
      </w:pPr>
      <w:r>
        <w:rPr>
          <w:rFonts w:ascii="Aptos" w:hAnsi="Aptos" w:eastAsia="FangSong" w:cs="Aptos"/>
        </w:rPr>
        <w:t>☐ 境外金额使用统一汇率来源，保留转换表。</w:t>
      </w:r>
    </w:p>
    <w:p>
      <w:pPr>
        <w:pStyle w:val="Heading2"/>
      </w:pPr>
      <w:r>
        <w:rPr>
          <w:rFonts w:ascii="Aptos" w:hAnsi="Aptos" w:eastAsia="FangSong" w:cs="Aptos"/>
        </w:rPr>
        <w:t>09.11 Part VII：Public Charity 分类</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230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常见分类</w:t>
            </w:r>
          </w:p>
        </w:tc>
        <w:tc>
          <w:tcPr>
            <w:tcW w:type="dxa" w:w="352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适用模型</w:t>
            </w:r>
          </w:p>
        </w:tc>
        <w:tc>
          <w:tcPr>
            <w:tcW w:type="dxa" w:w="374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关键测试</w:t>
            </w:r>
          </w:p>
        </w:tc>
      </w:tr>
      <w:tr>
        <w:trPr>
          <w:cantSplit/>
        </w:trPr>
        <w:tc>
          <w:tcPr>
            <w:tcW w:type="dxa" w:w="23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509(a)(1) / 170(b)(1)(A)(vi)</w:t>
            </w:r>
          </w:p>
        </w:tc>
        <w:tc>
          <w:tcPr>
            <w:tcW w:type="dxa" w:w="35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以公众捐赠、国内政府单位和合格公共慈善机构支持为主。</w:t>
            </w:r>
          </w:p>
        </w:tc>
        <w:tc>
          <w:tcPr>
            <w:tcW w:type="dxa" w:w="374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一般为至少 1/3 public support；或至少 10% 加 facts-and-circumstances。大额单一私人捐赠可能受 2% 限制。</w:t>
            </w:r>
          </w:p>
        </w:tc>
      </w:tr>
      <w:tr>
        <w:trPr>
          <w:cantSplit/>
        </w:trPr>
        <w:tc>
          <w:tcPr>
            <w:tcW w:type="dxa" w:w="230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509(a)(2)</w:t>
            </w:r>
          </w:p>
        </w:tc>
        <w:tc>
          <w:tcPr>
            <w:tcW w:type="dxa" w:w="352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公众捐赠/会员费与 related exempt-function gross receipts 均重要。</w:t>
            </w:r>
          </w:p>
        </w:tc>
        <w:tc>
          <w:tcPr>
            <w:tcW w:type="dxa" w:w="374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一般需超过 1/3 来自允许的公众支持，并限制投资收入+UBTI 比例；对单一付款人的项目费也有限制。</w:t>
            </w:r>
          </w:p>
        </w:tc>
      </w:tr>
      <w:tr>
        <w:trPr>
          <w:cantSplit/>
        </w:trPr>
        <w:tc>
          <w:tcPr>
            <w:tcW w:type="dxa" w:w="23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Private foundation</w:t>
            </w:r>
          </w:p>
        </w:tc>
        <w:tc>
          <w:tcPr>
            <w:tcW w:type="dxa" w:w="35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未能符合公共慈善分类。</w:t>
            </w:r>
          </w:p>
        </w:tc>
        <w:tc>
          <w:tcPr>
            <w:tcW w:type="dxa" w:w="374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监管、税和 grantmaking 规则更重；不要因填表策略意外落入。</w:t>
            </w:r>
          </w:p>
        </w:tc>
      </w:tr>
    </w:tbl>
    <w:p>
      <w:pPr>
        <w:spacing w:after="0"/>
      </w:pPr>
    </w:p>
    <w:tbl>
      <w:tblPr>
        <w:tblW w:type="dxa" w:w="9360"/>
        <w:jc w:val="center"/>
        <w:tblLayout w:type="fixed"/>
        <w:tblLook w:firstColumn="1" w:firstRow="1" w:lastColumn="0" w:lastRow="0" w:noHBand="0" w:noVBand="1" w:val="04A0"/>
        <w:tblInd w:w="120" w:type="dxa"/>
      </w:tblPr>
      <w:tblGrid>
        <w:gridCol w:w="9706"/>
      </w:tblGrid>
      <w:tr>
        <w:tc>
          <w:tcPr>
            <w:tcW w:type="dxa" w:w="9706"/>
            <w:shd w:fill="F7F7F7"/>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确认  </w:t>
            </w:r>
            <w:r>
              <w:rPr>
                <w:rFonts w:ascii="Aptos" w:hAnsi="Aptos" w:eastAsia="FangSong" w:cs="Aptos"/>
                <w:b w:val="0"/>
                <w:color w:val="303030"/>
                <w:sz w:val="19"/>
              </w:rPr>
              <w:t>如果 Climate Passport 的项目服务费会成为重要收入，509(a)(2) 可能更贴合；若主要是广泛捐赠/基金会，170(b)(1)(A)(vi) 可能更适合。由 CPA 用五年滚动 public support 模型试算后选择，申请文本和预算保持一致。</w:t>
            </w:r>
          </w:p>
        </w:tc>
      </w:tr>
    </w:tbl>
    <w:p>
      <w:pPr>
        <w:spacing w:after="0"/>
      </w:pPr>
    </w:p>
    <w:p>
      <w:pPr>
        <w:pStyle w:val="Heading2"/>
      </w:pPr>
      <w:r>
        <w:rPr>
          <w:rFonts w:ascii="Aptos" w:hAnsi="Aptos" w:eastAsia="FangSong" w:cs="Aptos"/>
        </w:rPr>
        <w:t>09.12 附件顺序与命名</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64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顺序</w:t>
            </w:r>
          </w:p>
        </w:tc>
        <w:tc>
          <w:tcPr>
            <w:tcW w:type="dxa" w:w="388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内容</w:t>
            </w:r>
          </w:p>
        </w:tc>
        <w:tc>
          <w:tcPr>
            <w:tcW w:type="dxa" w:w="504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文件控制</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1</w:t>
            </w:r>
          </w:p>
        </w:tc>
        <w:tc>
          <w:tcPr>
            <w:tcW w:type="dxa" w:w="38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Filed Articles of Incorporation</w:t>
            </w:r>
          </w:p>
        </w:tc>
        <w:tc>
          <w:tcPr>
            <w:tcW w:type="dxa" w:w="50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含 Additional Information 和 dissolution；清晰、完整。</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w:t>
            </w:r>
          </w:p>
        </w:tc>
        <w:tc>
          <w:tcPr>
            <w:tcW w:type="dxa" w:w="38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Filed amendments/corrections</w:t>
            </w:r>
          </w:p>
        </w:tc>
        <w:tc>
          <w:tcPr>
            <w:tcW w:type="dxa" w:w="50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没有则不造空白页。</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3</w:t>
            </w:r>
          </w:p>
        </w:tc>
        <w:tc>
          <w:tcPr>
            <w:tcW w:type="dxa" w:w="38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Adopted Bylaws and amendments</w:t>
            </w:r>
          </w:p>
        </w:tc>
        <w:tc>
          <w:tcPr>
            <w:tcW w:type="dxa" w:w="50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签署/认证副本；日期与 board consent 一致。</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4</w:t>
            </w:r>
          </w:p>
        </w:tc>
        <w:tc>
          <w:tcPr>
            <w:tcW w:type="dxa" w:w="38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Form 2848 or 8821</w:t>
            </w:r>
          </w:p>
        </w:tc>
        <w:tc>
          <w:tcPr>
            <w:tcW w:type="dxa" w:w="50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仅在需要时。</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5</w:t>
            </w:r>
          </w:p>
        </w:tc>
        <w:tc>
          <w:tcPr>
            <w:tcW w:type="dxa" w:w="38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Supplemental responses</w:t>
            </w:r>
          </w:p>
        </w:tc>
        <w:tc>
          <w:tcPr>
            <w:tcW w:type="dxa" w:w="50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按 Part/Line 顺序；每页写 legal name、EIN、Part、Line。</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6</w:t>
            </w:r>
          </w:p>
        </w:tc>
        <w:tc>
          <w:tcPr>
            <w:tcW w:type="dxa" w:w="38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Optional supporting contracts/policies</w:t>
            </w:r>
          </w:p>
        </w:tc>
        <w:tc>
          <w:tcPr>
            <w:tcW w:type="dxa" w:w="50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仅上传问题要求或解释必需的节选；删除敏感信息。</w:t>
            </w:r>
          </w:p>
        </w:tc>
      </w:tr>
    </w:tbl>
    <w:p>
      <w:pPr>
        <w:spacing w:after="0"/>
      </w:pPr>
    </w:p>
    <w:p>
      <w:r>
        <w:rPr>
          <w:rFonts w:ascii="Aptos" w:hAnsi="Aptos" w:eastAsia="FangSong" w:cs="Aptos"/>
        </w:rPr>
        <w:t>Conflict of Interest Policy 并非官方附件清单中的一律强制上传项。可在回答中说明已采用，并在确有解释关联交易需要时提供相关政策/决议；不要用政策代替具体事实披露。</w:t>
      </w:r>
    </w:p>
    <w:p>
      <w:pPr>
        <w:pStyle w:val="Heading2"/>
      </w:pPr>
      <w:r>
        <w:rPr>
          <w:rFonts w:ascii="Aptos" w:hAnsi="Aptos" w:eastAsia="FangSong" w:cs="Aptos"/>
        </w:rPr>
        <w:t>09.13 提交与回执</w:t>
      </w:r>
    </w:p>
    <w:p>
      <w:pPr>
        <w:pStyle w:val="ListNumber"/>
      </w:pPr>
      <w:r>
        <w:rPr>
          <w:rFonts w:ascii="Aptos" w:hAnsi="Aptos" w:eastAsia="FangSong" w:cs="Aptos"/>
        </w:rPr>
        <w:t>董事会或获授权委员会审阅完整打印件；CEO、Treasurer、律师和 CPA 分别确认事实、财务、法律和税务。</w:t>
      </w:r>
    </w:p>
    <w:p>
      <w:pPr>
        <w:pStyle w:val="ListNumber"/>
      </w:pPr>
      <w:r>
        <w:rPr>
          <w:rFonts w:ascii="Aptos" w:hAnsi="Aptos" w:eastAsia="FangSong" w:cs="Aptos"/>
        </w:rPr>
        <w:t>由获授权 officer 在 Pay.gov 电子签署；支付当前 user fee。</w:t>
      </w:r>
    </w:p>
    <w:p>
      <w:pPr>
        <w:pStyle w:val="ListNumber"/>
      </w:pPr>
      <w:r>
        <w:rPr>
          <w:rFonts w:ascii="Aptos" w:hAnsi="Aptos" w:eastAsia="FangSong" w:cs="Aptos"/>
        </w:rPr>
        <w:t>下载 Pay.gov confirmation、完整提交副本、附件 PDF 和付款收据；生成 SHA-256 或只读归档。</w:t>
      </w:r>
    </w:p>
    <w:p>
      <w:pPr>
        <w:pStyle w:val="ListNumber"/>
      </w:pPr>
      <w:r>
        <w:rPr>
          <w:rFonts w:ascii="Aptos" w:hAnsi="Aptos" w:eastAsia="FangSong" w:cs="Aptos"/>
        </w:rPr>
        <w:t>建立 IRS request log：收到任何电话、传真或信件，当日扫描；截止日前至少 5 个工作日完成回复。</w:t>
      </w:r>
    </w:p>
    <w:tbl>
      <w:tblPr>
        <w:tblW w:type="dxa" w:w="9360"/>
        <w:jc w:val="center"/>
        <w:tblLayout w:type="fixed"/>
        <w:tblLook w:firstColumn="1" w:firstRow="1" w:lastColumn="0" w:lastRow="0" w:noHBand="0" w:noVBand="1" w:val="04A0"/>
        <w:tblInd w:w="120" w:type="dxa"/>
      </w:tblPr>
      <w:tblGrid>
        <w:gridCol w:w="9706"/>
      </w:tblGrid>
      <w:tr>
        <w:tc>
          <w:tcPr>
            <w:tcW w:type="dxa" w:w="9706"/>
            <w:shd w:fill="EDEDED"/>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公开性  </w:t>
            </w:r>
            <w:r>
              <w:rPr>
                <w:rFonts w:ascii="Aptos" w:hAnsi="Aptos" w:eastAsia="FangSong" w:cs="Aptos"/>
                <w:b w:val="0"/>
                <w:color w:val="303030"/>
                <w:sz w:val="19"/>
              </w:rPr>
              <w:t>获批申请、附件和 IRS 部分往来通常须公众查阅。不要上传未被要求的护照、ITIN、签名样本、银行号码、未成年人名单、个人住址或商业源代码；必须披露的关联交易仍不能隐瞒。</w:t>
            </w:r>
          </w:p>
        </w:tc>
      </w:tr>
    </w:tbl>
    <w:p>
      <w:pPr>
        <w:spacing w:after="0"/>
      </w:pPr>
    </w:p>
    <w:p>
      <w:r>
        <w:br w:type="page"/>
      </w:r>
    </w:p>
    <w:p>
      <w:pPr>
        <w:spacing w:after="40"/>
      </w:pPr>
      <w:r>
        <w:rPr>
          <w:rFonts w:ascii="Aptos" w:hAnsi="Aptos" w:eastAsia="Microsoft YaHei" w:cs="Aptos"/>
          <w:b/>
          <w:color w:val="6A6A6A"/>
          <w:sz w:val="16"/>
        </w:rPr>
        <w:t>MODULE 10</w:t>
      </w:r>
    </w:p>
    <w:p>
      <w:pPr>
        <w:pStyle w:val="Heading1"/>
      </w:pPr>
      <w:r>
        <w:rPr>
          <w:rFonts w:ascii="Aptos" w:hAnsi="Aptos" w:eastAsia="FangSong" w:cs="Aptos"/>
        </w:rPr>
        <w:t>审理期间与批复后的动作</w:t>
      </w:r>
    </w:p>
    <w:p>
      <w:pPr>
        <w:keepLines/>
      </w:pPr>
      <w:r>
        <w:rPr>
          <w:rFonts w:ascii="Aptos" w:hAnsi="Aptos" w:eastAsia="FangSong" w:cs="Aptos"/>
          <w:color w:val="6A6A6A"/>
          <w:sz w:val="21"/>
        </w:rPr>
        <w:t>“申请中”不是合规真空；按时申报 990、保存活动证据，并避免把 pending 说成已获批。</w:t>
      </w:r>
    </w:p>
    <w:p>
      <w:pPr>
        <w:spacing w:after="180"/>
        <w:pBdr>
          <w:bottom w:val="single" w:sz="10" w:space="1" w:color="111111"/>
        </w:pBdr>
      </w:pPr>
    </w:p>
    <w:p>
      <w:pPr>
        <w:pStyle w:val="Heading2"/>
      </w:pPr>
      <w:r>
        <w:rPr>
          <w:rFonts w:ascii="Aptos" w:hAnsi="Aptos" w:eastAsia="FangSong" w:cs="Aptos"/>
        </w:rPr>
        <w:t>10.1 审理期间</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180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动作</w:t>
            </w:r>
          </w:p>
        </w:tc>
        <w:tc>
          <w:tcPr>
            <w:tcW w:type="dxa" w:w="496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规则</w:t>
            </w:r>
          </w:p>
        </w:tc>
        <w:tc>
          <w:tcPr>
            <w:tcW w:type="dxa" w:w="280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措辞/证据</w:t>
            </w:r>
          </w:p>
        </w:tc>
      </w:tr>
      <w:tr>
        <w:trPr>
          <w:cantSplit/>
        </w:trPr>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开展项目</w:t>
            </w:r>
          </w:p>
        </w:tc>
        <w:tc>
          <w:tcPr>
            <w:tcW w:type="dxa" w:w="496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公司已可依 Articles/Bylaws 运营，但必须符合拟申请的 exempt purpose。</w:t>
            </w:r>
          </w:p>
        </w:tc>
        <w:tc>
          <w:tcPr>
            <w:tcW w:type="dxa" w:w="28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合同写 legal name；项目档案从 Day 0 留存。</w:t>
            </w:r>
          </w:p>
        </w:tc>
      </w:tr>
      <w:tr>
        <w:trPr>
          <w:cantSplit/>
        </w:trPr>
        <w:tc>
          <w:tcPr>
            <w:tcW w:type="dxa" w:w="18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接受捐赠</w:t>
            </w:r>
          </w:p>
        </w:tc>
        <w:tc>
          <w:tcPr>
            <w:tcW w:type="dxa" w:w="496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及时申请并获批时有效日期可能追溯，但结果未定。</w:t>
            </w:r>
          </w:p>
        </w:tc>
        <w:tc>
          <w:tcPr>
            <w:tcW w:type="dxa" w:w="28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收据写“application for recognition under section 501(c)(3) is pending”；不保证个人扣除。</w:t>
            </w:r>
          </w:p>
        </w:tc>
      </w:tr>
      <w:tr>
        <w:trPr>
          <w:cantSplit/>
        </w:trPr>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公开宣传</w:t>
            </w:r>
          </w:p>
        </w:tc>
        <w:tc>
          <w:tcPr>
            <w:tcW w:type="dxa" w:w="496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不得显示 IRS 已认证、UN NGO、ECOSOC status 或政府背书。</w:t>
            </w:r>
          </w:p>
        </w:tc>
        <w:tc>
          <w:tcPr>
            <w:tcW w:type="dxa" w:w="28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使用 accurate pending language。</w:t>
            </w:r>
          </w:p>
        </w:tc>
      </w:tr>
      <w:tr>
        <w:trPr>
          <w:cantSplit/>
        </w:trPr>
        <w:tc>
          <w:tcPr>
            <w:tcW w:type="dxa" w:w="18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年度申报</w:t>
            </w:r>
          </w:p>
        </w:tc>
        <w:tc>
          <w:tcPr>
            <w:tcW w:type="dxa" w:w="496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即使 exemption application pending，也需按组织规模及时提交适用的 990-series return/notice。</w:t>
            </w:r>
          </w:p>
        </w:tc>
        <w:tc>
          <w:tcPr>
            <w:tcW w:type="dxa" w:w="28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在到期日前解决 990-N 系统识别问题。</w:t>
            </w:r>
          </w:p>
        </w:tc>
      </w:tr>
      <w:tr>
        <w:trPr>
          <w:cantSplit/>
        </w:trPr>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IRS 补件</w:t>
            </w:r>
          </w:p>
        </w:tc>
        <w:tc>
          <w:tcPr>
            <w:tcW w:type="dxa" w:w="496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按信中 deadline、地址/传真和编号回复；保持每个答案一致。</w:t>
            </w:r>
          </w:p>
        </w:tc>
        <w:tc>
          <w:tcPr>
            <w:tcW w:type="dxa" w:w="28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response index、签字、投递证明。</w:t>
            </w:r>
          </w:p>
        </w:tc>
      </w:tr>
      <w:tr>
        <w:trPr>
          <w:cantSplit/>
        </w:trPr>
        <w:tc>
          <w:tcPr>
            <w:tcW w:type="dxa" w:w="18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重大变化</w:t>
            </w:r>
          </w:p>
        </w:tc>
        <w:tc>
          <w:tcPr>
            <w:tcW w:type="dxa" w:w="496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活动、IP、薪酬、董事、预算或地址与申请显著不同，评估是否主动通知 IRS。</w:t>
            </w:r>
          </w:p>
        </w:tc>
        <w:tc>
          <w:tcPr>
            <w:tcW w:type="dxa" w:w="28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board minutes + counsel memo。</w:t>
            </w:r>
          </w:p>
        </w:tc>
      </w:tr>
    </w:tbl>
    <w:p>
      <w:pPr>
        <w:spacing w:after="0"/>
      </w:pPr>
    </w:p>
    <w:p>
      <w:r>
        <w:rPr>
          <w:rFonts w:ascii="Aptos" w:hAnsi="Aptos" w:eastAsia="FangSong" w:cs="Aptos"/>
        </w:rPr>
        <w:t>IRS 当前处理进度不是保证。提交后按官方页面核查：</w:t>
      </w:r>
      <w:hyperlink r:id="rId25">
        <w:r>
          <w:rPr>
            <w:rFonts w:ascii="Aptos" w:hAnsi="Aptos" w:eastAsia="FangSong"/>
            <w:color w:val="303030"/>
            <w:u w:val="single"/>
          </w:rPr>
          <w:t>Where’s My Application for Tax-Exempt Status?</w:t>
        </w:r>
      </w:hyperlink>
    </w:p>
    <w:p>
      <w:pPr>
        <w:pStyle w:val="Heading2"/>
      </w:pPr>
      <w:r>
        <w:rPr>
          <w:rFonts w:ascii="Aptos" w:hAnsi="Aptos" w:eastAsia="FangSong" w:cs="Aptos"/>
        </w:rPr>
        <w:t>10.2 收到 Determination Letter 的 48 小时检查</w:t>
      </w:r>
    </w:p>
    <w:p>
      <w:pPr>
        <w:pStyle w:val="ListBullet"/>
      </w:pPr>
      <w:r>
        <w:rPr>
          <w:rFonts w:ascii="Aptos" w:hAnsi="Aptos" w:eastAsia="FangSong" w:cs="Aptos"/>
        </w:rPr>
        <w:t>☐ 法定名称、EIN 和有效日期正确；有效日期是否回溯到成立日。</w:t>
      </w:r>
    </w:p>
    <w:p>
      <w:pPr>
        <w:pStyle w:val="ListBullet"/>
      </w:pPr>
      <w:r>
        <w:rPr>
          <w:rFonts w:ascii="Aptos" w:hAnsi="Aptos" w:eastAsia="FangSong" w:cs="Aptos"/>
        </w:rPr>
        <w:t>☐ Foundation classification 与申请选择一致；记录 public charity support test 类型。</w:t>
      </w:r>
    </w:p>
    <w:p>
      <w:pPr>
        <w:pStyle w:val="ListBullet"/>
      </w:pPr>
      <w:r>
        <w:rPr>
          <w:rFonts w:ascii="Aptos" w:hAnsi="Aptos" w:eastAsia="FangSong" w:cs="Aptos"/>
        </w:rPr>
        <w:t>☐ Accounting period ending 与 December 31 一致。</w:t>
      </w:r>
    </w:p>
    <w:p>
      <w:pPr>
        <w:pStyle w:val="ListBullet"/>
      </w:pPr>
      <w:r>
        <w:rPr>
          <w:rFonts w:ascii="Aptos" w:hAnsi="Aptos" w:eastAsia="FangSong" w:cs="Aptos"/>
        </w:rPr>
        <w:t>☐ 是否有 advance ruling、conditions、adverse language 或需补做事项；有疑问立即让 counsel 联系 IRS。</w:t>
      </w:r>
    </w:p>
    <w:p>
      <w:pPr>
        <w:pStyle w:val="ListBullet"/>
      </w:pPr>
      <w:r>
        <w:rPr>
          <w:rFonts w:ascii="Aptos" w:hAnsi="Aptos" w:eastAsia="FangSong" w:cs="Aptos"/>
        </w:rPr>
        <w:t>☐ 将 PDF 原件设为只读，提交银行、捐赠平台和必要合作方；网站可准确更新。</w:t>
      </w:r>
    </w:p>
    <w:p>
      <w:pPr>
        <w:pStyle w:val="ListBullet"/>
      </w:pPr>
      <w:r>
        <w:rPr>
          <w:rFonts w:ascii="Aptos" w:hAnsi="Aptos" w:eastAsia="FangSong" w:cs="Aptos"/>
        </w:rPr>
        <w:t>☐ 在 IRS Tax Exempt Organization Search 更新后核对公开记录；允许系统处理时间。</w:t>
      </w:r>
    </w:p>
    <w:p>
      <w:pPr>
        <w:pStyle w:val="Heading2"/>
      </w:pPr>
      <w:r>
        <w:rPr>
          <w:rFonts w:ascii="Aptos" w:hAnsi="Aptos" w:eastAsia="FangSong" w:cs="Aptos"/>
        </w:rPr>
        <w:t>10.3 Colorado 销售税豁免是单独申请</w:t>
      </w:r>
    </w:p>
    <w:p>
      <w:pPr>
        <w:pStyle w:val="ListNumber"/>
      </w:pPr>
      <w:r>
        <w:rPr>
          <w:rFonts w:ascii="Aptos" w:hAnsi="Aptos" w:eastAsia="FangSong" w:cs="Aptos"/>
        </w:rPr>
        <w:t>确认已取得 IRS 501(c)(3) determination letter。</w:t>
      </w:r>
    </w:p>
    <w:p>
      <w:pPr>
        <w:pStyle w:val="ListNumber"/>
      </w:pPr>
      <w:r>
        <w:rPr>
          <w:rFonts w:ascii="Aptos" w:hAnsi="Aptos" w:eastAsia="FangSong" w:cs="Aptos"/>
        </w:rPr>
        <w:t>准备 DR 0715、Articles、Bylaws、IRS letter、活动说明和 Colorado 地址/联系人。</w:t>
      </w:r>
    </w:p>
    <w:p>
      <w:pPr>
        <w:pStyle w:val="ListNumber"/>
      </w:pPr>
      <w:r>
        <w:rPr>
          <w:rFonts w:ascii="Aptos" w:hAnsi="Aptos" w:eastAsia="FangSong" w:cs="Aptos"/>
        </w:rPr>
        <w:t>向 Colorado Department of Revenue 提交 Application for Sales Tax Exemption；当前官方说明无申请费。</w:t>
      </w:r>
    </w:p>
    <w:p>
      <w:pPr>
        <w:pStyle w:val="ListNumber"/>
      </w:pPr>
      <w:r>
        <w:rPr>
          <w:rFonts w:ascii="Aptos" w:hAnsi="Aptos" w:eastAsia="FangSong" w:cs="Aptos"/>
        </w:rPr>
        <w:t>获批后按证书范围使用；免税购买通常不等于所有销售免税，也不自动扩展到其他州。</w:t>
      </w:r>
    </w:p>
    <w:p>
      <w:r>
        <w:rPr>
          <w:rFonts w:ascii="Aptos" w:hAnsi="Aptos" w:eastAsia="FangSong" w:cs="Aptos"/>
        </w:rPr>
        <w:t>官方入口：</w:t>
      </w:r>
      <w:hyperlink r:id="rId26">
        <w:r>
          <w:rPr>
            <w:rFonts w:ascii="Aptos" w:hAnsi="Aptos" w:eastAsia="FangSong"/>
            <w:color w:val="303030"/>
            <w:u w:val="single"/>
          </w:rPr>
          <w:t>Colorado Certificates of Exemption</w:t>
        </w:r>
      </w:hyperlink>
      <w:r>
        <w:t>；</w:t>
      </w:r>
      <w:hyperlink r:id="rId27">
        <w:r>
          <w:rPr>
            <w:rFonts w:ascii="Aptos" w:hAnsi="Aptos" w:eastAsia="FangSong"/>
            <w:color w:val="303030"/>
            <w:u w:val="single"/>
          </w:rPr>
          <w:t>DR 0715</w:t>
        </w:r>
      </w:hyperlink>
    </w:p>
    <w:p>
      <w:pPr>
        <w:pStyle w:val="Heading2"/>
      </w:pPr>
      <w:r>
        <w:rPr>
          <w:rFonts w:ascii="Aptos" w:hAnsi="Aptos" w:eastAsia="FangSong" w:cs="Aptos"/>
        </w:rPr>
        <w:t>10.4 若被拒、被认定为私人基金会或有效日期错误</w:t>
      </w:r>
    </w:p>
    <w:p>
      <w:r>
        <w:rPr>
          <w:rFonts w:ascii="Aptos" w:hAnsi="Aptos" w:eastAsia="FangSong" w:cs="Aptos"/>
        </w:rPr>
        <w:t>不要自行重提或改变事实。先由美国非营利税务律师评估 protest/appeal、补充材料、活动重构、foundation classification 或是否撤回。董事会形成书面决议，并评估 pending 期间收据、州登记和公开表述的更正。</w:t>
      </w:r>
    </w:p>
    <w:p>
      <w:r>
        <w:br w:type="page"/>
      </w:r>
    </w:p>
    <w:p>
      <w:pPr>
        <w:spacing w:after="40"/>
      </w:pPr>
      <w:r>
        <w:rPr>
          <w:rFonts w:ascii="Aptos" w:hAnsi="Aptos" w:eastAsia="Microsoft YaHei" w:cs="Aptos"/>
          <w:b/>
          <w:color w:val="6A6A6A"/>
          <w:sz w:val="16"/>
        </w:rPr>
        <w:t>MODULE 11</w:t>
      </w:r>
    </w:p>
    <w:p>
      <w:pPr>
        <w:pStyle w:val="Heading1"/>
      </w:pPr>
      <w:r>
        <w:rPr>
          <w:rFonts w:ascii="Aptos" w:hAnsi="Aptos" w:eastAsia="FangSong" w:cs="Aptos"/>
        </w:rPr>
        <w:t>跨州募资、企业赞助与捐赠收据</w:t>
      </w:r>
    </w:p>
    <w:p>
      <w:pPr>
        <w:keepLines/>
      </w:pPr>
      <w:r>
        <w:rPr>
          <w:rFonts w:ascii="Aptos" w:hAnsi="Aptos" w:eastAsia="FangSong" w:cs="Aptos"/>
          <w:color w:val="6A6A6A"/>
          <w:sz w:val="21"/>
        </w:rPr>
        <w:t>每一笔款先判断“捐赠、合格赞助、广告、项目费还是商业收入”，再开票、记账和出具收据。</w:t>
      </w:r>
    </w:p>
    <w:p>
      <w:pPr>
        <w:spacing w:after="180"/>
        <w:pBdr>
          <w:bottom w:val="single" w:sz="10" w:space="1" w:color="111111"/>
        </w:pBdr>
      </w:pPr>
    </w:p>
    <w:p>
      <w:pPr>
        <w:pStyle w:val="Heading2"/>
      </w:pPr>
      <w:r>
        <w:rPr>
          <w:rFonts w:ascii="Aptos" w:hAnsi="Aptos" w:eastAsia="FangSong" w:cs="Aptos"/>
        </w:rPr>
        <w:t>11.1 全国募资不是一张联邦许可证</w:t>
      </w:r>
    </w:p>
    <w:p>
      <w:r>
        <w:rPr>
          <w:rFonts w:ascii="Aptos" w:hAnsi="Aptos" w:eastAsia="FangSong" w:cs="Aptos"/>
        </w:rPr>
        <w:t>501(c)(3) 认可不替代州级 charitable solicitation registration。上线全国 Donate 按钮、向特定州居民反复发邮件、使用当地 fundraiser、举办活动或取得持续捐赠，可能触发各州登记、披露和续报。</w:t>
      </w:r>
    </w:p>
    <w:tbl>
      <w:tblPr>
        <w:tblW w:type="dxa" w:w="9360"/>
        <w:tblLayout w:type="fixed"/>
        <w:tblLook w:firstColumn="1" w:firstRow="1" w:lastColumn="0" w:lastRow="0" w:noHBand="0" w:noVBand="1" w:val="04A0"/>
        <w:jc w:val="center"/>
        <w:tblInd w:w="120" w:type="dxa"/>
      </w:tblPr>
      <w:tblGrid>
        <w:gridCol w:w="4853"/>
        <w:gridCol w:w="4853"/>
      </w:tblGrid>
      <w:tr>
        <w:trPr>
          <w:tblHeader w:val="true"/>
          <w:cantSplit/>
        </w:trPr>
        <w:tc>
          <w:tcPr>
            <w:tcW w:type="dxa" w:w="338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动作</w:t>
            </w:r>
          </w:p>
        </w:tc>
        <w:tc>
          <w:tcPr>
            <w:tcW w:type="dxa" w:w="619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启动前控制</w:t>
            </w:r>
          </w:p>
        </w:tc>
      </w:tr>
      <w:tr>
        <w:trPr>
          <w:cantSplit/>
        </w:trPr>
        <w:tc>
          <w:tcPr>
            <w:tcW w:type="dxa" w:w="33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仅向已知基金会提交 grant proposal</w:t>
            </w:r>
          </w:p>
        </w:tc>
        <w:tc>
          <w:tcPr>
            <w:tcW w:type="dxa" w:w="61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核对基金会所在州和申请条款；记录是否构成 solicitation。</w:t>
            </w:r>
          </w:p>
        </w:tc>
      </w:tr>
      <w:tr>
        <w:trPr>
          <w:cantSplit/>
        </w:trPr>
        <w:tc>
          <w:tcPr>
            <w:tcW w:type="dxa" w:w="33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网站被动显示捐赠信息</w:t>
            </w:r>
          </w:p>
        </w:tc>
        <w:tc>
          <w:tcPr>
            <w:tcW w:type="dxa" w:w="61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采用州别监控；不要主动全国定向前就假设“被动网站”永远豁免。</w:t>
            </w:r>
          </w:p>
        </w:tc>
      </w:tr>
      <w:tr>
        <w:trPr>
          <w:cantSplit/>
        </w:trPr>
        <w:tc>
          <w:tcPr>
            <w:tcW w:type="dxa" w:w="33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全国社媒/邮件募捐</w:t>
            </w:r>
          </w:p>
        </w:tc>
        <w:tc>
          <w:tcPr>
            <w:tcW w:type="dxa" w:w="61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由多州慈善登记律师或合规服务商建立 state-by-state matrix。</w:t>
            </w:r>
          </w:p>
        </w:tc>
      </w:tr>
      <w:tr>
        <w:trPr>
          <w:cantSplit/>
        </w:trPr>
        <w:tc>
          <w:tcPr>
            <w:tcW w:type="dxa" w:w="33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使用 paid fundraiser / platform</w:t>
            </w:r>
          </w:p>
        </w:tc>
        <w:tc>
          <w:tcPr>
            <w:tcW w:type="dxa" w:w="61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合同前查各州 professional fundraiser/consultant 登记、共同申报和 bond 要求。</w:t>
            </w:r>
          </w:p>
        </w:tc>
      </w:tr>
      <w:tr>
        <w:trPr>
          <w:cantSplit/>
        </w:trPr>
        <w:tc>
          <w:tcPr>
            <w:tcW w:type="dxa" w:w="33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线下活动或 cause marketing</w:t>
            </w:r>
          </w:p>
        </w:tc>
        <w:tc>
          <w:tcPr>
            <w:tcW w:type="dxa" w:w="61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检查活动州、商业共同推广、raffle/gaming、sales tax、许可和保险。</w:t>
            </w:r>
          </w:p>
        </w:tc>
      </w:tr>
    </w:tbl>
    <w:p>
      <w:pPr>
        <w:spacing w:after="0"/>
      </w:pPr>
    </w:p>
    <w:p>
      <w:pPr>
        <w:pStyle w:val="Heading2"/>
      </w:pPr>
      <w:r>
        <w:rPr>
          <w:rFonts w:ascii="Aptos" w:hAnsi="Aptos" w:eastAsia="FangSong" w:cs="Aptos"/>
        </w:rPr>
        <w:t>11.2 合格赞助与广告的分界</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396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回报</w:t>
            </w:r>
          </w:p>
        </w:tc>
        <w:tc>
          <w:tcPr>
            <w:tcW w:type="dxa" w:w="259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通常倾向</w:t>
            </w:r>
          </w:p>
        </w:tc>
        <w:tc>
          <w:tcPr>
            <w:tcW w:type="dxa" w:w="302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记录方式</w:t>
            </w:r>
          </w:p>
        </w:tc>
      </w:tr>
      <w:tr>
        <w:trPr>
          <w:cantSplit/>
        </w:trPr>
        <w:tc>
          <w:tcPr>
            <w:tcW w:type="dxa" w:w="39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赞助商名称、Logo、非比较性产品线、地址/电话/网址的价值中立确认</w:t>
            </w:r>
          </w:p>
        </w:tc>
        <w:tc>
          <w:tcPr>
            <w:tcW w:type="dxa" w:w="25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Qualified sponsorship acknowledgment</w:t>
            </w:r>
          </w:p>
        </w:tc>
        <w:tc>
          <w:tcPr>
            <w:tcW w:type="dxa" w:w="30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合同列明仅致谢、不 endorsement；保存版面和 FMV。</w:t>
            </w:r>
          </w:p>
        </w:tc>
      </w:tr>
      <w:tr>
        <w:trPr>
          <w:cantSplit/>
        </w:trPr>
        <w:tc>
          <w:tcPr>
            <w:tcW w:type="dxa" w:w="396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价格、折扣、比较性或定性语言、购买号召、促销链接/销售线索</w:t>
            </w:r>
          </w:p>
        </w:tc>
        <w:tc>
          <w:tcPr>
            <w:tcW w:type="dxa" w:w="25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Advertising / return benefit</w:t>
            </w:r>
          </w:p>
        </w:tc>
        <w:tc>
          <w:tcPr>
            <w:tcW w:type="dxa" w:w="30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分配 FMV；评估 UBIT、销售税和服务合同。</w:t>
            </w:r>
          </w:p>
        </w:tc>
      </w:tr>
      <w:tr>
        <w:trPr>
          <w:cantSplit/>
        </w:trPr>
        <w:tc>
          <w:tcPr>
            <w:tcW w:type="dxa" w:w="39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独家赞助类别</w:t>
            </w:r>
          </w:p>
        </w:tc>
        <w:tc>
          <w:tcPr>
            <w:tcW w:type="dxa" w:w="25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可能仍可；需看实际权利</w:t>
            </w:r>
          </w:p>
        </w:tc>
        <w:tc>
          <w:tcPr>
            <w:tcW w:type="dxa" w:w="30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不要写“exclusive provider”或阻止竞争者销售而不分析。</w:t>
            </w:r>
          </w:p>
        </w:tc>
      </w:tr>
      <w:tr>
        <w:trPr>
          <w:cantSplit/>
        </w:trPr>
        <w:tc>
          <w:tcPr>
            <w:tcW w:type="dxa" w:w="396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活动门票、展位、咨询、数据、名单、认证或软件</w:t>
            </w:r>
          </w:p>
        </w:tc>
        <w:tc>
          <w:tcPr>
            <w:tcW w:type="dxa" w:w="25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实质性 goods/services</w:t>
            </w:r>
          </w:p>
        </w:tc>
        <w:tc>
          <w:tcPr>
            <w:tcW w:type="dxa" w:w="30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合同拆分；在捐赠确认中披露价值；不把全额称为 deductible gift。</w:t>
            </w:r>
          </w:p>
        </w:tc>
      </w:tr>
      <w:tr>
        <w:trPr>
          <w:cantSplit/>
        </w:trPr>
        <w:tc>
          <w:tcPr>
            <w:tcW w:type="dxa" w:w="39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回报的总公允价值不超过付款的 2%（适用年度上限另核）</w:t>
            </w:r>
          </w:p>
        </w:tc>
        <w:tc>
          <w:tcPr>
            <w:tcW w:type="dxa" w:w="25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可能属于 disregarded benefit</w:t>
            </w:r>
          </w:p>
        </w:tc>
        <w:tc>
          <w:tcPr>
            <w:tcW w:type="dxa" w:w="30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每年核对 IRS 金额阈值和计算；不能凭感觉。</w:t>
            </w:r>
          </w:p>
        </w:tc>
      </w:tr>
    </w:tbl>
    <w:p>
      <w:pPr>
        <w:spacing w:after="0"/>
      </w:pPr>
    </w:p>
    <w:p>
      <w:r>
        <w:rPr>
          <w:rFonts w:ascii="Aptos" w:hAnsi="Aptos" w:eastAsia="FangSong" w:cs="Aptos"/>
        </w:rPr>
        <w:t>IRS 官方说明：</w:t>
      </w:r>
      <w:hyperlink r:id="rId28">
        <w:r>
          <w:rPr>
            <w:rFonts w:ascii="Aptos" w:hAnsi="Aptos" w:eastAsia="FangSong"/>
            <w:color w:val="303030"/>
            <w:u w:val="single"/>
          </w:rPr>
          <w:t>Advertising or Qualified Sponsorship Payments</w:t>
        </w:r>
      </w:hyperlink>
    </w:p>
    <w:p>
      <w:pPr>
        <w:pStyle w:val="Heading2"/>
      </w:pPr>
      <w:r>
        <w:rPr>
          <w:rFonts w:ascii="Aptos" w:hAnsi="Aptos" w:eastAsia="FangSong" w:cs="Aptos"/>
        </w:rPr>
        <w:t>11.3 收款分类工作流</w:t>
      </w:r>
    </w:p>
    <w:p>
      <w:pPr>
        <w:pStyle w:val="ListNumber"/>
      </w:pPr>
      <w:r>
        <w:rPr>
          <w:rFonts w:ascii="Aptos" w:hAnsi="Aptos" w:eastAsia="FangSong" w:cs="Aptos"/>
        </w:rPr>
        <w:t>在签约前由 program owner 填写 intake：付款人、金额、目的、限制、所有回报、交付和关联关系。</w:t>
      </w:r>
    </w:p>
    <w:p>
      <w:pPr>
        <w:pStyle w:val="ListNumber"/>
      </w:pPr>
      <w:r>
        <w:rPr>
          <w:rFonts w:ascii="Aptos" w:hAnsi="Aptos" w:eastAsia="FangSong" w:cs="Aptos"/>
        </w:rPr>
        <w:t>Finance 判断 contribution / grant / qualified sponsorship / program service / advertising / other。</w:t>
      </w:r>
    </w:p>
    <w:p>
      <w:pPr>
        <w:pStyle w:val="ListNumber"/>
      </w:pPr>
      <w:r>
        <w:rPr>
          <w:rFonts w:ascii="Aptos" w:hAnsi="Aptos" w:eastAsia="FangSong" w:cs="Aptos"/>
        </w:rPr>
        <w:t>有返还利益、IP、名单、独家、商业实体或境外政府/国企时，由 counsel/CPA 复核。</w:t>
      </w:r>
    </w:p>
    <w:p>
      <w:pPr>
        <w:pStyle w:val="ListNumber"/>
      </w:pPr>
      <w:r>
        <w:rPr>
          <w:rFonts w:ascii="Aptos" w:hAnsi="Aptos" w:eastAsia="FangSong" w:cs="Aptos"/>
        </w:rPr>
        <w:t>合同、发票、收款页、总账和捐赠确认使用同一分类；不能合同写广告、收据写慈善捐赠。</w:t>
      </w:r>
    </w:p>
    <w:p>
      <w:pPr>
        <w:pStyle w:val="ListNumber"/>
      </w:pPr>
      <w:r>
        <w:rPr>
          <w:rFonts w:ascii="Aptos" w:hAnsi="Aptos" w:eastAsia="FangSong" w:cs="Aptos"/>
        </w:rPr>
        <w:t>每季度由 Treasurer 抽查，并将大额单一来源输入 public support 模型。</w:t>
      </w:r>
    </w:p>
    <w:p>
      <w:pPr>
        <w:pStyle w:val="Heading2"/>
      </w:pPr>
      <w:r>
        <w:rPr>
          <w:rFonts w:ascii="Aptos" w:hAnsi="Aptos" w:eastAsia="FangSong" w:cs="Aptos"/>
        </w:rPr>
        <w:t>11.4 捐赠确认关键门槛</w:t>
      </w:r>
    </w:p>
    <w:tbl>
      <w:tblPr>
        <w:tblW w:type="dxa" w:w="9360"/>
        <w:tblLayout w:type="fixed"/>
        <w:tblLook w:firstColumn="1" w:firstRow="1" w:lastColumn="0" w:lastRow="0" w:noHBand="0" w:noVBand="1" w:val="04A0"/>
        <w:jc w:val="center"/>
        <w:tblInd w:w="120" w:type="dxa"/>
      </w:tblPr>
      <w:tblGrid>
        <w:gridCol w:w="4853"/>
        <w:gridCol w:w="4853"/>
      </w:tblGrid>
      <w:tr>
        <w:trPr>
          <w:tblHeader w:val="true"/>
          <w:cantSplit/>
        </w:trPr>
        <w:tc>
          <w:tcPr>
            <w:tcW w:type="dxa" w:w="273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情形</w:t>
            </w:r>
          </w:p>
        </w:tc>
        <w:tc>
          <w:tcPr>
            <w:tcW w:type="dxa" w:w="684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动作</w:t>
            </w:r>
          </w:p>
        </w:tc>
      </w:tr>
      <w:tr>
        <w:trPr>
          <w:cantSplit/>
        </w:trPr>
        <w:tc>
          <w:tcPr>
            <w:tcW w:type="dxa" w:w="273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单笔 $250 或以上 contribution</w:t>
            </w:r>
          </w:p>
        </w:tc>
        <w:tc>
          <w:tcPr>
            <w:tcW w:type="dxa" w:w="68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向捐赠人提供 contemporaneous written acknowledgment：组织名、现金金额或非现金描述、是否提供 goods/services；如有，给出善意估值。</w:t>
            </w:r>
          </w:p>
        </w:tc>
      </w:tr>
      <w:tr>
        <w:trPr>
          <w:cantSplit/>
        </w:trPr>
        <w:tc>
          <w:tcPr>
            <w:tcW w:type="dxa" w:w="273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Quid pro quo contribution 超过 $75</w:t>
            </w:r>
          </w:p>
        </w:tc>
        <w:tc>
          <w:tcPr>
            <w:tcW w:type="dxa" w:w="68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书面告知可扣除额限于付款减回报 FMV，并给出 FMV 的善意估计。</w:t>
            </w:r>
          </w:p>
        </w:tc>
      </w:tr>
      <w:tr>
        <w:trPr>
          <w:cantSplit/>
        </w:trPr>
        <w:tc>
          <w:tcPr>
            <w:tcW w:type="dxa" w:w="273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非现金捐赠</w:t>
            </w:r>
          </w:p>
        </w:tc>
        <w:tc>
          <w:tcPr>
            <w:tcW w:type="dxa" w:w="68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描述财产但一般不在收据上估值；大额或特殊资产由捐赠人及机构分别取得税务/估值意见。</w:t>
            </w:r>
          </w:p>
        </w:tc>
      </w:tr>
      <w:tr>
        <w:trPr>
          <w:cantSplit/>
        </w:trPr>
        <w:tc>
          <w:tcPr>
            <w:tcW w:type="dxa" w:w="273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限制性捐赠</w:t>
            </w:r>
          </w:p>
        </w:tc>
        <w:tc>
          <w:tcPr>
            <w:tcW w:type="dxa" w:w="68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书面接受允许的 charitable restriction；会计单独跟踪。不可接受迫使 GPTI 为特定商业方谋利的限制。</w:t>
            </w:r>
          </w:p>
        </w:tc>
      </w:tr>
      <w:tr>
        <w:trPr>
          <w:cantSplit/>
        </w:trPr>
        <w:tc>
          <w:tcPr>
            <w:tcW w:type="dxa" w:w="273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境外捐赠/政府或国企资金</w:t>
            </w:r>
          </w:p>
        </w:tc>
        <w:tc>
          <w:tcPr>
            <w:tcW w:type="dxa" w:w="68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KYC、制裁、source of funds、合同权利、public support 和 ECOSOC 独立性评估。</w:t>
            </w:r>
          </w:p>
        </w:tc>
      </w:tr>
    </w:tbl>
    <w:p>
      <w:pPr>
        <w:spacing w:after="0"/>
      </w:pPr>
    </w:p>
    <w:p>
      <w:r>
        <w:br w:type="page"/>
      </w:r>
    </w:p>
    <w:p>
      <w:pPr>
        <w:spacing w:after="40"/>
      </w:pPr>
      <w:r>
        <w:rPr>
          <w:rFonts w:ascii="Aptos" w:hAnsi="Aptos" w:eastAsia="Microsoft YaHei" w:cs="Aptos"/>
          <w:b/>
          <w:color w:val="6A6A6A"/>
          <w:sz w:val="16"/>
        </w:rPr>
        <w:t>MODULE 12</w:t>
      </w:r>
    </w:p>
    <w:p>
      <w:pPr>
        <w:pStyle w:val="Heading1"/>
      </w:pPr>
      <w:r>
        <w:rPr>
          <w:rFonts w:ascii="Aptos" w:hAnsi="Aptos" w:eastAsia="FangSong" w:cs="Aptos"/>
        </w:rPr>
        <w:t>海外项目、OFAC 与中国境内活动</w:t>
      </w:r>
    </w:p>
    <w:p>
      <w:pPr>
        <w:keepLines/>
      </w:pPr>
      <w:r>
        <w:rPr>
          <w:rFonts w:ascii="Aptos" w:hAnsi="Aptos" w:eastAsia="FangSong" w:cs="Aptos"/>
          <w:color w:val="6A6A6A"/>
          <w:sz w:val="21"/>
        </w:rPr>
        <w:t>美国税务规则解决资金的慈善控制，中国法决定能否在境内开展活动；两套规则必须同时满足。</w:t>
      </w:r>
    </w:p>
    <w:p>
      <w:pPr>
        <w:spacing w:after="180"/>
        <w:pBdr>
          <w:bottom w:val="single" w:sz="10" w:space="1" w:color="111111"/>
        </w:pBdr>
      </w:pPr>
    </w:p>
    <w:p>
      <w:pPr>
        <w:pStyle w:val="Heading2"/>
      </w:pPr>
      <w:r>
        <w:rPr>
          <w:rFonts w:ascii="Aptos" w:hAnsi="Aptos" w:eastAsia="FangSong" w:cs="Aptos"/>
        </w:rPr>
        <w:t>12.1 公共慈善机构的境外项目控制</w:t>
      </w:r>
    </w:p>
    <w:p>
      <w:r>
        <w:rPr>
          <w:rFonts w:ascii="Aptos" w:hAnsi="Aptos" w:eastAsia="FangSong" w:cs="Aptos"/>
        </w:rPr>
        <w:t>GPTI 若被认定为 public charity，向非美国、非 501(c)(3) 合作方付款时，核心是 GPTI 保留对资金的 control and discretion，并能证明资金只用于自身的 exempt purpose。不要把私人基金会法下的 expenditure responsibility 当作统一标签，但可借鉴其严格记录方法。</w:t>
      </w:r>
    </w:p>
    <w:tbl>
      <w:tblPr>
        <w:tblW w:type="dxa" w:w="9360"/>
        <w:tblLayout w:type="fixed"/>
        <w:tblLook w:firstColumn="1" w:firstRow="1" w:lastColumn="0" w:lastRow="0" w:noHBand="0" w:noVBand="1" w:val="04A0"/>
        <w:jc w:val="center"/>
        <w:tblInd w:w="120" w:type="dxa"/>
      </w:tblPr>
      <w:tblGrid>
        <w:gridCol w:w="4853"/>
        <w:gridCol w:w="4853"/>
      </w:tblGrid>
      <w:tr>
        <w:trPr>
          <w:tblHeader w:val="true"/>
          <w:cantSplit/>
        </w:trPr>
        <w:tc>
          <w:tcPr>
            <w:tcW w:type="dxa" w:w="223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控制</w:t>
            </w:r>
          </w:p>
        </w:tc>
        <w:tc>
          <w:tcPr>
            <w:tcW w:type="dxa" w:w="734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合同/档案要求</w:t>
            </w:r>
          </w:p>
        </w:tc>
      </w:tr>
      <w:tr>
        <w:trPr>
          <w:cantSplit/>
        </w:trPr>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Pre-grant / vendor diligence</w:t>
            </w:r>
          </w:p>
        </w:tc>
        <w:tc>
          <w:tcPr>
            <w:tcW w:type="dxa" w:w="734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法律身份、治理、受益所有人、能力、财务、声誉、制裁、利益冲突、银行账户。</w:t>
            </w:r>
          </w:p>
        </w:tc>
      </w:tr>
      <w:tr>
        <w:trPr>
          <w:cantSplit/>
        </w:trPr>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Specific charitable project</w:t>
            </w:r>
          </w:p>
        </w:tc>
        <w:tc>
          <w:tcPr>
            <w:tcW w:type="dxa" w:w="734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目标、受益人、地点、里程碑、预算和允许/禁止支出；不得笼统“支持运营”。</w:t>
            </w:r>
          </w:p>
        </w:tc>
      </w:tr>
      <w:tr>
        <w:trPr>
          <w:cantSplit/>
        </w:trPr>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Control and discretion</w:t>
            </w:r>
          </w:p>
        </w:tc>
        <w:tc>
          <w:tcPr>
            <w:tcW w:type="dxa" w:w="734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GPTI 可批准预算变更、暂停、终止、拒付和要求返还；不得受捐赠人不可撤销 earmark 控制。</w:t>
            </w:r>
          </w:p>
        </w:tc>
      </w:tr>
      <w:tr>
        <w:trPr>
          <w:cantSplit/>
        </w:trPr>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Reporting</w:t>
            </w:r>
          </w:p>
        </w:tc>
        <w:tc>
          <w:tcPr>
            <w:tcW w:type="dxa" w:w="734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叙事和财务报告、原始票据/抽样、参与者与成果证据、汇率。</w:t>
            </w:r>
          </w:p>
        </w:tc>
      </w:tr>
      <w:tr>
        <w:trPr>
          <w:cantSplit/>
        </w:trPr>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Inspection/audit</w:t>
            </w:r>
          </w:p>
        </w:tc>
        <w:tc>
          <w:tcPr>
            <w:tcW w:type="dxa" w:w="734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查阅账簿、现场/远程核验、保存期、分包和次级拨款需事先批准。</w:t>
            </w:r>
          </w:p>
        </w:tc>
      </w:tr>
      <w:tr>
        <w:trPr>
          <w:cantSplit/>
        </w:trPr>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Prohibited uses</w:t>
            </w:r>
          </w:p>
        </w:tc>
        <w:tc>
          <w:tcPr>
            <w:tcW w:type="dxa" w:w="734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政治竞选、未经批准游说、私人利益、腐败、制裁、武器、违法宗教/政治活动等。</w:t>
            </w:r>
          </w:p>
        </w:tc>
      </w:tr>
      <w:tr>
        <w:trPr>
          <w:cantSplit/>
        </w:trPr>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Close-out</w:t>
            </w:r>
          </w:p>
        </w:tc>
        <w:tc>
          <w:tcPr>
            <w:tcW w:type="dxa" w:w="734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余额、资产处置、数据和 IP、最终报告、退款和档案移交。</w:t>
            </w:r>
          </w:p>
        </w:tc>
      </w:tr>
    </w:tbl>
    <w:p>
      <w:pPr>
        <w:spacing w:after="0"/>
      </w:pPr>
    </w:p>
    <w:p>
      <w:pPr>
        <w:pStyle w:val="Heading2"/>
      </w:pPr>
      <w:r>
        <w:rPr>
          <w:rFonts w:ascii="Aptos" w:hAnsi="Aptos" w:eastAsia="FangSong" w:cs="Aptos"/>
        </w:rPr>
        <w:t>12.2 Grant 还是 Service Contract</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216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事实</w:t>
            </w:r>
          </w:p>
        </w:tc>
        <w:tc>
          <w:tcPr>
            <w:tcW w:type="dxa" w:w="367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更像 grant</w:t>
            </w:r>
          </w:p>
        </w:tc>
        <w:tc>
          <w:tcPr>
            <w:tcW w:type="dxa" w:w="374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更像 service contract</w:t>
            </w:r>
          </w:p>
        </w:tc>
      </w:tr>
      <w:tr>
        <w:trPr>
          <w:cantSplit/>
        </w:trPr>
        <w:tc>
          <w:tcPr>
            <w:tcW w:type="dxa" w:w="21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谁设计项目</w:t>
            </w:r>
          </w:p>
        </w:tc>
        <w:tc>
          <w:tcPr>
            <w:tcW w:type="dxa" w:w="36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GPTI 设定公益目标，受款方在约束下实施</w:t>
            </w:r>
          </w:p>
        </w:tc>
        <w:tc>
          <w:tcPr>
            <w:tcW w:type="dxa" w:w="374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GPTI 采购明确交付物</w:t>
            </w:r>
          </w:p>
        </w:tc>
      </w:tr>
      <w:tr>
        <w:trPr>
          <w:cantSplit/>
        </w:trPr>
        <w:tc>
          <w:tcPr>
            <w:tcW w:type="dxa" w:w="216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主要受益者</w:t>
            </w:r>
          </w:p>
        </w:tc>
        <w:tc>
          <w:tcPr>
            <w:tcW w:type="dxa" w:w="36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公众/慈善受益群体</w:t>
            </w:r>
          </w:p>
        </w:tc>
        <w:tc>
          <w:tcPr>
            <w:tcW w:type="dxa" w:w="374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GPTI 取得报告、翻译、场地、软件等服务</w:t>
            </w:r>
          </w:p>
        </w:tc>
      </w:tr>
      <w:tr>
        <w:trPr>
          <w:cantSplit/>
        </w:trPr>
        <w:tc>
          <w:tcPr>
            <w:tcW w:type="dxa" w:w="21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付款</w:t>
            </w:r>
          </w:p>
        </w:tc>
        <w:tc>
          <w:tcPr>
            <w:tcW w:type="dxa" w:w="36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按里程碑/报告释放，余额返还</w:t>
            </w:r>
          </w:p>
        </w:tc>
        <w:tc>
          <w:tcPr>
            <w:tcW w:type="dxa" w:w="374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发票、验收、税务/预扣分析</w:t>
            </w:r>
          </w:p>
        </w:tc>
      </w:tr>
      <w:tr>
        <w:trPr>
          <w:cantSplit/>
        </w:trPr>
        <w:tc>
          <w:tcPr>
            <w:tcW w:type="dxa" w:w="216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失败风险</w:t>
            </w:r>
          </w:p>
        </w:tc>
        <w:tc>
          <w:tcPr>
            <w:tcW w:type="dxa" w:w="36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可暂停/追回未用款</w:t>
            </w:r>
          </w:p>
        </w:tc>
        <w:tc>
          <w:tcPr>
            <w:tcW w:type="dxa" w:w="374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按合同违约和保修处理</w:t>
            </w:r>
          </w:p>
        </w:tc>
      </w:tr>
      <w:tr>
        <w:trPr>
          <w:cantSplit/>
        </w:trPr>
        <w:tc>
          <w:tcPr>
            <w:tcW w:type="dxa" w:w="21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会计/税务</w:t>
            </w:r>
          </w:p>
        </w:tc>
        <w:tc>
          <w:tcPr>
            <w:tcW w:type="dxa" w:w="36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grantmaking 与国外活动报告</w:t>
            </w:r>
          </w:p>
        </w:tc>
        <w:tc>
          <w:tcPr>
            <w:tcW w:type="dxa" w:w="374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vendor expense；W-8、来源/预扣、VAT 等分析</w:t>
            </w:r>
          </w:p>
        </w:tc>
      </w:tr>
    </w:tbl>
    <w:p>
      <w:pPr>
        <w:spacing w:after="0"/>
      </w:pPr>
    </w:p>
    <w:tbl>
      <w:tblPr>
        <w:tblW w:type="dxa" w:w="9360"/>
        <w:jc w:val="center"/>
        <w:tblLayout w:type="fixed"/>
        <w:tblLook w:firstColumn="1" w:firstRow="1" w:lastColumn="0" w:lastRow="0" w:noHBand="0" w:noVBand="1" w:val="04A0"/>
        <w:tblInd w:w="120" w:type="dxa"/>
      </w:tblPr>
      <w:tblGrid>
        <w:gridCol w:w="9706"/>
      </w:tblGrid>
      <w:tr>
        <w:tc>
          <w:tcPr>
            <w:tcW w:type="dxa" w:w="9706"/>
            <w:shd w:fill="EDEDED"/>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禁止  </w:t>
            </w:r>
            <w:r>
              <w:rPr>
                <w:rFonts w:ascii="Aptos" w:hAnsi="Aptos" w:eastAsia="FangSong" w:cs="Aptos"/>
                <w:b w:val="0"/>
                <w:color w:val="303030"/>
                <w:sz w:val="19"/>
              </w:rPr>
              <w:t>不要为了减少监督义务，把实质 grant 改名 consulting fee；也不要把服务采购写成 donation。合同类型取决于实际权利和交付。</w:t>
            </w:r>
          </w:p>
        </w:tc>
      </w:tr>
    </w:tbl>
    <w:p>
      <w:pPr>
        <w:spacing w:after="0"/>
      </w:pPr>
    </w:p>
    <w:p>
      <w:pPr>
        <w:pStyle w:val="Heading2"/>
      </w:pPr>
      <w:r>
        <w:rPr>
          <w:rFonts w:ascii="Aptos" w:hAnsi="Aptos" w:eastAsia="FangSong" w:cs="Aptos"/>
        </w:rPr>
        <w:t>12.3 OFAC / 制裁筛查 SOP</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151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时间</w:t>
            </w:r>
          </w:p>
        </w:tc>
        <w:tc>
          <w:tcPr>
            <w:tcW w:type="dxa" w:w="496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筛查对象</w:t>
            </w:r>
          </w:p>
        </w:tc>
        <w:tc>
          <w:tcPr>
            <w:tcW w:type="dxa" w:w="309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留存</w:t>
            </w:r>
          </w:p>
        </w:tc>
      </w:tr>
      <w:tr>
        <w:trPr>
          <w:cantSplit/>
        </w:trPr>
        <w:tc>
          <w:tcPr>
            <w:tcW w:type="dxa" w:w="15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立项</w:t>
            </w:r>
          </w:p>
        </w:tc>
        <w:tc>
          <w:tcPr>
            <w:tcW w:type="dxa" w:w="496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合作方、董事/高管、受益所有人、关键分包商、银行、国家/地区。</w:t>
            </w:r>
          </w:p>
        </w:tc>
        <w:tc>
          <w:tcPr>
            <w:tcW w:type="dxa" w:w="30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名称、别名、生日/注册号、检索日期、结果、复核人。</w:t>
            </w:r>
          </w:p>
        </w:tc>
      </w:tr>
      <w:tr>
        <w:trPr>
          <w:cantSplit/>
        </w:trPr>
        <w:tc>
          <w:tcPr>
            <w:tcW w:type="dxa" w:w="15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签约</w:t>
            </w:r>
          </w:p>
        </w:tc>
        <w:tc>
          <w:tcPr>
            <w:tcW w:type="dxa" w:w="496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重新筛查；核对 50 Percent Rule、sectoral/地区制裁和禁止交易。</w:t>
            </w:r>
          </w:p>
        </w:tc>
        <w:tc>
          <w:tcPr>
            <w:tcW w:type="dxa" w:w="30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screening PDF + counsel memo（有匹配时）。</w:t>
            </w:r>
          </w:p>
        </w:tc>
      </w:tr>
      <w:tr>
        <w:trPr>
          <w:cantSplit/>
        </w:trPr>
        <w:tc>
          <w:tcPr>
            <w:tcW w:type="dxa" w:w="15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每笔付款</w:t>
            </w:r>
          </w:p>
        </w:tc>
        <w:tc>
          <w:tcPr>
            <w:tcW w:type="dxa" w:w="496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收款人和银行；确认没有换账户/受益人。</w:t>
            </w:r>
          </w:p>
        </w:tc>
        <w:tc>
          <w:tcPr>
            <w:tcW w:type="dxa" w:w="30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payment packet。</w:t>
            </w:r>
          </w:p>
        </w:tc>
      </w:tr>
      <w:tr>
        <w:trPr>
          <w:cantSplit/>
        </w:trPr>
        <w:tc>
          <w:tcPr>
            <w:tcW w:type="dxa" w:w="15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名单更新/负面信息</w:t>
            </w:r>
          </w:p>
        </w:tc>
        <w:tc>
          <w:tcPr>
            <w:tcW w:type="dxa" w:w="496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立即重查，必要时暂停，不向潜在命中方提示规避。</w:t>
            </w:r>
          </w:p>
        </w:tc>
        <w:tc>
          <w:tcPr>
            <w:tcW w:type="dxa" w:w="30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escalation log。</w:t>
            </w:r>
          </w:p>
        </w:tc>
      </w:tr>
      <w:tr>
        <w:trPr>
          <w:cantSplit/>
        </w:trPr>
        <w:tc>
          <w:tcPr>
            <w:tcW w:type="dxa" w:w="15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项目结束</w:t>
            </w:r>
          </w:p>
        </w:tc>
        <w:tc>
          <w:tcPr>
            <w:tcW w:type="dxa" w:w="496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最终筛查和资产/余额处置。</w:t>
            </w:r>
          </w:p>
        </w:tc>
        <w:tc>
          <w:tcPr>
            <w:tcW w:type="dxa" w:w="30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close-out file。</w:t>
            </w:r>
          </w:p>
        </w:tc>
      </w:tr>
    </w:tbl>
    <w:p>
      <w:pPr>
        <w:spacing w:after="0"/>
      </w:pPr>
    </w:p>
    <w:p>
      <w:r>
        <w:rPr>
          <w:rFonts w:ascii="Aptos" w:hAnsi="Aptos" w:eastAsia="FangSong" w:cs="Aptos"/>
        </w:rPr>
        <w:t>官方参考：</w:t>
      </w:r>
      <w:hyperlink r:id="rId29">
        <w:r>
          <w:rPr>
            <w:rFonts w:ascii="Aptos" w:hAnsi="Aptos" w:eastAsia="FangSong"/>
            <w:color w:val="303030"/>
            <w:u w:val="single"/>
          </w:rPr>
          <w:t>OFAC Charity Sector Risk Matrix</w:t>
        </w:r>
      </w:hyperlink>
      <w:r>
        <w:t>；</w:t>
      </w:r>
      <w:hyperlink r:id="rId30">
        <w:r>
          <w:rPr>
            <w:rFonts w:ascii="Aptos" w:hAnsi="Aptos" w:eastAsia="FangSong"/>
            <w:color w:val="303030"/>
            <w:u w:val="single"/>
          </w:rPr>
          <w:t>OFAC Information for Industry Groups</w:t>
        </w:r>
      </w:hyperlink>
    </w:p>
    <w:p>
      <w:pPr>
        <w:pStyle w:val="Heading2"/>
      </w:pPr>
      <w:r>
        <w:rPr>
          <w:rFonts w:ascii="Aptos" w:hAnsi="Aptos" w:eastAsia="FangSong" w:cs="Aptos"/>
        </w:rPr>
        <w:t>12.4 中国境内活动：先选路径</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230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路径</w:t>
            </w:r>
          </w:p>
        </w:tc>
        <w:tc>
          <w:tcPr>
            <w:tcW w:type="dxa" w:w="331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适用</w:t>
            </w:r>
          </w:p>
        </w:tc>
        <w:tc>
          <w:tcPr>
            <w:tcW w:type="dxa" w:w="396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核心条件</w:t>
            </w:r>
          </w:p>
        </w:tc>
      </w:tr>
      <w:tr>
        <w:trPr>
          <w:cantSplit/>
        </w:trPr>
        <w:tc>
          <w:tcPr>
            <w:tcW w:type="dxa" w:w="23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Temporary activity filing / 临时活动备案</w:t>
            </w:r>
          </w:p>
        </w:tc>
        <w:tc>
          <w:tcPr>
            <w:tcW w:type="dxa" w:w="33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早期、单个或期限明确的上海气候周教育项目。</w:t>
            </w:r>
          </w:p>
        </w:tc>
        <w:tc>
          <w:tcPr>
            <w:tcW w:type="dxa" w:w="39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与合格中方合作单位书面合作；至少提前 15 日由中方办理；单次项目通常不超过 1 年。</w:t>
            </w:r>
          </w:p>
        </w:tc>
      </w:tr>
      <w:tr>
        <w:trPr>
          <w:cantSplit/>
        </w:trPr>
        <w:tc>
          <w:tcPr>
            <w:tcW w:type="dxa" w:w="230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Representative office registration / 代表机构登记</w:t>
            </w:r>
          </w:p>
        </w:tc>
        <w:tc>
          <w:tcPr>
            <w:tcW w:type="dxa" w:w="33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持续、稳定、长期在中国开展活动。</w:t>
            </w:r>
          </w:p>
        </w:tc>
        <w:tc>
          <w:tcPr>
            <w:tcW w:type="dxa" w:w="396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通常需境外合法成立满 2 年且有实质活动、业务主管单位同意、场所/人员/资金等完整材料。</w:t>
            </w:r>
          </w:p>
        </w:tc>
      </w:tr>
      <w:tr>
        <w:trPr>
          <w:cantSplit/>
        </w:trPr>
        <w:tc>
          <w:tcPr>
            <w:tcW w:type="dxa" w:w="23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境外仅线上、不在境内开展</w:t>
            </w:r>
          </w:p>
        </w:tc>
        <w:tc>
          <w:tcPr>
            <w:tcW w:type="dxa" w:w="33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仍可能涉及向中国个人提供服务、数据、付款或组织活动。</w:t>
            </w:r>
          </w:p>
        </w:tc>
        <w:tc>
          <w:tcPr>
            <w:tcW w:type="dxa" w:w="39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不能仅因服务器在境外就排除境外 NGO、网信、数据、教育或税务规则；做个案分析。</w:t>
            </w:r>
          </w:p>
        </w:tc>
      </w:tr>
    </w:tbl>
    <w:p>
      <w:pPr>
        <w:spacing w:after="0"/>
      </w:pPr>
    </w:p>
    <w:p>
      <w:pPr>
        <w:pStyle w:val="Heading2"/>
      </w:pPr>
      <w:r>
        <w:rPr>
          <w:rFonts w:ascii="Aptos" w:hAnsi="Aptos" w:eastAsia="FangSong" w:cs="Aptos"/>
        </w:rPr>
        <w:t>12.5 上海临时活动备案：逐步执行</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648"/>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步骤</w:t>
            </w:r>
          </w:p>
        </w:tc>
        <w:tc>
          <w:tcPr>
            <w:tcW w:type="dxa" w:w="6408"/>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行动</w:t>
            </w:r>
          </w:p>
        </w:tc>
        <w:tc>
          <w:tcPr>
            <w:tcW w:type="dxa" w:w="2520"/>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停止条件/输出</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1</w:t>
            </w:r>
          </w:p>
        </w:tc>
        <w:tc>
          <w:tcPr>
            <w:tcW w:type="dxa" w:w="64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界定活动：日期、地点、参与人、内容、经费、人员、数据、宣传和合同。</w:t>
            </w:r>
          </w:p>
        </w:tc>
        <w:tc>
          <w:tcPr>
            <w:tcW w:type="dxa" w:w="25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若属于境内开展，不能以“国际会议合作”规避。</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2</w:t>
            </w:r>
          </w:p>
        </w:tc>
        <w:tc>
          <w:tcPr>
            <w:tcW w:type="dxa" w:w="64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选择法定合格中方合作单位：国家机关、人民团体、事业单位或依法登记的社会组织。</w:t>
            </w:r>
          </w:p>
        </w:tc>
        <w:tc>
          <w:tcPr>
            <w:tcW w:type="dxa" w:w="25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普通商业公司本身通常不满足该法定类别。</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3</w:t>
            </w:r>
          </w:p>
        </w:tc>
        <w:tc>
          <w:tcPr>
            <w:tcW w:type="dxa" w:w="64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中方取得其业务主管单位批准。</w:t>
            </w:r>
          </w:p>
        </w:tc>
        <w:tc>
          <w:tcPr>
            <w:tcW w:type="dxa" w:w="25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取得书面批准；口头同意不够。</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4</w:t>
            </w:r>
          </w:p>
        </w:tc>
        <w:tc>
          <w:tcPr>
            <w:tcW w:type="dxa" w:w="64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签书面合作协议；附活动方案、预算、资金来源、权利义务、合规、数据/IP 和终止。</w:t>
            </w:r>
          </w:p>
        </w:tc>
        <w:tc>
          <w:tcPr>
            <w:tcW w:type="dxa" w:w="25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协议主体必须与实际执行和收付款一致。</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5</w:t>
            </w:r>
          </w:p>
        </w:tc>
        <w:tc>
          <w:tcPr>
            <w:tcW w:type="dxa" w:w="64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准备 GPTI 合法成立证明。境外文件按当前要求公证/认证并附中文翻译。</w:t>
            </w:r>
          </w:p>
        </w:tc>
        <w:tc>
          <w:tcPr>
            <w:tcW w:type="dxa" w:w="25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由中国律师确认 Apostille/领事及翻译形式。</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6</w:t>
            </w:r>
          </w:p>
        </w:tc>
        <w:tc>
          <w:tcPr>
            <w:tcW w:type="dxa" w:w="64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确认中方合作单位的银行账户；项目资金通过该账户管理，单独记账、专款专用。</w:t>
            </w:r>
          </w:p>
        </w:tc>
        <w:tc>
          <w:tcPr>
            <w:tcW w:type="dxa" w:w="25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不要直接给个人、会场或未备案境外团队随意付款。</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7</w:t>
            </w:r>
          </w:p>
        </w:tc>
        <w:tc>
          <w:tcPr>
            <w:tcW w:type="dxa" w:w="64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中方至少在活动开始 15 日前向所在地省级公安机关办理备案并取得接受证明。</w:t>
            </w:r>
          </w:p>
        </w:tc>
        <w:tc>
          <w:tcPr>
            <w:tcW w:type="dxa" w:w="25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未完成备案不启动活动、招募、宣传为 GPTI 主办或付款。</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8</w:t>
            </w:r>
          </w:p>
        </w:tc>
        <w:tc>
          <w:tcPr>
            <w:tcW w:type="dxa" w:w="64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按备案内容实施；人员、地点、预算或期限重大变化先问是否变更备案。</w:t>
            </w:r>
          </w:p>
        </w:tc>
        <w:tc>
          <w:tcPr>
            <w:tcW w:type="dxa" w:w="25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现场保留备案、合同、名单、票据和安全方案。</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9</w:t>
            </w:r>
          </w:p>
        </w:tc>
        <w:tc>
          <w:tcPr>
            <w:tcW w:type="dxa" w:w="64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活动结束后 30 日内，由中方提交活动情况和资金使用等材料。</w:t>
            </w:r>
          </w:p>
        </w:tc>
        <w:tc>
          <w:tcPr>
            <w:tcW w:type="dxa" w:w="25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GPTI 同步完成 grant/contract close-out。</w:t>
            </w:r>
          </w:p>
        </w:tc>
      </w:tr>
    </w:tbl>
    <w:p>
      <w:pPr>
        <w:spacing w:after="0"/>
      </w:pPr>
    </w:p>
    <w:p>
      <w:r>
        <w:rPr>
          <w:rFonts w:ascii="Aptos" w:hAnsi="Aptos" w:eastAsia="FangSong" w:cs="Aptos"/>
        </w:rPr>
        <w:t>官方法律与办事指南：</w:t>
      </w:r>
      <w:hyperlink r:id="rId31">
        <w:r>
          <w:rPr>
            <w:rFonts w:ascii="Aptos" w:hAnsi="Aptos" w:eastAsia="FangSong"/>
            <w:color w:val="303030"/>
            <w:u w:val="single"/>
          </w:rPr>
          <w:t>《境外非政府组织境内活动管理法》</w:t>
        </w:r>
      </w:hyperlink>
      <w:r>
        <w:t>；</w:t>
      </w:r>
      <w:hyperlink r:id="rId32">
        <w:r>
          <w:rPr>
            <w:rFonts w:ascii="Aptos" w:hAnsi="Aptos" w:eastAsia="FangSong"/>
            <w:color w:val="303030"/>
            <w:u w:val="single"/>
          </w:rPr>
          <w:t>临时活动办事指南</w:t>
        </w:r>
      </w:hyperlink>
      <w:r>
        <w:t>；</w:t>
      </w:r>
      <w:hyperlink r:id="rId33">
        <w:r>
          <w:rPr>
            <w:rFonts w:ascii="Aptos" w:hAnsi="Aptos" w:eastAsia="FangSong"/>
            <w:color w:val="303030"/>
            <w:u w:val="single"/>
          </w:rPr>
          <w:t>上海公安境外 NGO 办事信息</w:t>
        </w:r>
      </w:hyperlink>
    </w:p>
    <w:tbl>
      <w:tblPr>
        <w:tblW w:type="dxa" w:w="9360"/>
        <w:jc w:val="center"/>
        <w:tblLayout w:type="fixed"/>
        <w:tblLook w:firstColumn="1" w:firstRow="1" w:lastColumn="0" w:lastRow="0" w:noHBand="0" w:noVBand="1" w:val="04A0"/>
        <w:tblInd w:w="120" w:type="dxa"/>
      </w:tblPr>
      <w:tblGrid>
        <w:gridCol w:w="9706"/>
      </w:tblGrid>
      <w:tr>
        <w:tc>
          <w:tcPr>
            <w:tcW w:type="dxa" w:w="9706"/>
            <w:shd w:fill="EDEDED"/>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中国法红线  </w:t>
            </w:r>
            <w:r>
              <w:rPr>
                <w:rFonts w:ascii="Aptos" w:hAnsi="Aptos" w:eastAsia="FangSong" w:cs="Aptos"/>
                <w:b w:val="0"/>
                <w:color w:val="303030"/>
                <w:sz w:val="19"/>
              </w:rPr>
              <w:t>境外 NGO 不得在中国境内从事或资助营利性、政治活动或非法宗教活动，不得在中国境内募捐。上海活动的赞助、票务、商业展示、招募和个人信息处理必须逐项由中国律师归类。</w:t>
            </w:r>
          </w:p>
        </w:tc>
      </w:tr>
    </w:tbl>
    <w:p>
      <w:pPr>
        <w:spacing w:after="0"/>
      </w:pPr>
    </w:p>
    <w:p>
      <w:r>
        <w:br w:type="page"/>
      </w:r>
    </w:p>
    <w:p>
      <w:pPr>
        <w:spacing w:after="40"/>
      </w:pPr>
      <w:r>
        <w:rPr>
          <w:rFonts w:ascii="Aptos" w:hAnsi="Aptos" w:eastAsia="Microsoft YaHei" w:cs="Aptos"/>
          <w:b/>
          <w:color w:val="6A6A6A"/>
          <w:sz w:val="16"/>
        </w:rPr>
        <w:t>MODULE 13</w:t>
      </w:r>
    </w:p>
    <w:p>
      <w:pPr>
        <w:pStyle w:val="Heading1"/>
      </w:pPr>
      <w:r>
        <w:rPr>
          <w:rFonts w:ascii="Aptos" w:hAnsi="Aptos" w:eastAsia="FangSong" w:cs="Aptos"/>
        </w:rPr>
        <w:t>未成年人、个人数据与跨境传输</w:t>
      </w:r>
    </w:p>
    <w:p>
      <w:pPr>
        <w:keepLines/>
      </w:pPr>
      <w:r>
        <w:rPr>
          <w:rFonts w:ascii="Aptos" w:hAnsi="Aptos" w:eastAsia="FangSong" w:cs="Aptos"/>
          <w:color w:val="6A6A6A"/>
          <w:sz w:val="21"/>
        </w:rPr>
        <w:t>Climate Passport 若触达青年、学校或线上账号，数据与 safeguarding 必须在产品上线和招募之前设计。</w:t>
      </w:r>
    </w:p>
    <w:p>
      <w:pPr>
        <w:spacing w:after="180"/>
        <w:pBdr>
          <w:bottom w:val="single" w:sz="10" w:space="1" w:color="111111"/>
        </w:pBdr>
      </w:pPr>
    </w:p>
    <w:p>
      <w:pPr>
        <w:pStyle w:val="Heading2"/>
      </w:pPr>
      <w:r>
        <w:rPr>
          <w:rFonts w:ascii="Aptos" w:hAnsi="Aptos" w:eastAsia="FangSong" w:cs="Aptos"/>
        </w:rPr>
        <w:t>13.1 先画数据地图</w:t>
      </w:r>
    </w:p>
    <w:tbl>
      <w:tblPr>
        <w:tblW w:type="dxa" w:w="9360"/>
        <w:tblLayout w:type="fixed"/>
        <w:tblLook w:firstColumn="1" w:firstRow="1" w:lastColumn="0" w:lastRow="0" w:noHBand="0" w:noVBand="1" w:val="04A0"/>
        <w:jc w:val="center"/>
        <w:tblInd w:w="120" w:type="dxa"/>
      </w:tblPr>
      <w:tblGrid>
        <w:gridCol w:w="4853"/>
        <w:gridCol w:w="4853"/>
      </w:tblGrid>
      <w:tr>
        <w:trPr>
          <w:tblHeader w:val="true"/>
          <w:cantSplit/>
        </w:trPr>
        <w:tc>
          <w:tcPr>
            <w:tcW w:type="dxa" w:w="180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问题</w:t>
            </w:r>
          </w:p>
        </w:tc>
        <w:tc>
          <w:tcPr>
            <w:tcW w:type="dxa" w:w="777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必须记录</w:t>
            </w:r>
          </w:p>
        </w:tc>
      </w:tr>
      <w:tr>
        <w:trPr>
          <w:cantSplit/>
        </w:trPr>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收什么</w:t>
            </w:r>
          </w:p>
        </w:tc>
        <w:tc>
          <w:tcPr>
            <w:tcW w:type="dxa" w:w="77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姓名、年龄/生日、学校、邮箱、位置、照片/视频、作品、行为、设备、健康/身份、气候偏好。</w:t>
            </w:r>
          </w:p>
        </w:tc>
      </w:tr>
      <w:tr>
        <w:trPr>
          <w:cantSplit/>
        </w:trPr>
        <w:tc>
          <w:tcPr>
            <w:tcW w:type="dxa" w:w="18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为什么</w:t>
            </w:r>
          </w:p>
        </w:tc>
        <w:tc>
          <w:tcPr>
            <w:tcW w:type="dxa" w:w="77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每个字段的具体项目目的和法律基础；“以后可能有用”不成立。</w:t>
            </w:r>
          </w:p>
        </w:tc>
      </w:tr>
      <w:tr>
        <w:trPr>
          <w:cantSplit/>
        </w:trPr>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从谁收</w:t>
            </w:r>
          </w:p>
        </w:tc>
        <w:tc>
          <w:tcPr>
            <w:tcW w:type="dxa" w:w="77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儿童本人、家长、学校、合作方、商业平台；谁验证年龄和同意。</w:t>
            </w:r>
          </w:p>
        </w:tc>
      </w:tr>
      <w:tr>
        <w:trPr>
          <w:cantSplit/>
        </w:trPr>
        <w:tc>
          <w:tcPr>
            <w:tcW w:type="dxa" w:w="18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传给谁</w:t>
            </w:r>
          </w:p>
        </w:tc>
        <w:tc>
          <w:tcPr>
            <w:tcW w:type="dxa" w:w="77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GPTI、商业 Climate Passport、上海合作方、云服务、邮件/分析/支付供应商。</w:t>
            </w:r>
          </w:p>
        </w:tc>
      </w:tr>
      <w:tr>
        <w:trPr>
          <w:cantSplit/>
        </w:trPr>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存哪里/多久</w:t>
            </w:r>
          </w:p>
        </w:tc>
        <w:tc>
          <w:tcPr>
            <w:tcW w:type="dxa" w:w="77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美国、中国、欧盟或其他地区；保留期、删除触发、备份和日志。</w:t>
            </w:r>
          </w:p>
        </w:tc>
      </w:tr>
      <w:tr>
        <w:trPr>
          <w:cantSplit/>
        </w:trPr>
        <w:tc>
          <w:tcPr>
            <w:tcW w:type="dxa" w:w="18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谁能访问</w:t>
            </w:r>
          </w:p>
        </w:tc>
        <w:tc>
          <w:tcPr>
            <w:tcW w:type="dxa" w:w="77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最小权限、管理员、跨实体共享、导出、离职撤权。</w:t>
            </w:r>
          </w:p>
        </w:tc>
      </w:tr>
    </w:tbl>
    <w:p>
      <w:pPr>
        <w:spacing w:after="0"/>
      </w:pPr>
    </w:p>
    <w:p>
      <w:pPr>
        <w:pStyle w:val="Heading2"/>
      </w:pPr>
      <w:r>
        <w:rPr>
          <w:rFonts w:ascii="Aptos" w:hAnsi="Aptos" w:eastAsia="FangSong" w:cs="Aptos"/>
        </w:rPr>
        <w:t>13.2 年龄与地域规则底线</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194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规则</w:t>
            </w:r>
          </w:p>
        </w:tc>
        <w:tc>
          <w:tcPr>
            <w:tcW w:type="dxa" w:w="352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触发</w:t>
            </w:r>
          </w:p>
        </w:tc>
        <w:tc>
          <w:tcPr>
            <w:tcW w:type="dxa" w:w="410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核心要求</w:t>
            </w:r>
          </w:p>
        </w:tc>
      </w:tr>
      <w:tr>
        <w:trPr>
          <w:cantSplit/>
        </w:trPr>
        <w:tc>
          <w:tcPr>
            <w:tcW w:type="dxa" w:w="194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U.S. COPPA</w:t>
            </w:r>
          </w:p>
        </w:tc>
        <w:tc>
          <w:tcPr>
            <w:tcW w:type="dxa" w:w="35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面向 13 岁以下儿童的线上服务，或实际知道收集 13 岁以下儿童数据。</w:t>
            </w:r>
          </w:p>
        </w:tc>
        <w:tc>
          <w:tcPr>
            <w:tcW w:type="dxa" w:w="41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清晰通知、可验证家长同意、最小化/安全/删除、供应商控制；2025 修订规则的主要合规日期已在 2026-04-22 到来。</w:t>
            </w:r>
          </w:p>
        </w:tc>
      </w:tr>
      <w:tr>
        <w:trPr>
          <w:cantSplit/>
        </w:trPr>
        <w:tc>
          <w:tcPr>
            <w:tcW w:type="dxa" w:w="194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PRC PIPL</w:t>
            </w:r>
          </w:p>
        </w:tc>
        <w:tc>
          <w:tcPr>
            <w:tcW w:type="dxa" w:w="352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处理中国境内自然人个人信息，尤其向境外提供。</w:t>
            </w:r>
          </w:p>
        </w:tc>
        <w:tc>
          <w:tcPr>
            <w:tcW w:type="dxa" w:w="410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14 岁以下未成年人信息属于敏感个人信息；取得监护人同意并制定专门规则；跨境机制单独评估。</w:t>
            </w:r>
          </w:p>
        </w:tc>
      </w:tr>
      <w:tr>
        <w:trPr>
          <w:cantSplit/>
        </w:trPr>
        <w:tc>
          <w:tcPr>
            <w:tcW w:type="dxa" w:w="194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PRC 未成年人网络保护</w:t>
            </w:r>
          </w:p>
        </w:tc>
        <w:tc>
          <w:tcPr>
            <w:tcW w:type="dxa" w:w="35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通过网络向未成年人提供产品/服务或处理其信息。</w:t>
            </w:r>
          </w:p>
        </w:tc>
        <w:tc>
          <w:tcPr>
            <w:tcW w:type="dxa" w:w="41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内容、个人信息、沉迷防治与平台责任；与学校/家长流程衔接。</w:t>
            </w:r>
          </w:p>
        </w:tc>
      </w:tr>
      <w:tr>
        <w:trPr>
          <w:cantSplit/>
        </w:trPr>
        <w:tc>
          <w:tcPr>
            <w:tcW w:type="dxa" w:w="194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EU GDPR Article 8</w:t>
            </w:r>
          </w:p>
        </w:tc>
        <w:tc>
          <w:tcPr>
            <w:tcW w:type="dxa" w:w="352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直接向欧盟儿童提供信息社会服务并以 consent 为基础。</w:t>
            </w:r>
          </w:p>
        </w:tc>
        <w:tc>
          <w:tcPr>
            <w:tcW w:type="dxa" w:w="410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默认年龄 16，成员国可降至不低于 13；低于适用年龄需家长授权。</w:t>
            </w:r>
          </w:p>
        </w:tc>
      </w:tr>
    </w:tbl>
    <w:p>
      <w:pPr>
        <w:spacing w:after="0"/>
      </w:pPr>
    </w:p>
    <w:p>
      <w:r>
        <w:rPr>
          <w:rFonts w:ascii="Aptos" w:hAnsi="Aptos" w:eastAsia="FangSong" w:cs="Aptos"/>
        </w:rPr>
        <w:t>官方参考：</w:t>
      </w:r>
      <w:hyperlink r:id="rId34">
        <w:r>
          <w:rPr>
            <w:rFonts w:ascii="Aptos" w:hAnsi="Aptos" w:eastAsia="FangSong"/>
            <w:color w:val="303030"/>
            <w:u w:val="single"/>
          </w:rPr>
          <w:t>FTC COPPA Rule</w:t>
        </w:r>
      </w:hyperlink>
      <w:r>
        <w:t>；</w:t>
      </w:r>
      <w:hyperlink r:id="rId35">
        <w:r>
          <w:rPr>
            <w:rFonts w:ascii="Aptos" w:hAnsi="Aptos" w:eastAsia="FangSong"/>
            <w:color w:val="303030"/>
            <w:u w:val="single"/>
          </w:rPr>
          <w:t>中国《个人信息保护法》</w:t>
        </w:r>
      </w:hyperlink>
      <w:r>
        <w:t>；</w:t>
      </w:r>
      <w:hyperlink r:id="rId36">
        <w:r>
          <w:rPr>
            <w:rFonts w:ascii="Aptos" w:hAnsi="Aptos" w:eastAsia="FangSong"/>
            <w:color w:val="303030"/>
            <w:u w:val="single"/>
          </w:rPr>
          <w:t>数据跨境流动规定</w:t>
        </w:r>
      </w:hyperlink>
    </w:p>
    <w:p>
      <w:pPr>
        <w:pStyle w:val="Heading2"/>
      </w:pPr>
      <w:r>
        <w:rPr>
          <w:rFonts w:ascii="Aptos" w:hAnsi="Aptos" w:eastAsia="FangSong" w:cs="Aptos"/>
        </w:rPr>
        <w:t>13.3 上线前 12 项控制</w:t>
      </w:r>
    </w:p>
    <w:p>
      <w:pPr>
        <w:pStyle w:val="ListBullet"/>
      </w:pPr>
      <w:r>
        <w:rPr>
          <w:rFonts w:ascii="Aptos" w:hAnsi="Aptos" w:eastAsia="FangSong" w:cs="Aptos"/>
        </w:rPr>
        <w:t>☐ 进行 U.S./PRC/EU scope memo，决定未成年人最低年龄、age gate 和地区可用性。</w:t>
      </w:r>
    </w:p>
    <w:p>
      <w:pPr>
        <w:pStyle w:val="ListBullet"/>
      </w:pPr>
      <w:r>
        <w:rPr>
          <w:rFonts w:ascii="Aptos" w:hAnsi="Aptos" w:eastAsia="FangSong" w:cs="Aptos"/>
        </w:rPr>
        <w:t>☐ 为青年项目采用独立 privacy notice 与 parent/guardian notice；不用一页总条款埋藏。</w:t>
      </w:r>
    </w:p>
    <w:p>
      <w:pPr>
        <w:pStyle w:val="ListBullet"/>
      </w:pPr>
      <w:r>
        <w:rPr>
          <w:rFonts w:ascii="Aptos" w:hAnsi="Aptos" w:eastAsia="FangSong" w:cs="Aptos"/>
        </w:rPr>
        <w:t>☐ 选择可证明的家长同意方法，记录同意文本、时间、验证和撤回。</w:t>
      </w:r>
    </w:p>
    <w:p>
      <w:pPr>
        <w:pStyle w:val="ListBullet"/>
      </w:pPr>
      <w:r>
        <w:rPr>
          <w:rFonts w:ascii="Aptos" w:hAnsi="Aptos" w:eastAsia="FangSong" w:cs="Aptos"/>
        </w:rPr>
        <w:t>☐ 默认只收最少字段；避免精确生日、家庭地址、学校+照片组合及持续位置。</w:t>
      </w:r>
    </w:p>
    <w:p>
      <w:pPr>
        <w:pStyle w:val="ListBullet"/>
      </w:pPr>
      <w:r>
        <w:rPr>
          <w:rFonts w:ascii="Aptos" w:hAnsi="Aptos" w:eastAsia="FangSong" w:cs="Aptos"/>
        </w:rPr>
        <w:t>☐ 禁止商业 Climate Passport 自动取得 GPTI 受益人/青年数据；任何共享须有独立目的、协议和合规基础。</w:t>
      </w:r>
    </w:p>
    <w:p>
      <w:pPr>
        <w:pStyle w:val="ListBullet"/>
      </w:pPr>
      <w:r>
        <w:rPr>
          <w:rFonts w:ascii="Aptos" w:hAnsi="Aptos" w:eastAsia="FangSong" w:cs="Aptos"/>
        </w:rPr>
        <w:t>☐ 所有供应商签 DPA，列 subprocessors、存储地域、删除、事件通知和审计权。</w:t>
      </w:r>
    </w:p>
    <w:p>
      <w:pPr>
        <w:pStyle w:val="ListBullet"/>
      </w:pPr>
      <w:r>
        <w:rPr>
          <w:rFonts w:ascii="Aptos" w:hAnsi="Aptos" w:eastAsia="FangSong" w:cs="Aptos"/>
        </w:rPr>
        <w:t>☐ 境外传输前确定 PIPL 适用机制/豁免和必要文件；未经确认不把中国参与者数据同步到美国 CRM。</w:t>
      </w:r>
    </w:p>
    <w:p>
      <w:pPr>
        <w:pStyle w:val="ListBullet"/>
      </w:pPr>
      <w:r>
        <w:rPr>
          <w:rFonts w:ascii="Aptos" w:hAnsi="Aptos" w:eastAsia="FangSong" w:cs="Aptos"/>
        </w:rPr>
        <w:t>☐ 照片/视频取得单独 release；不得把参与青年形象作为企业 sponsor endorsement。</w:t>
      </w:r>
    </w:p>
    <w:p>
      <w:pPr>
        <w:pStyle w:val="ListBullet"/>
      </w:pPr>
      <w:r>
        <w:rPr>
          <w:rFonts w:ascii="Aptos" w:hAnsi="Aptos" w:eastAsia="FangSong" w:cs="Aptos"/>
        </w:rPr>
        <w:t>☐ 建立 access control、MFA、加密、导出限制、日志、备份和删除验证。</w:t>
      </w:r>
    </w:p>
    <w:p>
      <w:pPr>
        <w:pStyle w:val="ListBullet"/>
      </w:pPr>
      <w:r>
        <w:rPr>
          <w:rFonts w:ascii="Aptos" w:hAnsi="Aptos" w:eastAsia="FangSong" w:cs="Aptos"/>
        </w:rPr>
        <w:t>☐ 制定 safeguarding policy、双成人规则、背景/资格审查、举报与 incident escalation。</w:t>
      </w:r>
    </w:p>
    <w:p>
      <w:pPr>
        <w:pStyle w:val="ListBullet"/>
      </w:pPr>
      <w:r>
        <w:rPr>
          <w:rFonts w:ascii="Aptos" w:hAnsi="Aptos" w:eastAsia="FangSong" w:cs="Aptos"/>
        </w:rPr>
        <w:t>☐ 发生事件时冻结证据、保护儿童、通知负责人和律师，并按适用时限评估监管/个人通知。</w:t>
      </w:r>
    </w:p>
    <w:p>
      <w:pPr>
        <w:pStyle w:val="ListBullet"/>
      </w:pPr>
      <w:r>
        <w:rPr>
          <w:rFonts w:ascii="Aptos" w:hAnsi="Aptos" w:eastAsia="FangSong" w:cs="Aptos"/>
        </w:rPr>
        <w:t>☐ 每年和每次产品重大改版做 privacy impact assessment。</w:t>
      </w:r>
    </w:p>
    <w:tbl>
      <w:tblPr>
        <w:tblW w:type="dxa" w:w="9360"/>
        <w:jc w:val="center"/>
        <w:tblLayout w:type="fixed"/>
        <w:tblLook w:firstColumn="1" w:firstRow="1" w:lastColumn="0" w:lastRow="0" w:noHBand="0" w:noVBand="1" w:val="04A0"/>
        <w:tblInd w:w="120" w:type="dxa"/>
      </w:tblPr>
      <w:tblGrid>
        <w:gridCol w:w="9706"/>
      </w:tblGrid>
      <w:tr>
        <w:tc>
          <w:tcPr>
            <w:tcW w:type="dxa" w:w="9706"/>
            <w:shd w:fill="EDEDED"/>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停止条件  </w:t>
            </w:r>
            <w:r>
              <w:rPr>
                <w:rFonts w:ascii="Aptos" w:hAnsi="Aptos" w:eastAsia="FangSong" w:cs="Aptos"/>
                <w:b w:val="0"/>
                <w:color w:val="303030"/>
                <w:sz w:val="19"/>
              </w:rPr>
              <w:t>如果无法证明年龄、监护人同意、数据流向和删除能力，就不要开放未成年人账号、排行榜、证书档案或跨境同步。先用不收集个人信息的公开教育内容替代。</w:t>
            </w:r>
          </w:p>
        </w:tc>
      </w:tr>
    </w:tbl>
    <w:p>
      <w:pPr>
        <w:spacing w:after="0"/>
      </w:pPr>
    </w:p>
    <w:p>
      <w:r>
        <w:br w:type="page"/>
      </w:r>
    </w:p>
    <w:p>
      <w:pPr>
        <w:spacing w:after="40"/>
      </w:pPr>
      <w:r>
        <w:rPr>
          <w:rFonts w:ascii="Aptos" w:hAnsi="Aptos" w:eastAsia="Microsoft YaHei" w:cs="Aptos"/>
          <w:b/>
          <w:color w:val="6A6A6A"/>
          <w:sz w:val="16"/>
        </w:rPr>
        <w:t>MODULE 14</w:t>
      </w:r>
    </w:p>
    <w:p>
      <w:pPr>
        <w:pStyle w:val="Heading1"/>
      </w:pPr>
      <w:r>
        <w:rPr>
          <w:rFonts w:ascii="Aptos" w:hAnsi="Aptos" w:eastAsia="FangSong" w:cs="Aptos"/>
        </w:rPr>
        <w:t>年度税务、州务与董事会合规</w:t>
      </w:r>
    </w:p>
    <w:p>
      <w:pPr>
        <w:keepLines/>
      </w:pPr>
      <w:r>
        <w:rPr>
          <w:rFonts w:ascii="Aptos" w:hAnsi="Aptos" w:eastAsia="FangSong" w:cs="Aptos"/>
          <w:color w:val="6A6A6A"/>
          <w:sz w:val="21"/>
        </w:rPr>
        <w:t>把全部截止日放入一个责任到人的合规日历；漏报三年会自动失去联邦免税资格。</w:t>
      </w:r>
    </w:p>
    <w:p>
      <w:pPr>
        <w:spacing w:after="180"/>
        <w:pBdr>
          <w:bottom w:val="single" w:sz="10" w:space="1" w:color="111111"/>
        </w:pBdr>
      </w:pPr>
    </w:p>
    <w:p>
      <w:pPr>
        <w:pStyle w:val="Heading2"/>
      </w:pPr>
      <w:r>
        <w:rPr>
          <w:rFonts w:ascii="Aptos" w:hAnsi="Aptos" w:eastAsia="FangSong" w:cs="Aptos"/>
        </w:rPr>
        <w:t>14.1 联邦 990 系列</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324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规模（一般门槛）</w:t>
            </w:r>
          </w:p>
        </w:tc>
        <w:tc>
          <w:tcPr>
            <w:tcW w:type="dxa" w:w="338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通常可/须使用</w:t>
            </w:r>
          </w:p>
        </w:tc>
        <w:tc>
          <w:tcPr>
            <w:tcW w:type="dxa" w:w="295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日历年截止</w:t>
            </w:r>
          </w:p>
        </w:tc>
      </w:tr>
      <w:tr>
        <w:trPr>
          <w:cantSplit/>
        </w:trPr>
        <w:tc>
          <w:tcPr>
            <w:tcW w:type="dxa" w:w="32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Gross receipts 通常 ≤ $50,000</w:t>
            </w:r>
          </w:p>
        </w:tc>
        <w:tc>
          <w:tcPr>
            <w:tcW w:type="dxa" w:w="33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Form 990-N e-Postcard（某些组织例外）</w:t>
            </w:r>
          </w:p>
        </w:tc>
        <w:tc>
          <w:tcPr>
            <w:tcW w:type="dxa" w:w="29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次年 5 月 15 日；990-N 无 Form 8868 延期。</w:t>
            </w:r>
          </w:p>
        </w:tc>
      </w:tr>
      <w:tr>
        <w:trPr>
          <w:cantSplit/>
        </w:trPr>
        <w:tc>
          <w:tcPr>
            <w:tcW w:type="dxa" w:w="32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Gross receipts &lt; $200,000 且 total assets &lt; $500,000</w:t>
            </w:r>
          </w:p>
        </w:tc>
        <w:tc>
          <w:tcPr>
            <w:tcW w:type="dxa" w:w="33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Form 990-EZ 或自愿 full Form 990</w:t>
            </w:r>
          </w:p>
        </w:tc>
        <w:tc>
          <w:tcPr>
            <w:tcW w:type="dxa" w:w="29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次年 5 月 15 日；可按规则用 Form 8868 延长 6 个月。</w:t>
            </w:r>
          </w:p>
        </w:tc>
      </w:tr>
      <w:tr>
        <w:trPr>
          <w:cantSplit/>
        </w:trPr>
        <w:tc>
          <w:tcPr>
            <w:tcW w:type="dxa" w:w="32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Gross receipts ≥ $200,000 或 assets ≥ $500,000</w:t>
            </w:r>
          </w:p>
        </w:tc>
        <w:tc>
          <w:tcPr>
            <w:tcW w:type="dxa" w:w="33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Full Form 990</w:t>
            </w:r>
          </w:p>
        </w:tc>
        <w:tc>
          <w:tcPr>
            <w:tcW w:type="dxa" w:w="29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次年 5 月 15 日；Form 8868。</w:t>
            </w:r>
          </w:p>
        </w:tc>
      </w:tr>
      <w:tr>
        <w:trPr>
          <w:cantSplit/>
        </w:trPr>
        <w:tc>
          <w:tcPr>
            <w:tcW w:type="dxa" w:w="32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Unrelated business gross income ≥ $1,000</w:t>
            </w:r>
          </w:p>
        </w:tc>
        <w:tc>
          <w:tcPr>
            <w:tcW w:type="dxa" w:w="33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另评估 Form 990-T</w:t>
            </w:r>
          </w:p>
        </w:tc>
        <w:tc>
          <w:tcPr>
            <w:tcW w:type="dxa" w:w="29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通常与 990 同期；税款与估算另管。</w:t>
            </w:r>
          </w:p>
        </w:tc>
      </w:tr>
    </w:tbl>
    <w:p>
      <w:pPr>
        <w:spacing w:after="0"/>
      </w:pPr>
    </w:p>
    <w:p>
      <w:r>
        <w:rPr>
          <w:rFonts w:ascii="Aptos" w:hAnsi="Aptos" w:eastAsia="FangSong" w:cs="Aptos"/>
        </w:rPr>
        <w:t>连续三个应申报年度未提交适用的 990/990-EZ/990-N，会发生 automatic revocation。即使 Form 1023 尚在 IRS 审理，首次短税年也不能忽略。</w:t>
      </w:r>
    </w:p>
    <w:p>
      <w:pPr>
        <w:pStyle w:val="Heading2"/>
      </w:pPr>
      <w:r>
        <w:rPr>
          <w:rFonts w:ascii="Aptos" w:hAnsi="Aptos" w:eastAsia="FangSong" w:cs="Aptos"/>
        </w:rPr>
        <w:t>14.2 重点附表与跨境报告</w:t>
      </w:r>
    </w:p>
    <w:tbl>
      <w:tblPr>
        <w:tblW w:type="dxa" w:w="9360"/>
        <w:tblLayout w:type="fixed"/>
        <w:tblLook w:firstColumn="1" w:firstRow="1" w:lastColumn="0" w:lastRow="0" w:noHBand="0" w:noVBand="1" w:val="04A0"/>
        <w:jc w:val="center"/>
        <w:tblInd w:w="120" w:type="dxa"/>
      </w:tblPr>
      <w:tblGrid>
        <w:gridCol w:w="4853"/>
        <w:gridCol w:w="4853"/>
      </w:tblGrid>
      <w:tr>
        <w:trPr>
          <w:tblHeader w:val="true"/>
          <w:cantSplit/>
        </w:trPr>
        <w:tc>
          <w:tcPr>
            <w:tcW w:type="dxa" w:w="259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附表/报告</w:t>
            </w:r>
          </w:p>
        </w:tc>
        <w:tc>
          <w:tcPr>
            <w:tcW w:type="dxa" w:w="698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常见触发</w:t>
            </w:r>
          </w:p>
        </w:tc>
      </w:tr>
      <w:tr>
        <w:trPr>
          <w:cantSplit/>
        </w:trPr>
        <w:tc>
          <w:tcPr>
            <w:tcW w:type="dxa" w:w="25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Form 990 Schedule A</w:t>
            </w:r>
          </w:p>
        </w:tc>
        <w:tc>
          <w:tcPr>
            <w:tcW w:type="dxa" w:w="69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Public charity status 与 public support test；每年更新五年滚动表。</w:t>
            </w:r>
          </w:p>
        </w:tc>
      </w:tr>
      <w:tr>
        <w:trPr>
          <w:cantSplit/>
        </w:trPr>
        <w:tc>
          <w:tcPr>
            <w:tcW w:type="dxa" w:w="25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Schedule B</w:t>
            </w:r>
          </w:p>
        </w:tc>
        <w:tc>
          <w:tcPr>
            <w:tcW w:type="dxa" w:w="69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达到门槛的 contributors；公众查阅版本的姓名地址规则由报税人正确处理。</w:t>
            </w:r>
          </w:p>
        </w:tc>
      </w:tr>
      <w:tr>
        <w:trPr>
          <w:cantSplit/>
        </w:trPr>
        <w:tc>
          <w:tcPr>
            <w:tcW w:type="dxa" w:w="25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Schedule F</w:t>
            </w:r>
          </w:p>
        </w:tc>
        <w:tc>
          <w:tcPr>
            <w:tcW w:type="dxa" w:w="69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Form 990 的境外活动；Part I 常见触发为境外收入/支出合计超过 $10,000 或境外投资达到相应门槛。按当年 instructions。</w:t>
            </w:r>
          </w:p>
        </w:tc>
      </w:tr>
      <w:tr>
        <w:trPr>
          <w:cantSplit/>
        </w:trPr>
        <w:tc>
          <w:tcPr>
            <w:tcW w:type="dxa" w:w="25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Schedule R</w:t>
            </w:r>
          </w:p>
        </w:tc>
        <w:tc>
          <w:tcPr>
            <w:tcW w:type="dxa" w:w="69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Related organizations / disregarded entities；若设商业关联实体，先做共同控制分析。</w:t>
            </w:r>
          </w:p>
        </w:tc>
      </w:tr>
      <w:tr>
        <w:trPr>
          <w:cantSplit/>
        </w:trPr>
        <w:tc>
          <w:tcPr>
            <w:tcW w:type="dxa" w:w="25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FBAR / FinCEN 114</w:t>
            </w:r>
          </w:p>
        </w:tc>
        <w:tc>
          <w:tcPr>
            <w:tcW w:type="dxa" w:w="69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GPTI 是 U.S. person；境外金融账户合计最高余额在年度任一时点超过 $10,000 时通常触发。</w:t>
            </w:r>
          </w:p>
        </w:tc>
      </w:tr>
      <w:tr>
        <w:trPr>
          <w:cantSplit/>
        </w:trPr>
        <w:tc>
          <w:tcPr>
            <w:tcW w:type="dxa" w:w="25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Form 990-T</w:t>
            </w:r>
          </w:p>
        </w:tc>
        <w:tc>
          <w:tcPr>
            <w:tcW w:type="dxa" w:w="69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广告、与免税目的无实质关系的持续商业活动等 UBIT；赞助与广告须分开。</w:t>
            </w:r>
          </w:p>
        </w:tc>
      </w:tr>
      <w:tr>
        <w:trPr>
          <w:cantSplit/>
        </w:trPr>
        <w:tc>
          <w:tcPr>
            <w:tcW w:type="dxa" w:w="25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W-2 / 1099 / W-8 / withholding</w:t>
            </w:r>
          </w:p>
        </w:tc>
        <w:tc>
          <w:tcPr>
            <w:tcW w:type="dxa" w:w="69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员工、美国承包商、境外服务方与跨境来源付款；由 payroll/tax CPA 判断。</w:t>
            </w:r>
          </w:p>
        </w:tc>
      </w:tr>
    </w:tbl>
    <w:p>
      <w:pPr>
        <w:spacing w:after="0"/>
      </w:pPr>
    </w:p>
    <w:p>
      <w:r>
        <w:rPr>
          <w:rFonts w:ascii="Aptos" w:hAnsi="Aptos" w:eastAsia="FangSong" w:cs="Aptos"/>
        </w:rPr>
        <w:t>FBAR 官方入口：</w:t>
      </w:r>
      <w:hyperlink r:id="rId37">
        <w:r>
          <w:rPr>
            <w:rFonts w:ascii="Aptos" w:hAnsi="Aptos" w:eastAsia="FangSong"/>
            <w:color w:val="303030"/>
            <w:u w:val="single"/>
          </w:rPr>
          <w:t>FinCEN FBAR</w:t>
        </w:r>
      </w:hyperlink>
      <w:r>
        <w:t>。一般截止 4 月 15 日并有自动延至 10 月 15 日的机制，以当年官方公告为准。</w:t>
      </w:r>
    </w:p>
    <w:p>
      <w:pPr>
        <w:pStyle w:val="Heading2"/>
      </w:pPr>
      <w:r>
        <w:rPr>
          <w:rFonts w:ascii="Aptos" w:hAnsi="Aptos" w:eastAsia="FangSong" w:cs="Aptos"/>
        </w:rPr>
        <w:t>14.3 Colorado 与公司维护</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216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事项</w:t>
            </w:r>
          </w:p>
        </w:tc>
        <w:tc>
          <w:tcPr>
            <w:tcW w:type="dxa" w:w="367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频率/费用（核验日）</w:t>
            </w:r>
          </w:p>
        </w:tc>
        <w:tc>
          <w:tcPr>
            <w:tcW w:type="dxa" w:w="374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控制</w:t>
            </w:r>
          </w:p>
        </w:tc>
      </w:tr>
      <w:tr>
        <w:trPr>
          <w:cantSplit/>
        </w:trPr>
        <w:tc>
          <w:tcPr>
            <w:tcW w:type="dxa" w:w="21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Periodic Report</w:t>
            </w:r>
          </w:p>
        </w:tc>
        <w:tc>
          <w:tcPr>
            <w:tcW w:type="dxa" w:w="36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每年；州费 $25。可在 filing month 前 2 个月至后 2 个月无罚申报。</w:t>
            </w:r>
          </w:p>
        </w:tc>
        <w:tc>
          <w:tcPr>
            <w:tcW w:type="dxa" w:w="374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记录 filing month；逾期可能 noncompliant/delinquent，并有 $50 late penalty。</w:t>
            </w:r>
          </w:p>
        </w:tc>
      </w:tr>
      <w:tr>
        <w:trPr>
          <w:cantSplit/>
        </w:trPr>
        <w:tc>
          <w:tcPr>
            <w:tcW w:type="dxa" w:w="216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Registered Agent</w:t>
            </w:r>
          </w:p>
        </w:tc>
        <w:tc>
          <w:tcPr>
            <w:tcW w:type="dxa" w:w="36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持续；服务商年费和续费另计。</w:t>
            </w:r>
          </w:p>
        </w:tc>
        <w:tc>
          <w:tcPr>
            <w:tcW w:type="dxa" w:w="374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保持同意、实体街道和开放时间；任何变化先备案。</w:t>
            </w:r>
          </w:p>
        </w:tc>
      </w:tr>
      <w:tr>
        <w:trPr>
          <w:cantSplit/>
        </w:trPr>
        <w:tc>
          <w:tcPr>
            <w:tcW w:type="dxa" w:w="21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Charity renewal</w:t>
            </w:r>
          </w:p>
        </w:tc>
        <w:tc>
          <w:tcPr>
            <w:tcW w:type="dxa" w:w="36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通常日历年机构 5 月 15 日；州费/规则提交日复核。</w:t>
            </w:r>
          </w:p>
        </w:tc>
        <w:tc>
          <w:tcPr>
            <w:tcW w:type="dxa" w:w="374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与 990 和 actual financials 对账。</w:t>
            </w:r>
          </w:p>
        </w:tc>
      </w:tr>
      <w:tr>
        <w:trPr>
          <w:cantSplit/>
        </w:trPr>
        <w:tc>
          <w:tcPr>
            <w:tcW w:type="dxa" w:w="216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Trade name</w:t>
            </w:r>
          </w:p>
        </w:tc>
        <w:tc>
          <w:tcPr>
            <w:tcW w:type="dxa" w:w="36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如已备案，随 reporting entity 状态管理。</w:t>
            </w:r>
          </w:p>
        </w:tc>
        <w:tc>
          <w:tcPr>
            <w:tcW w:type="dxa" w:w="374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结构或品牌变化时终止/修改；商标另管。</w:t>
            </w:r>
          </w:p>
        </w:tc>
      </w:tr>
      <w:tr>
        <w:trPr>
          <w:cantSplit/>
        </w:trPr>
        <w:tc>
          <w:tcPr>
            <w:tcW w:type="dxa" w:w="216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Sales tax exemption</w:t>
            </w:r>
          </w:p>
        </w:tc>
        <w:tc>
          <w:tcPr>
            <w:tcW w:type="dxa" w:w="36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取得后按证书和业务变化维护。</w:t>
            </w:r>
          </w:p>
        </w:tc>
        <w:tc>
          <w:tcPr>
            <w:tcW w:type="dxa" w:w="374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采购给供应商正确证书；销售另分析。</w:t>
            </w:r>
          </w:p>
        </w:tc>
      </w:tr>
      <w:tr>
        <w:trPr>
          <w:cantSplit/>
        </w:trPr>
        <w:tc>
          <w:tcPr>
            <w:tcW w:type="dxa" w:w="216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Good Standing</w:t>
            </w:r>
          </w:p>
        </w:tc>
        <w:tc>
          <w:tcPr>
            <w:tcW w:type="dxa" w:w="36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银行、grant、ECOSOC 前即时生成。</w:t>
            </w:r>
          </w:p>
        </w:tc>
        <w:tc>
          <w:tcPr>
            <w:tcW w:type="dxa" w:w="374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免费证书；不要长期使用过期截图。</w:t>
            </w:r>
          </w:p>
        </w:tc>
      </w:tr>
    </w:tbl>
    <w:p>
      <w:pPr>
        <w:spacing w:after="0"/>
      </w:pPr>
    </w:p>
    <w:p>
      <w:pPr>
        <w:pStyle w:val="Heading2"/>
      </w:pPr>
      <w:r>
        <w:rPr>
          <w:rFonts w:ascii="Aptos" w:hAnsi="Aptos" w:eastAsia="FangSong" w:cs="Aptos"/>
        </w:rPr>
        <w:t>14.4 BOI / Corporate Transparency Act</w:t>
      </w:r>
    </w:p>
    <w:p>
      <w:r>
        <w:rPr>
          <w:rFonts w:ascii="Aptos" w:hAnsi="Aptos" w:eastAsia="FangSong" w:cs="Aptos"/>
        </w:rPr>
        <w:t>截至 2026-08-12 FinCEN 现行规则下，在美国成立的 domestic entities 已不再需要提交 BOI report；GPTI 不应仅因成立就提交。但规则曾多次变化，必须在成立日和任何法规更新时重查 FinCEN 官方 BOI 页面。</w:t>
      </w:r>
    </w:p>
    <w:p>
      <w:r>
        <w:rPr>
          <w:rFonts w:ascii="Aptos" w:hAnsi="Aptos" w:eastAsia="FangSong" w:cs="Aptos"/>
        </w:rPr>
        <w:t>官方：</w:t>
      </w:r>
      <w:hyperlink r:id="rId38">
        <w:r>
          <w:rPr>
            <w:rFonts w:ascii="Aptos" w:hAnsi="Aptos" w:eastAsia="FangSong"/>
            <w:color w:val="303030"/>
            <w:u w:val="single"/>
          </w:rPr>
          <w:t>FinCEN Beneficial Ownership Information</w:t>
        </w:r>
      </w:hyperlink>
    </w:p>
    <w:p>
      <w:pPr>
        <w:pStyle w:val="Heading2"/>
      </w:pPr>
      <w:r>
        <w:rPr>
          <w:rFonts w:ascii="Aptos" w:hAnsi="Aptos" w:eastAsia="FangSong" w:cs="Aptos"/>
        </w:rPr>
        <w:t>14.5 董事会与风险日历</w:t>
      </w:r>
    </w:p>
    <w:tbl>
      <w:tblPr>
        <w:tblW w:type="dxa" w:w="9360"/>
        <w:tblLayout w:type="fixed"/>
        <w:tblLook w:firstColumn="1" w:firstRow="1" w:lastColumn="0" w:lastRow="0" w:noHBand="0" w:noVBand="1" w:val="04A0"/>
        <w:jc w:val="center"/>
        <w:tblInd w:w="120" w:type="dxa"/>
      </w:tblPr>
      <w:tblGrid>
        <w:gridCol w:w="4853"/>
        <w:gridCol w:w="4853"/>
      </w:tblGrid>
      <w:tr>
        <w:trPr>
          <w:tblHeader w:val="true"/>
          <w:cantSplit/>
        </w:trPr>
        <w:tc>
          <w:tcPr>
            <w:tcW w:type="dxa" w:w="237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月份</w:t>
            </w:r>
          </w:p>
        </w:tc>
        <w:tc>
          <w:tcPr>
            <w:tcW w:type="dxa" w:w="720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固定动作</w:t>
            </w:r>
          </w:p>
        </w:tc>
      </w:tr>
      <w:tr>
        <w:trPr>
          <w:cantSplit/>
        </w:trPr>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January</w:t>
            </w:r>
          </w:p>
        </w:tc>
        <w:tc>
          <w:tcPr>
            <w:tcW w:type="dxa" w:w="72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年度 conflict disclosure；批准预算、薪酬、关联协议续期；保险检查；public support forecast。</w:t>
            </w:r>
          </w:p>
        </w:tc>
      </w:tr>
      <w:tr>
        <w:trPr>
          <w:cantSplit/>
        </w:trPr>
        <w:tc>
          <w:tcPr>
            <w:tcW w:type="dxa" w:w="23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February–March</w:t>
            </w:r>
          </w:p>
        </w:tc>
        <w:tc>
          <w:tcPr>
            <w:tcW w:type="dxa" w:w="72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会计关账；向 CPA 提供 grant、sponsorship、foreign activity、contractor 和 donor schedules。</w:t>
            </w:r>
          </w:p>
        </w:tc>
      </w:tr>
      <w:tr>
        <w:trPr>
          <w:cantSplit/>
        </w:trPr>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April</w:t>
            </w:r>
          </w:p>
        </w:tc>
        <w:tc>
          <w:tcPr>
            <w:tcW w:type="dxa" w:w="72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FBAR 判断/提交；准备 990 与 Colorado charity renewal。</w:t>
            </w:r>
          </w:p>
        </w:tc>
      </w:tr>
      <w:tr>
        <w:trPr>
          <w:cantSplit/>
        </w:trPr>
        <w:tc>
          <w:tcPr>
            <w:tcW w:type="dxa" w:w="23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May</w:t>
            </w:r>
          </w:p>
        </w:tc>
        <w:tc>
          <w:tcPr>
            <w:tcW w:type="dxa" w:w="72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5 月 15 日前提交适用 990 系列和州慈善续报，或按规则延期；990-N 不可用 8868 延期。</w:t>
            </w:r>
          </w:p>
        </w:tc>
      </w:tr>
      <w:tr>
        <w:trPr>
          <w:cantSplit/>
        </w:trPr>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Anniversary filing window</w:t>
            </w:r>
          </w:p>
        </w:tc>
        <w:tc>
          <w:tcPr>
            <w:tcW w:type="dxa" w:w="72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提交 Colorado periodic report；核对 registered agent、addresses 和 Good Standing。</w:t>
            </w:r>
          </w:p>
        </w:tc>
      </w:tr>
      <w:tr>
        <w:trPr>
          <w:cantSplit/>
        </w:trPr>
        <w:tc>
          <w:tcPr>
            <w:tcW w:type="dxa" w:w="23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Quarterly</w:t>
            </w:r>
          </w:p>
        </w:tc>
        <w:tc>
          <w:tcPr>
            <w:tcW w:type="dxa" w:w="72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董事会财务包、预算差异、限制性资金、关联交易、OFAC/foreign projects、data incidents。</w:t>
            </w:r>
          </w:p>
        </w:tc>
      </w:tr>
      <w:tr>
        <w:trPr>
          <w:cantSplit/>
        </w:trPr>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Before every event/project</w:t>
            </w:r>
          </w:p>
        </w:tc>
        <w:tc>
          <w:tcPr>
            <w:tcW w:type="dxa" w:w="72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合同、保险、场地、许可、PRC filing、youth consent、sponsor classification。</w:t>
            </w:r>
          </w:p>
        </w:tc>
      </w:tr>
      <w:tr>
        <w:trPr>
          <w:cantSplit/>
        </w:trPr>
        <w:tc>
          <w:tcPr>
            <w:tcW w:type="dxa" w:w="23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November</w:t>
            </w:r>
          </w:p>
        </w:tc>
        <w:tc>
          <w:tcPr>
            <w:tcW w:type="dxa" w:w="72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若已延期，11 月 15 日完成 990/990-EZ；规划下一年度 ECOSOC 证据和合规预算。</w:t>
            </w:r>
          </w:p>
        </w:tc>
      </w:tr>
    </w:tbl>
    <w:p>
      <w:pPr>
        <w:spacing w:after="0"/>
      </w:pPr>
    </w:p>
    <w:p>
      <w:pPr>
        <w:pStyle w:val="Heading2"/>
      </w:pPr>
      <w:r>
        <w:rPr>
          <w:rFonts w:ascii="Aptos" w:hAnsi="Aptos" w:eastAsia="FangSong" w:cs="Aptos"/>
        </w:rPr>
        <w:t>14.6 保险与用工</w:t>
      </w:r>
    </w:p>
    <w:p>
      <w:pPr>
        <w:pStyle w:val="ListBullet"/>
      </w:pPr>
      <w:r>
        <w:rPr>
          <w:rFonts w:ascii="Aptos" w:hAnsi="Aptos" w:eastAsia="FangSong" w:cs="Aptos"/>
        </w:rPr>
        <w:t>☐ D&amp;O / nonprofit management liability：董事、高管、employment practices、fiduciary scope。</w:t>
      </w:r>
    </w:p>
    <w:p>
      <w:pPr>
        <w:pStyle w:val="ListBullet"/>
      </w:pPr>
      <w:r>
        <w:rPr>
          <w:rFonts w:ascii="Aptos" w:hAnsi="Aptos" w:eastAsia="FangSong" w:cs="Aptos"/>
        </w:rPr>
        <w:t>☐ Commercial general liability：活动、场地、志愿者和合同要求。</w:t>
      </w:r>
    </w:p>
    <w:p>
      <w:pPr>
        <w:pStyle w:val="ListBullet"/>
      </w:pPr>
      <w:r>
        <w:rPr>
          <w:rFonts w:ascii="Aptos" w:hAnsi="Aptos" w:eastAsia="FangSong" w:cs="Aptos"/>
        </w:rPr>
        <w:t>☐ Cyber/privacy：数据事件、取证、通知、跨境与供应商。</w:t>
      </w:r>
    </w:p>
    <w:p>
      <w:pPr>
        <w:pStyle w:val="ListBullet"/>
      </w:pPr>
      <w:r>
        <w:rPr>
          <w:rFonts w:ascii="Aptos" w:hAnsi="Aptos" w:eastAsia="FangSong" w:cs="Aptos"/>
        </w:rPr>
        <w:t>☐ Abuse/molestation / safeguarding：如与未成年人直接互动，确认不被一般保单排除。</w:t>
      </w:r>
    </w:p>
    <w:p>
      <w:pPr>
        <w:pStyle w:val="ListBullet"/>
      </w:pPr>
      <w:r>
        <w:rPr>
          <w:rFonts w:ascii="Aptos" w:hAnsi="Aptos" w:eastAsia="FangSong" w:cs="Aptos"/>
        </w:rPr>
        <w:t>☐ Workers’ compensation、unemployment、payroll withholding：在任何州雇人前注册；远程员工按工作地判断。</w:t>
      </w:r>
    </w:p>
    <w:p>
      <w:pPr>
        <w:pStyle w:val="ListBullet"/>
      </w:pPr>
      <w:r>
        <w:rPr>
          <w:rFonts w:ascii="Aptos" w:hAnsi="Aptos" w:eastAsia="FangSong" w:cs="Aptos"/>
        </w:rPr>
        <w:t>☐ Independent contractor classification：不能仅靠 1099 合同；按实际控制和各州测试。</w:t>
      </w:r>
    </w:p>
    <w:p>
      <w:r>
        <w:br w:type="page"/>
      </w:r>
    </w:p>
    <w:p>
      <w:pPr>
        <w:spacing w:after="40"/>
      </w:pPr>
      <w:r>
        <w:rPr>
          <w:rFonts w:ascii="Aptos" w:hAnsi="Aptos" w:eastAsia="Microsoft YaHei" w:cs="Aptos"/>
          <w:b/>
          <w:color w:val="6A6A6A"/>
          <w:sz w:val="16"/>
        </w:rPr>
        <w:t>MODULE 15</w:t>
      </w:r>
    </w:p>
    <w:p>
      <w:pPr>
        <w:pStyle w:val="Heading1"/>
      </w:pPr>
      <w:r>
        <w:rPr>
          <w:rFonts w:ascii="Aptos" w:hAnsi="Aptos" w:eastAsia="FangSong" w:cs="Aptos"/>
        </w:rPr>
        <w:t>联合国 iCSO / ECOSOC 咨商身份</w:t>
      </w:r>
    </w:p>
    <w:p>
      <w:pPr>
        <w:keepLines/>
      </w:pPr>
      <w:r>
        <w:rPr>
          <w:rFonts w:ascii="Aptos" w:hAnsi="Aptos" w:eastAsia="FangSong" w:cs="Aptos"/>
          <w:color w:val="6A6A6A"/>
          <w:sz w:val="21"/>
        </w:rPr>
        <w:t>两年合法存续只是入场门槛；真实活动、民主治理、财务透明和与 ECOSOC 工作相关性决定申请质量。</w:t>
      </w:r>
    </w:p>
    <w:p>
      <w:pPr>
        <w:spacing w:after="180"/>
        <w:pBdr>
          <w:bottom w:val="single" w:sz="10" w:space="1" w:color="111111"/>
        </w:pBdr>
      </w:pPr>
    </w:p>
    <w:p>
      <w:pPr>
        <w:pStyle w:val="Heading2"/>
      </w:pPr>
      <w:r>
        <w:rPr>
          <w:rFonts w:ascii="Aptos" w:hAnsi="Aptos" w:eastAsia="FangSong" w:cs="Aptos"/>
        </w:rPr>
        <w:t>15.1 时间结论</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252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假设事件</w:t>
            </w:r>
          </w:p>
        </w:tc>
        <w:tc>
          <w:tcPr>
            <w:tcW w:type="dxa" w:w="208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日期</w:t>
            </w:r>
          </w:p>
        </w:tc>
        <w:tc>
          <w:tcPr>
            <w:tcW w:type="dxa" w:w="496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结论</w:t>
            </w:r>
          </w:p>
        </w:tc>
      </w:tr>
      <w:tr>
        <w:trPr>
          <w:cantSplit/>
        </w:trPr>
        <w:tc>
          <w:tcPr>
            <w:tcW w:type="dxa" w:w="25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Colorado 成立</w:t>
            </w:r>
          </w:p>
        </w:tc>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2026-08-12（示例）</w:t>
            </w:r>
          </w:p>
        </w:tc>
        <w:tc>
          <w:tcPr>
            <w:tcW w:type="dxa" w:w="496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两年证据期开始；以 filed effective date 为准。</w:t>
            </w:r>
          </w:p>
        </w:tc>
      </w:tr>
      <w:tr>
        <w:trPr>
          <w:cantSplit/>
        </w:trPr>
        <w:tc>
          <w:tcPr>
            <w:tcW w:type="dxa" w:w="25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2028 年年度截止</w:t>
            </w:r>
          </w:p>
        </w:tc>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2028-06-01</w:t>
            </w:r>
          </w:p>
        </w:tc>
        <w:tc>
          <w:tcPr>
            <w:tcW w:type="dxa" w:w="496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尚未满两年，不具备该截止日资格。</w:t>
            </w:r>
          </w:p>
        </w:tc>
      </w:tr>
      <w:tr>
        <w:trPr>
          <w:cantSplit/>
        </w:trPr>
        <w:tc>
          <w:tcPr>
            <w:tcW w:type="dxa" w:w="25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满两年</w:t>
            </w:r>
          </w:p>
        </w:tc>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2028-08-12</w:t>
            </w:r>
          </w:p>
        </w:tc>
        <w:tc>
          <w:tcPr>
            <w:tcW w:type="dxa" w:w="496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取得两年 legal existence，但当年 6 月截止已过。</w:t>
            </w:r>
          </w:p>
        </w:tc>
      </w:tr>
      <w:tr>
        <w:trPr>
          <w:cantSplit/>
        </w:trPr>
        <w:tc>
          <w:tcPr>
            <w:tcW w:type="dxa" w:w="25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最早可用年度截止</w:t>
            </w:r>
          </w:p>
        </w:tc>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2029-06-01</w:t>
            </w:r>
          </w:p>
        </w:tc>
        <w:tc>
          <w:tcPr>
            <w:tcW w:type="dxa" w:w="496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截至申请收到日已满两年；应在 2029 年 3–4 月完成上传。</w:t>
            </w:r>
          </w:p>
        </w:tc>
      </w:tr>
      <w:tr>
        <w:trPr>
          <w:cantSplit/>
        </w:trPr>
        <w:tc>
          <w:tcPr>
            <w:tcW w:type="dxa" w:w="25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委员会审议</w:t>
            </w:r>
          </w:p>
        </w:tc>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通常从 2030 年 regular/resumed session 开始</w:t>
            </w:r>
          </w:p>
        </w:tc>
        <w:tc>
          <w:tcPr>
            <w:tcW w:type="dxa" w:w="496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不是自动批准；问题和 deferral 可延长数年。</w:t>
            </w:r>
          </w:p>
        </w:tc>
      </w:tr>
    </w:tbl>
    <w:p>
      <w:pPr>
        <w:spacing w:after="0"/>
      </w:pPr>
    </w:p>
    <w:tbl>
      <w:tblPr>
        <w:tblW w:type="dxa" w:w="9360"/>
        <w:jc w:val="center"/>
        <w:tblLayout w:type="fixed"/>
        <w:tblLook w:firstColumn="1" w:firstRow="1" w:lastColumn="0" w:lastRow="0" w:noHBand="0" w:noVBand="1" w:val="04A0"/>
        <w:tblInd w:w="120" w:type="dxa"/>
      </w:tblPr>
      <w:tblGrid>
        <w:gridCol w:w="9706"/>
      </w:tblGrid>
      <w:tr>
        <w:tc>
          <w:tcPr>
            <w:tcW w:type="dxa" w:w="9706"/>
            <w:shd w:fill="EDEDED"/>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纠错  </w:t>
            </w:r>
            <w:r>
              <w:rPr>
                <w:rFonts w:ascii="Aptos" w:hAnsi="Aptos" w:eastAsia="FangSong" w:cs="Aptos"/>
                <w:b w:val="0"/>
                <w:color w:val="303030"/>
                <w:sz w:val="19"/>
              </w:rPr>
              <w:t>不能把“成立满两年”简化为“成立后的第二个 6 月 1 日”。按具体日计算。若成立日期晚于 2026-06-01，2028-06-01 仍不满两年。</w:t>
            </w:r>
          </w:p>
        </w:tc>
      </w:tr>
    </w:tbl>
    <w:p>
      <w:pPr>
        <w:spacing w:after="0"/>
      </w:pPr>
    </w:p>
    <w:p>
      <w:pPr>
        <w:pStyle w:val="Heading2"/>
      </w:pPr>
      <w:r>
        <w:rPr>
          <w:rFonts w:ascii="Aptos" w:hAnsi="Aptos" w:eastAsia="FangSong" w:cs="Aptos"/>
        </w:rPr>
        <w:t>15.2 iCSO 档案</w:t>
      </w:r>
    </w:p>
    <w:p>
      <w:pPr>
        <w:pStyle w:val="ListNumber"/>
      </w:pPr>
      <w:r>
        <w:rPr>
          <w:rFonts w:ascii="Aptos" w:hAnsi="Aptos" w:eastAsia="FangSong" w:cs="Aptos"/>
        </w:rPr>
        <w:t>公司成立、治理和官网基础信息稳定后，在 UN Civil Society / iCSO portal 创建组织 profile。</w:t>
      </w:r>
    </w:p>
    <w:p>
      <w:pPr>
        <w:pStyle w:val="ListNumber"/>
      </w:pPr>
      <w:r>
        <w:rPr>
          <w:rFonts w:ascii="Aptos" w:hAnsi="Aptos" w:eastAsia="FangSong" w:cs="Aptos"/>
        </w:rPr>
        <w:t>使用机构邮箱；保存用户名、MFA/恢复信息、联系人和组织 ID。</w:t>
      </w:r>
    </w:p>
    <w:p>
      <w:pPr>
        <w:pStyle w:val="ListNumber"/>
      </w:pPr>
      <w:r>
        <w:rPr>
          <w:rFonts w:ascii="Aptos" w:hAnsi="Aptos" w:eastAsia="FangSong" w:cs="Aptos"/>
        </w:rPr>
        <w:t>填写法定名称、总部/地址、成立日期、法律状态、网站、使命、地域和联系人；EIN/Colorado ID 仅在当前字段要求时填写。</w:t>
      </w:r>
    </w:p>
    <w:p>
      <w:pPr>
        <w:pStyle w:val="ListNumber"/>
      </w:pPr>
      <w:r>
        <w:rPr>
          <w:rFonts w:ascii="Aptos" w:hAnsi="Aptos" w:eastAsia="FangSong" w:cs="Aptos"/>
        </w:rPr>
        <w:t>上传/提交后记录状态；没有官方固定的“1–2 周激活保证”，按 portal 或工作人员要求补充。</w:t>
      </w:r>
    </w:p>
    <w:p>
      <w:pPr>
        <w:pStyle w:val="ListNumber"/>
      </w:pPr>
      <w:r>
        <w:rPr>
          <w:rFonts w:ascii="Aptos" w:hAnsi="Aptos" w:eastAsia="FangSong" w:cs="Aptos"/>
        </w:rPr>
        <w:t>每季度检查联系人、地址和资料；人员离职立即移交。</w:t>
      </w:r>
    </w:p>
    <w:p>
      <w:r>
        <w:rPr>
          <w:rFonts w:ascii="Aptos" w:hAnsi="Aptos" w:eastAsia="FangSong" w:cs="Aptos"/>
        </w:rPr>
        <w:t>官方入口：</w:t>
      </w:r>
      <w:hyperlink r:id="rId39">
        <w:r>
          <w:rPr>
            <w:rFonts w:ascii="Aptos" w:hAnsi="Aptos" w:eastAsia="FangSong"/>
            <w:color w:val="303030"/>
            <w:u w:val="single"/>
          </w:rPr>
          <w:t>UN Civil Society / iCSO</w:t>
        </w:r>
      </w:hyperlink>
    </w:p>
    <w:p>
      <w:pPr>
        <w:pStyle w:val="Heading2"/>
      </w:pPr>
      <w:r>
        <w:rPr>
          <w:rFonts w:ascii="Aptos" w:hAnsi="Aptos" w:eastAsia="FangSong" w:cs="Aptos"/>
        </w:rPr>
        <w:t>15.3 申请资格核查</w:t>
      </w:r>
    </w:p>
    <w:p>
      <w:pPr>
        <w:pStyle w:val="ListBullet"/>
      </w:pPr>
      <w:r>
        <w:rPr>
          <w:rFonts w:ascii="Aptos" w:hAnsi="Aptos" w:eastAsia="FangSong" w:cs="Aptos"/>
        </w:rPr>
        <w:t>☐ 申请收到日已由政府正式登记至少两年。</w:t>
      </w:r>
    </w:p>
    <w:p>
      <w:pPr>
        <w:pStyle w:val="ListBullet"/>
      </w:pPr>
      <w:r>
        <w:rPr>
          <w:rFonts w:ascii="Aptos" w:hAnsi="Aptos" w:eastAsia="FangSong" w:cs="Aptos"/>
        </w:rPr>
        <w:t>☐ 机构活动与 ECOSOC 及其附属机构职权直接相关，而非只追求 UN 品牌或通行证。</w:t>
      </w:r>
    </w:p>
    <w:p>
      <w:pPr>
        <w:pStyle w:val="ListBullet"/>
      </w:pPr>
      <w:r>
        <w:rPr>
          <w:rFonts w:ascii="Aptos" w:hAnsi="Aptos" w:eastAsia="FangSong" w:cs="Aptos"/>
        </w:rPr>
        <w:t>☐ 有正式总部、民主透明的 constitution/bylaws、授权代表机构发言的结构。</w:t>
      </w:r>
    </w:p>
    <w:p>
      <w:pPr>
        <w:pStyle w:val="ListBullet"/>
      </w:pPr>
      <w:r>
        <w:rPr>
          <w:rFonts w:ascii="Aptos" w:hAnsi="Aptos" w:eastAsia="FangSong" w:cs="Aptos"/>
        </w:rPr>
        <w:t>☐ 财务来源、支出和治理证明机构有独立性；政府资金或商业关联得到完整解释。</w:t>
      </w:r>
    </w:p>
    <w:p>
      <w:pPr>
        <w:pStyle w:val="ListBullet"/>
      </w:pPr>
      <w:r>
        <w:rPr>
          <w:rFonts w:ascii="Aptos" w:hAnsi="Aptos" w:eastAsia="FangSong" w:cs="Aptos"/>
        </w:rPr>
        <w:t>☐ 过去两年有可验证的实质活动、受益人、成果、公开报告、会议和合作记录。</w:t>
      </w:r>
    </w:p>
    <w:p>
      <w:pPr>
        <w:pStyle w:val="ListBullet"/>
      </w:pPr>
      <w:r>
        <w:rPr>
          <w:rFonts w:ascii="Aptos" w:hAnsi="Aptos" w:eastAsia="FangSong" w:cs="Aptos"/>
        </w:rPr>
        <w:t>☐ 最近完整财务报表与 IRS/Colorado 申报一致，并可转换为美元。</w:t>
      </w:r>
    </w:p>
    <w:p>
      <w:pPr>
        <w:pStyle w:val="ListBullet"/>
      </w:pPr>
      <w:r>
        <w:rPr>
          <w:rFonts w:ascii="Aptos" w:hAnsi="Aptos" w:eastAsia="FangSong" w:cs="Aptos"/>
        </w:rPr>
        <w:t>☐ 网站公开使命、董事/高管、主要活动、年度报告/财务摘要和联系信息。</w:t>
      </w:r>
    </w:p>
    <w:p>
      <w:pPr>
        <w:pStyle w:val="Heading2"/>
      </w:pPr>
      <w:r>
        <w:rPr>
          <w:rFonts w:ascii="Aptos" w:hAnsi="Aptos" w:eastAsia="FangSong" w:cs="Aptos"/>
        </w:rPr>
        <w:t>15.4 两年证据矩阵</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180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证据类别</w:t>
            </w:r>
          </w:p>
        </w:tc>
        <w:tc>
          <w:tcPr>
            <w:tcW w:type="dxa" w:w="482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每季度保存</w:t>
            </w:r>
          </w:p>
        </w:tc>
        <w:tc>
          <w:tcPr>
            <w:tcW w:type="dxa" w:w="295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申请用途</w:t>
            </w:r>
          </w:p>
        </w:tc>
      </w:tr>
      <w:tr>
        <w:trPr>
          <w:cantSplit/>
        </w:trPr>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Legal/governance</w:t>
            </w:r>
          </w:p>
        </w:tc>
        <w:tc>
          <w:tcPr>
            <w:tcW w:type="dxa" w:w="48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Good Standing、board minutes、attendance、conflict recusals、policy updates</w:t>
            </w:r>
          </w:p>
        </w:tc>
        <w:tc>
          <w:tcPr>
            <w:tcW w:type="dxa" w:w="29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证明持续合法、民主、透明和实际董事会治理。</w:t>
            </w:r>
          </w:p>
        </w:tc>
      </w:tr>
      <w:tr>
        <w:trPr>
          <w:cantSplit/>
        </w:trPr>
        <w:tc>
          <w:tcPr>
            <w:tcW w:type="dxa" w:w="18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Programs</w:t>
            </w:r>
          </w:p>
        </w:tc>
        <w:tc>
          <w:tcPr>
            <w:tcW w:type="dxa" w:w="48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方案、合同、参与者统计、公开材料、成果、评估、媒体链接</w:t>
            </w:r>
          </w:p>
        </w:tc>
        <w:tc>
          <w:tcPr>
            <w:tcW w:type="dxa" w:w="29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回答过去活动与 ECOSOC/SDG 相关性。</w:t>
            </w:r>
          </w:p>
        </w:tc>
      </w:tr>
      <w:tr>
        <w:trPr>
          <w:cantSplit/>
        </w:trPr>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Finance</w:t>
            </w:r>
          </w:p>
        </w:tc>
        <w:tc>
          <w:tcPr>
            <w:tcW w:type="dxa" w:w="48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月度账、银行对账、restricted funds、annual statements、990、审计/复核</w:t>
            </w:r>
          </w:p>
        </w:tc>
        <w:tc>
          <w:tcPr>
            <w:tcW w:type="dxa" w:w="29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解释收入来源、支出和非政府独立性。</w:t>
            </w:r>
          </w:p>
        </w:tc>
      </w:tr>
      <w:tr>
        <w:trPr>
          <w:cantSplit/>
        </w:trPr>
        <w:tc>
          <w:tcPr>
            <w:tcW w:type="dxa" w:w="18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International</w:t>
            </w:r>
          </w:p>
        </w:tc>
        <w:tc>
          <w:tcPr>
            <w:tcW w:type="dxa" w:w="48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PRC filing、partner diligence、OFAC、travel、foreign payment、translations</w:t>
            </w:r>
          </w:p>
        </w:tc>
        <w:tc>
          <w:tcPr>
            <w:tcW w:type="dxa" w:w="29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证明跨境项目合法且可监督。</w:t>
            </w:r>
          </w:p>
        </w:tc>
      </w:tr>
      <w:tr>
        <w:trPr>
          <w:cantSplit/>
        </w:trPr>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Publications</w:t>
            </w:r>
          </w:p>
        </w:tc>
        <w:tc>
          <w:tcPr>
            <w:tcW w:type="dxa" w:w="48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DOI/URL、作者、方法、peer/independent review、下载/引用</w:t>
            </w:r>
          </w:p>
        </w:tc>
        <w:tc>
          <w:tcPr>
            <w:tcW w:type="dxa" w:w="29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证明 substantive contribution，而非宣传材料。</w:t>
            </w:r>
          </w:p>
        </w:tc>
      </w:tr>
      <w:tr>
        <w:trPr>
          <w:cantSplit/>
        </w:trPr>
        <w:tc>
          <w:tcPr>
            <w:tcW w:type="dxa" w:w="18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UN relevance</w:t>
            </w:r>
          </w:p>
        </w:tc>
        <w:tc>
          <w:tcPr>
            <w:tcW w:type="dxa" w:w="48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对 SDG 13 及 ECOSOC 议题的具体贡献、会议参与、书面建议</w:t>
            </w:r>
          </w:p>
        </w:tc>
        <w:tc>
          <w:tcPr>
            <w:tcW w:type="dxa" w:w="29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说明为何需要 consultative relationship。</w:t>
            </w:r>
          </w:p>
        </w:tc>
      </w:tr>
      <w:tr>
        <w:trPr>
          <w:cantSplit/>
        </w:trPr>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Independence</w:t>
            </w:r>
          </w:p>
        </w:tc>
        <w:tc>
          <w:tcPr>
            <w:tcW w:type="dxa" w:w="48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donor concentration、sponsor rights、government funds、related-party decisions</w:t>
            </w:r>
          </w:p>
        </w:tc>
        <w:tc>
          <w:tcPr>
            <w:tcW w:type="dxa" w:w="29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回答是否被政府、企业或个人控制。</w:t>
            </w:r>
          </w:p>
        </w:tc>
      </w:tr>
    </w:tbl>
    <w:p>
      <w:pPr>
        <w:spacing w:after="0"/>
      </w:pPr>
    </w:p>
    <w:p>
      <w:pPr>
        <w:pStyle w:val="Heading2"/>
      </w:pPr>
      <w:r>
        <w:rPr>
          <w:rFonts w:ascii="Aptos" w:hAnsi="Aptos" w:eastAsia="FangSong" w:cs="Aptos"/>
        </w:rPr>
        <w:t>15.5 2029 申请包</w:t>
      </w:r>
    </w:p>
    <w:tbl>
      <w:tblPr>
        <w:tblW w:type="dxa" w:w="9360"/>
        <w:tblLayout w:type="fixed"/>
        <w:tblLook w:firstColumn="1" w:firstRow="1" w:lastColumn="0" w:lastRow="0" w:noHBand="0" w:noVBand="1" w:val="04A0"/>
        <w:jc w:val="center"/>
        <w:tblInd w:w="120" w:type="dxa"/>
      </w:tblPr>
      <w:tblGrid>
        <w:gridCol w:w="4853"/>
        <w:gridCol w:w="4853"/>
      </w:tblGrid>
      <w:tr>
        <w:trPr>
          <w:tblHeader w:val="true"/>
          <w:cantSplit/>
        </w:trPr>
        <w:tc>
          <w:tcPr>
            <w:tcW w:type="dxa" w:w="302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材料</w:t>
            </w:r>
          </w:p>
        </w:tc>
        <w:tc>
          <w:tcPr>
            <w:tcW w:type="dxa" w:w="655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准备标准</w:t>
            </w:r>
          </w:p>
        </w:tc>
      </w:tr>
      <w:tr>
        <w:trPr>
          <w:cantSplit/>
        </w:trPr>
        <w:tc>
          <w:tcPr>
            <w:tcW w:type="dxa" w:w="30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Online questionnaire</w:t>
            </w:r>
          </w:p>
        </w:tc>
        <w:tc>
          <w:tcPr>
            <w:tcW w:type="dxa" w:w="65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使用当年 portal 的全部问题，不按过时的“10 大问题”模板；逐题保存离线副本。</w:t>
            </w:r>
          </w:p>
        </w:tc>
      </w:tr>
      <w:tr>
        <w:trPr>
          <w:cantSplit/>
        </w:trPr>
        <w:tc>
          <w:tcPr>
            <w:tcW w:type="dxa" w:w="30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Government registration proof</w:t>
            </w:r>
          </w:p>
        </w:tc>
        <w:tc>
          <w:tcPr>
            <w:tcW w:type="dxa" w:w="65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Colorado filed Articles、两年以上存在和 current Good Standing；必要时认证/翻译。</w:t>
            </w:r>
          </w:p>
        </w:tc>
      </w:tr>
      <w:tr>
        <w:trPr>
          <w:cantSplit/>
        </w:trPr>
        <w:tc>
          <w:tcPr>
            <w:tcW w:type="dxa" w:w="30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Constitution / Bylaws</w:t>
            </w:r>
          </w:p>
        </w:tc>
        <w:tc>
          <w:tcPr>
            <w:tcW w:type="dxa" w:w="65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显示治理、选任、会议、表决、财务问责、修订和解散；与实际会议一致。</w:t>
            </w:r>
          </w:p>
        </w:tc>
      </w:tr>
      <w:tr>
        <w:trPr>
          <w:cantSplit/>
        </w:trPr>
        <w:tc>
          <w:tcPr>
            <w:tcW w:type="dxa" w:w="30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Most recent financial statements</w:t>
            </w:r>
          </w:p>
        </w:tc>
        <w:tc>
          <w:tcPr>
            <w:tcW w:type="dxa" w:w="65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资产、负债、收入来源、项目/行政支出；美元列示；与 990/账目可勾稽。</w:t>
            </w:r>
          </w:p>
        </w:tc>
      </w:tr>
      <w:tr>
        <w:trPr>
          <w:cantSplit/>
        </w:trPr>
        <w:tc>
          <w:tcPr>
            <w:tcW w:type="dxa" w:w="30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Activity evidence</w:t>
            </w:r>
          </w:p>
        </w:tc>
        <w:tc>
          <w:tcPr>
            <w:tcW w:type="dxa" w:w="65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两年重点项目和成果；使用链接/附件限额；不是堆积照片。</w:t>
            </w:r>
          </w:p>
        </w:tc>
      </w:tr>
      <w:tr>
        <w:trPr>
          <w:cantSplit/>
        </w:trPr>
        <w:tc>
          <w:tcPr>
            <w:tcW w:type="dxa" w:w="30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Translations</w:t>
            </w:r>
          </w:p>
        </w:tc>
        <w:tc>
          <w:tcPr>
            <w:tcW w:type="dxa" w:w="65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按 portal 要求提供英文；专有名词、金额和法定名称一致。</w:t>
            </w:r>
          </w:p>
        </w:tc>
      </w:tr>
      <w:tr>
        <w:trPr>
          <w:cantSplit/>
        </w:trPr>
        <w:tc>
          <w:tcPr>
            <w:tcW w:type="dxa" w:w="30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Board authorization</w:t>
            </w:r>
          </w:p>
        </w:tc>
        <w:tc>
          <w:tcPr>
            <w:tcW w:type="dxa" w:w="65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董事会批准 questionnaire、授权提交人并确认信息真实。</w:t>
            </w:r>
          </w:p>
        </w:tc>
      </w:tr>
    </w:tbl>
    <w:p>
      <w:pPr>
        <w:spacing w:after="0"/>
      </w:pPr>
    </w:p>
    <w:p>
      <w:r>
        <w:rPr>
          <w:rFonts w:ascii="Aptos" w:hAnsi="Aptos" w:eastAsia="FangSong" w:cs="Aptos"/>
        </w:rPr>
        <w:t>资格与截止：</w:t>
      </w:r>
      <w:hyperlink r:id="rId40">
        <w:r>
          <w:rPr>
            <w:rFonts w:ascii="Aptos" w:hAnsi="Aptos" w:eastAsia="FangSong"/>
            <w:color w:val="303030"/>
            <w:u w:val="single"/>
          </w:rPr>
          <w:t>Apply for Consultative Status</w:t>
        </w:r>
      </w:hyperlink>
      <w:r>
        <w:t>；</w:t>
      </w:r>
      <w:hyperlink r:id="rId41">
        <w:r>
          <w:rPr>
            <w:rFonts w:ascii="Aptos" w:hAnsi="Aptos" w:eastAsia="FangSong"/>
            <w:color w:val="303030"/>
            <w:u w:val="single"/>
          </w:rPr>
          <w:t>ECOSOC Resolution 1996/31</w:t>
        </w:r>
      </w:hyperlink>
      <w:r>
        <w:t>。每年 6 月 1 日是当前公开截止；2029 年须再次核对公告。</w:t>
      </w:r>
    </w:p>
    <w:p>
      <w:pPr>
        <w:pStyle w:val="Heading2"/>
      </w:pPr>
      <w:r>
        <w:rPr>
          <w:rFonts w:ascii="Aptos" w:hAnsi="Aptos" w:eastAsia="FangSong" w:cs="Aptos"/>
        </w:rPr>
        <w:t>15.6 审核、提问与延期</w:t>
      </w:r>
    </w:p>
    <w:p>
      <w:pPr>
        <w:pStyle w:val="ListNumber"/>
      </w:pPr>
      <w:r>
        <w:rPr>
          <w:rFonts w:ascii="Aptos" w:hAnsi="Aptos" w:eastAsia="FangSong" w:cs="Aptos"/>
        </w:rPr>
        <w:t>Committee on NGOs（19 个成员国）在 regular/resumed sessions 审查新申请。</w:t>
      </w:r>
    </w:p>
    <w:p>
      <w:pPr>
        <w:pStyle w:val="ListNumber"/>
      </w:pPr>
      <w:r>
        <w:rPr>
          <w:rFonts w:ascii="Aptos" w:hAnsi="Aptos" w:eastAsia="FangSong" w:cs="Aptos"/>
        </w:rPr>
        <w:t>委员可提出问题；组织须在 portal/指定渠道准确、及时、简洁回复，并与申请和公开材料一致。</w:t>
      </w:r>
    </w:p>
    <w:p>
      <w:pPr>
        <w:pStyle w:val="ListNumber"/>
      </w:pPr>
      <w:r>
        <w:rPr>
          <w:rFonts w:ascii="Aptos" w:hAnsi="Aptos" w:eastAsia="FangSong" w:cs="Aptos"/>
        </w:rPr>
        <w:t>委员会建议后仍需 ECOSOC 作出决定；申请可能被 deferred 多次，不能承诺固定月份获批。</w:t>
      </w:r>
    </w:p>
    <w:p>
      <w:pPr>
        <w:pStyle w:val="ListNumber"/>
      </w:pPr>
      <w:r>
        <w:rPr>
          <w:rFonts w:ascii="Aptos" w:hAnsi="Aptos" w:eastAsia="FangSong" w:cs="Aptos"/>
        </w:rPr>
        <w:t>所有回复由董事会指定小组和律师审阅；保存问题、版本、证据和提交确认。</w:t>
      </w:r>
    </w:p>
    <w:p>
      <w:pPr>
        <w:pStyle w:val="Heading2"/>
      </w:pPr>
      <w:r>
        <w:rPr>
          <w:rFonts w:ascii="Aptos" w:hAnsi="Aptos" w:eastAsia="FangSong" w:cs="Aptos"/>
        </w:rPr>
        <w:t>15.7 Special Consultative Status 的权利边界</w:t>
      </w:r>
    </w:p>
    <w:tbl>
      <w:tblPr>
        <w:tblW w:type="dxa" w:w="9360"/>
        <w:tblLayout w:type="fixed"/>
        <w:tblLook w:firstColumn="1" w:firstRow="1" w:lastColumn="0" w:lastRow="0" w:noHBand="0" w:noVBand="1" w:val="04A0"/>
        <w:jc w:val="center"/>
        <w:tblInd w:w="120" w:type="dxa"/>
      </w:tblPr>
      <w:tblGrid>
        <w:gridCol w:w="4853"/>
        <w:gridCol w:w="4853"/>
      </w:tblGrid>
      <w:tr>
        <w:trPr>
          <w:tblHeader w:val="true"/>
          <w:cantSplit/>
        </w:trPr>
        <w:tc>
          <w:tcPr>
            <w:tcW w:type="dxa" w:w="482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可获得/申请</w:t>
            </w:r>
          </w:p>
        </w:tc>
        <w:tc>
          <w:tcPr>
            <w:tcW w:type="dxa" w:w="475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不是</w:t>
            </w:r>
          </w:p>
        </w:tc>
      </w:tr>
      <w:tr>
        <w:trPr>
          <w:cantSplit/>
        </w:trPr>
        <w:tc>
          <w:tcPr>
            <w:tcW w:type="dxa" w:w="48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依相关会议规则申请参会、提交书面陈述、作口头陈述、组织 side event。</w:t>
            </w:r>
          </w:p>
        </w:tc>
        <w:tc>
          <w:tcPr>
            <w:tcW w:type="dxa" w:w="47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不是联合国对 GPTI 或 Climate Passport 产品的认证、投资背书或商业质量保证。</w:t>
            </w:r>
          </w:p>
        </w:tc>
      </w:tr>
      <w:tr>
        <w:trPr>
          <w:cantSplit/>
        </w:trPr>
        <w:tc>
          <w:tcPr>
            <w:tcW w:type="dxa" w:w="48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符合规则时为最多 16 名代表申请 annual/temporary grounds passes。</w:t>
            </w:r>
          </w:p>
        </w:tc>
        <w:tc>
          <w:tcPr>
            <w:tcW w:type="dxa" w:w="47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不是全球通用“UN NGO 通行证”；受地点、安保、会议和容量限制。</w:t>
            </w:r>
          </w:p>
        </w:tc>
      </w:tr>
      <w:tr>
        <w:trPr>
          <w:cantSplit/>
        </w:trPr>
        <w:tc>
          <w:tcPr>
            <w:tcW w:type="dxa" w:w="48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在官方 NGO profile 中显示 consultative status。</w:t>
            </w:r>
          </w:p>
        </w:tc>
        <w:tc>
          <w:tcPr>
            <w:tcW w:type="dxa" w:w="47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不自动获得 UNESCO、UNFCCC COP 或其他 UN system accreditation。</w:t>
            </w:r>
          </w:p>
        </w:tc>
      </w:tr>
      <w:tr>
        <w:trPr>
          <w:cantSplit/>
        </w:trPr>
        <w:tc>
          <w:tcPr>
            <w:tcW w:type="dxa" w:w="48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与 ECOSOC 机制建立正式咨商关系。</w:t>
            </w:r>
          </w:p>
        </w:tc>
        <w:tc>
          <w:tcPr>
            <w:tcW w:type="dxa" w:w="47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不得擅用 UN 名称、徽记、蓝色通行证图像或暗示共同主办。</w:t>
            </w:r>
          </w:p>
        </w:tc>
      </w:tr>
    </w:tbl>
    <w:p>
      <w:pPr>
        <w:spacing w:after="0"/>
      </w:pPr>
    </w:p>
    <w:p>
      <w:pPr>
        <w:pStyle w:val="Heading2"/>
      </w:pPr>
      <w:r>
        <w:rPr>
          <w:rFonts w:ascii="Aptos" w:hAnsi="Aptos" w:eastAsia="FangSong" w:cs="Aptos"/>
        </w:rPr>
        <w:t>15.8 取得后</w:t>
      </w:r>
    </w:p>
    <w:p>
      <w:pPr>
        <w:pStyle w:val="ListBullet"/>
      </w:pPr>
      <w:r>
        <w:rPr>
          <w:rFonts w:ascii="Aptos" w:hAnsi="Aptos" w:eastAsia="FangSong" w:cs="Aptos"/>
        </w:rPr>
        <w:t>☐ 指定代表必须了解行为、安保、名称/徽记和证件规则；离任立即撤销。</w:t>
      </w:r>
    </w:p>
    <w:p>
      <w:pPr>
        <w:pStyle w:val="ListBullet"/>
      </w:pPr>
      <w:r>
        <w:rPr>
          <w:rFonts w:ascii="Aptos" w:hAnsi="Aptos" w:eastAsia="FangSong" w:cs="Aptos"/>
        </w:rPr>
        <w:t>☐ Special/General status NGO 按要求每四年提交 quadrennial report。</w:t>
      </w:r>
    </w:p>
    <w:p>
      <w:pPr>
        <w:pStyle w:val="ListBullet"/>
      </w:pPr>
      <w:r>
        <w:rPr>
          <w:rFonts w:ascii="Aptos" w:hAnsi="Aptos" w:eastAsia="FangSong" w:cs="Aptos"/>
        </w:rPr>
        <w:t>☐ 持续更新组织联系人、董事、地址、活动与财务；重大虚假或不活动可能影响 status。</w:t>
      </w:r>
    </w:p>
    <w:p>
      <w:pPr>
        <w:pStyle w:val="ListBullet"/>
      </w:pPr>
      <w:r>
        <w:rPr>
          <w:rFonts w:ascii="Aptos" w:hAnsi="Aptos" w:eastAsia="FangSong" w:cs="Aptos"/>
        </w:rPr>
        <w:t>☐ 把 UN 相关活动与商业 Climate Passport 营销严格隔离；不得把 grounds pass 放入商业销售材料。</w:t>
      </w:r>
    </w:p>
    <w:p>
      <w:r>
        <w:br w:type="page"/>
      </w:r>
    </w:p>
    <w:p>
      <w:pPr>
        <w:spacing w:after="40"/>
      </w:pPr>
      <w:r>
        <w:rPr>
          <w:rFonts w:ascii="Aptos" w:hAnsi="Aptos" w:eastAsia="Microsoft YaHei" w:cs="Aptos"/>
          <w:b/>
          <w:color w:val="6A6A6A"/>
          <w:sz w:val="16"/>
        </w:rPr>
        <w:t>MODULE 16</w:t>
      </w:r>
    </w:p>
    <w:p>
      <w:pPr>
        <w:pStyle w:val="Heading1"/>
      </w:pPr>
      <w:r>
        <w:rPr>
          <w:rFonts w:ascii="Aptos" w:hAnsi="Aptos" w:eastAsia="FangSong" w:cs="Aptos"/>
        </w:rPr>
        <w:t>90 天、24 个月与 2030 路线图</w:t>
      </w:r>
    </w:p>
    <w:p>
      <w:pPr>
        <w:keepLines/>
      </w:pPr>
      <w:r>
        <w:rPr>
          <w:rFonts w:ascii="Aptos" w:hAnsi="Aptos" w:eastAsia="FangSong" w:cs="Aptos"/>
          <w:color w:val="6A6A6A"/>
          <w:sz w:val="21"/>
        </w:rPr>
        <w:t>按闸门推进：先结构与治理，再州务/EIN/银行/募资，随后完整 1023 和两年证据积累。</w:t>
      </w:r>
    </w:p>
    <w:p>
      <w:pPr>
        <w:spacing w:after="180"/>
        <w:pBdr>
          <w:bottom w:val="single" w:sz="10" w:space="1" w:color="111111"/>
        </w:pBdr>
      </w:pPr>
    </w:p>
    <w:p>
      <w:pPr>
        <w:pStyle w:val="Heading2"/>
      </w:pPr>
      <w:r>
        <w:rPr>
          <w:rFonts w:ascii="Aptos" w:hAnsi="Aptos" w:eastAsia="FangSong" w:cs="Aptos"/>
        </w:rPr>
        <w:t>16.1 启动后 90 天</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151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时间</w:t>
            </w:r>
          </w:p>
        </w:tc>
        <w:tc>
          <w:tcPr>
            <w:tcW w:type="dxa" w:w="597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执行事项</w:t>
            </w:r>
          </w:p>
        </w:tc>
        <w:tc>
          <w:tcPr>
            <w:tcW w:type="dxa" w:w="208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完成标准</w:t>
            </w:r>
          </w:p>
        </w:tc>
      </w:tr>
      <w:tr>
        <w:trPr>
          <w:cantSplit/>
        </w:trPr>
        <w:tc>
          <w:tcPr>
            <w:tcW w:type="dxa" w:w="15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Day 0–7</w:t>
            </w:r>
          </w:p>
        </w:tc>
        <w:tc>
          <w:tcPr>
            <w:tcW w:type="dxa" w:w="59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结构法律意见；董事候选；地址/RA；银行预核；名称/商标检索；12 个月活动/预算。</w:t>
            </w:r>
          </w:p>
        </w:tc>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Gate 0 memorandum + no-DBA decision + filed checklist。</w:t>
            </w:r>
          </w:p>
        </w:tc>
      </w:tr>
      <w:tr>
        <w:trPr>
          <w:cantSplit/>
        </w:trPr>
        <w:tc>
          <w:tcPr>
            <w:tcW w:type="dxa" w:w="15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Day 8–14</w:t>
            </w:r>
          </w:p>
        </w:tc>
        <w:tc>
          <w:tcPr>
            <w:tcW w:type="dxa" w:w="59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提交 Colorado Articles；下载 Good Standing；签初始董事会一致书面同意和政策。</w:t>
            </w:r>
          </w:p>
        </w:tc>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实体 Good Standing；完整 corporate record book。</w:t>
            </w:r>
          </w:p>
        </w:tc>
      </w:tr>
      <w:tr>
        <w:trPr>
          <w:cantSplit/>
        </w:trPr>
        <w:tc>
          <w:tcPr>
            <w:tcW w:type="dxa" w:w="15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Day 15–30</w:t>
            </w:r>
          </w:p>
        </w:tc>
        <w:tc>
          <w:tcPr>
            <w:tcW w:type="dxa" w:w="59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按实际经营地申请 EIN；开户预约；会计系统；Colorado charity registration（募资前）。</w:t>
            </w:r>
          </w:p>
        </w:tc>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EIN notice；银行 application；fundraising hold/release 记录。</w:t>
            </w:r>
          </w:p>
        </w:tc>
      </w:tr>
      <w:tr>
        <w:trPr>
          <w:cantSplit/>
        </w:trPr>
        <w:tc>
          <w:tcPr>
            <w:tcW w:type="dxa" w:w="15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Day 31–45</w:t>
            </w:r>
          </w:p>
        </w:tc>
        <w:tc>
          <w:tcPr>
            <w:tcW w:type="dxa" w:w="59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网站最小合规版；合同模板；隐私/青少年 scope；PRC 活动路径预审；保险报价。</w:t>
            </w:r>
          </w:p>
        </w:tc>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不夸大税务/UN status；数据地图和 PRC memo。</w:t>
            </w:r>
          </w:p>
        </w:tc>
      </w:tr>
      <w:tr>
        <w:trPr>
          <w:cantSplit/>
        </w:trPr>
        <w:tc>
          <w:tcPr>
            <w:tcW w:type="dxa" w:w="15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Day 46–75</w:t>
            </w:r>
          </w:p>
        </w:tc>
        <w:tc>
          <w:tcPr>
            <w:tcW w:type="dxa" w:w="59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完整 Form 1023 narrative、financials、classification、关联交易/IP、附件。</w:t>
            </w:r>
          </w:p>
        </w:tc>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Board/CPA/counsel redline close。</w:t>
            </w:r>
          </w:p>
        </w:tc>
      </w:tr>
      <w:tr>
        <w:trPr>
          <w:cantSplit/>
        </w:trPr>
        <w:tc>
          <w:tcPr>
            <w:tcW w:type="dxa" w:w="15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Day 76–90</w:t>
            </w:r>
          </w:p>
        </w:tc>
        <w:tc>
          <w:tcPr>
            <w:tcW w:type="dxa" w:w="59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董事会批准；Pay.gov 提交；建立 IRS response log；启动 ECOSOC evidence matrix。</w:t>
            </w:r>
          </w:p>
        </w:tc>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submission receipt + version-locked application。</w:t>
            </w:r>
          </w:p>
        </w:tc>
      </w:tr>
    </w:tbl>
    <w:p>
      <w:pPr>
        <w:spacing w:after="0"/>
      </w:pPr>
    </w:p>
    <w:p>
      <w:pPr>
        <w:pStyle w:val="Heading2"/>
      </w:pPr>
      <w:r>
        <w:rPr>
          <w:rFonts w:ascii="Aptos" w:hAnsi="Aptos" w:eastAsia="FangSong" w:cs="Aptos"/>
        </w:rPr>
        <w:t>16.2 24 个月运营轨道</w:t>
      </w:r>
    </w:p>
    <w:tbl>
      <w:tblPr>
        <w:tblW w:type="dxa" w:w="9360"/>
        <w:tblLayout w:type="fixed"/>
        <w:tblLook w:firstColumn="1" w:firstRow="1" w:lastColumn="0" w:lastRow="0" w:noHBand="0" w:noVBand="1" w:val="04A0"/>
        <w:jc w:val="center"/>
        <w:tblInd w:w="120" w:type="dxa"/>
      </w:tblPr>
      <w:tblGrid>
        <w:gridCol w:w="2426"/>
        <w:gridCol w:w="2426"/>
        <w:gridCol w:w="2426"/>
        <w:gridCol w:w="2426"/>
      </w:tblGrid>
      <w:tr>
        <w:trPr>
          <w:tblHeader w:val="true"/>
          <w:cantSplit/>
        </w:trPr>
        <w:tc>
          <w:tcPr>
            <w:tcW w:type="dxa" w:w="1656"/>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阶段</w:t>
            </w:r>
          </w:p>
        </w:tc>
        <w:tc>
          <w:tcPr>
            <w:tcW w:type="dxa" w:w="3096"/>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项目与治理</w:t>
            </w:r>
          </w:p>
        </w:tc>
        <w:tc>
          <w:tcPr>
            <w:tcW w:type="dxa" w:w="2880"/>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财务与合规</w:t>
            </w:r>
          </w:p>
        </w:tc>
        <w:tc>
          <w:tcPr>
            <w:tcW w:type="dxa" w:w="1944"/>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ECOSOC 证据</w:t>
            </w:r>
          </w:p>
        </w:tc>
      </w:tr>
      <w:tr>
        <w:trPr>
          <w:cantSplit/>
        </w:trPr>
        <w:tc>
          <w:tcPr>
            <w:tcW w:type="dxa" w:w="165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Months 1–3</w:t>
            </w:r>
          </w:p>
        </w:tc>
        <w:tc>
          <w:tcPr>
            <w:tcW w:type="dxa" w:w="30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启动 1–2 个可完成的公共研究/教育项目；避免过度扩张。</w:t>
            </w:r>
          </w:p>
        </w:tc>
        <w:tc>
          <w:tcPr>
            <w:tcW w:type="dxa" w:w="288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银行、bookkeeping、保险、charity reg、1023。</w:t>
            </w:r>
          </w:p>
        </w:tc>
        <w:tc>
          <w:tcPr>
            <w:tcW w:type="dxa" w:w="194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建立索引；公开治理/使命。</w:t>
            </w:r>
          </w:p>
        </w:tc>
      </w:tr>
      <w:tr>
        <w:trPr>
          <w:cantSplit/>
        </w:trPr>
        <w:tc>
          <w:tcPr>
            <w:tcW w:type="dxa" w:w="165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Months 4–12</w:t>
            </w:r>
          </w:p>
        </w:tc>
        <w:tc>
          <w:tcPr>
            <w:tcW w:type="dxa" w:w="30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发布首批报告/活动；每季度董事会；评估结果。</w:t>
            </w:r>
          </w:p>
        </w:tc>
        <w:tc>
          <w:tcPr>
            <w:tcW w:type="dxa" w:w="288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首次 short-year close、990 准备、public support 模型。</w:t>
            </w:r>
          </w:p>
        </w:tc>
        <w:tc>
          <w:tcPr>
            <w:tcW w:type="dxa" w:w="194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每项目保存合同、成果、受益人指标。</w:t>
            </w:r>
          </w:p>
        </w:tc>
      </w:tr>
      <w:tr>
        <w:trPr>
          <w:cantSplit/>
        </w:trPr>
        <w:tc>
          <w:tcPr>
            <w:tcW w:type="dxa" w:w="165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Months 13–18</w:t>
            </w:r>
          </w:p>
        </w:tc>
        <w:tc>
          <w:tcPr>
            <w:tcW w:type="dxa" w:w="309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第二年度计划；扩大合作但保持独立。</w:t>
            </w:r>
          </w:p>
        </w:tc>
        <w:tc>
          <w:tcPr>
            <w:tcW w:type="dxa" w:w="288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990/州续报、foreign schedule、薪酬/关联交易年度复核。</w:t>
            </w:r>
          </w:p>
        </w:tc>
        <w:tc>
          <w:tcPr>
            <w:tcW w:type="dxa" w:w="194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英文年度报告、财务摘要和 UN relevance。</w:t>
            </w:r>
          </w:p>
        </w:tc>
      </w:tr>
      <w:tr>
        <w:trPr>
          <w:cantSplit/>
        </w:trPr>
        <w:tc>
          <w:tcPr>
            <w:tcW w:type="dxa" w:w="165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Months 19–24</w:t>
            </w:r>
          </w:p>
        </w:tc>
        <w:tc>
          <w:tcPr>
            <w:tcW w:type="dxa" w:w="309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完成至少两年可验证项目轨迹；外部复核成果。</w:t>
            </w:r>
          </w:p>
        </w:tc>
        <w:tc>
          <w:tcPr>
            <w:tcW w:type="dxa" w:w="288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第二年财务关账计划；Good Standing。</w:t>
            </w:r>
          </w:p>
        </w:tc>
        <w:tc>
          <w:tcPr>
            <w:tcW w:type="dxa" w:w="194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两年 gap analysis；但若 2026-08 成立仍不能赶 2028-06-01。</w:t>
            </w:r>
          </w:p>
        </w:tc>
      </w:tr>
    </w:tbl>
    <w:p>
      <w:pPr>
        <w:spacing w:after="0"/>
      </w:pPr>
    </w:p>
    <w:p>
      <w:pPr>
        <w:pStyle w:val="Heading2"/>
      </w:pPr>
      <w:r>
        <w:rPr>
          <w:rFonts w:ascii="Aptos" w:hAnsi="Aptos" w:eastAsia="FangSong" w:cs="Aptos"/>
        </w:rPr>
        <w:t>16.3 2028–2030</w:t>
      </w:r>
    </w:p>
    <w:tbl>
      <w:tblPr>
        <w:tblW w:type="dxa" w:w="9360"/>
        <w:tblLayout w:type="fixed"/>
        <w:tblLook w:firstColumn="1" w:firstRow="1" w:lastColumn="0" w:lastRow="0" w:noHBand="0" w:noVBand="1" w:val="04A0"/>
        <w:jc w:val="center"/>
        <w:tblInd w:w="120" w:type="dxa"/>
      </w:tblPr>
      <w:tblGrid>
        <w:gridCol w:w="4853"/>
        <w:gridCol w:w="4853"/>
      </w:tblGrid>
      <w:tr>
        <w:trPr>
          <w:tblHeader w:val="true"/>
          <w:cantSplit/>
        </w:trPr>
        <w:tc>
          <w:tcPr>
            <w:tcW w:type="dxa" w:w="237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时间</w:t>
            </w:r>
          </w:p>
        </w:tc>
        <w:tc>
          <w:tcPr>
            <w:tcW w:type="dxa" w:w="720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动作</w:t>
            </w:r>
          </w:p>
        </w:tc>
      </w:tr>
      <w:tr>
        <w:trPr>
          <w:cantSplit/>
        </w:trPr>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2028-08（示例）</w:t>
            </w:r>
          </w:p>
        </w:tc>
        <w:tc>
          <w:tcPr>
            <w:tcW w:type="dxa" w:w="72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成立满两年；生成 legal existence certificate、两年活动/财务索引；继续运营。</w:t>
            </w:r>
          </w:p>
        </w:tc>
      </w:tr>
      <w:tr>
        <w:trPr>
          <w:cantSplit/>
        </w:trPr>
        <w:tc>
          <w:tcPr>
            <w:tcW w:type="dxa" w:w="23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2028 Q4</w:t>
            </w:r>
          </w:p>
        </w:tc>
        <w:tc>
          <w:tcPr>
            <w:tcW w:type="dxa" w:w="72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对照当年 ECOSOC questionnaire 做 gap analysis；补齐英文 Bylaws/财务/成果。</w:t>
            </w:r>
          </w:p>
        </w:tc>
      </w:tr>
      <w:tr>
        <w:trPr>
          <w:cantSplit/>
        </w:trPr>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2029 Q1</w:t>
            </w:r>
          </w:p>
        </w:tc>
        <w:tc>
          <w:tcPr>
            <w:tcW w:type="dxa" w:w="72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董事会批准申请策略；更新 iCSO profile；准备 questionnaire 和翻译。</w:t>
            </w:r>
          </w:p>
        </w:tc>
      </w:tr>
      <w:tr>
        <w:trPr>
          <w:cantSplit/>
        </w:trPr>
        <w:tc>
          <w:tcPr>
            <w:tcW w:type="dxa" w:w="23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2029-04</w:t>
            </w:r>
          </w:p>
        </w:tc>
        <w:tc>
          <w:tcPr>
            <w:tcW w:type="dxa" w:w="72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内部 freeze；律师、财务和董事会逐项核对。</w:t>
            </w:r>
          </w:p>
        </w:tc>
      </w:tr>
      <w:tr>
        <w:trPr>
          <w:cantSplit/>
        </w:trPr>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不晚于 2029-06-01</w:t>
            </w:r>
          </w:p>
        </w:tc>
        <w:tc>
          <w:tcPr>
            <w:tcW w:type="dxa" w:w="72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提交最早合格的 ECOSOC application；保存 confirmation。</w:t>
            </w:r>
          </w:p>
        </w:tc>
      </w:tr>
      <w:tr>
        <w:trPr>
          <w:cantSplit/>
        </w:trPr>
        <w:tc>
          <w:tcPr>
            <w:tcW w:type="dxa" w:w="23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2030 sessions</w:t>
            </w:r>
          </w:p>
        </w:tc>
        <w:tc>
          <w:tcPr>
            <w:tcW w:type="dxa" w:w="72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监控 Committee questions；按证据回复；接受可能 deferral。</w:t>
            </w:r>
          </w:p>
        </w:tc>
      </w:tr>
      <w:tr>
        <w:trPr>
          <w:cantSplit/>
        </w:trPr>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获批后</w:t>
            </w:r>
          </w:p>
        </w:tc>
        <w:tc>
          <w:tcPr>
            <w:tcW w:type="dxa" w:w="72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依会议规则申请代表/ground passes；建立 quadrennial-report 日历；隔离商业宣传。</w:t>
            </w:r>
          </w:p>
        </w:tc>
      </w:tr>
    </w:tbl>
    <w:p>
      <w:pPr>
        <w:spacing w:after="0"/>
      </w:pPr>
    </w:p>
    <w:p>
      <w:pPr>
        <w:pStyle w:val="Heading2"/>
      </w:pPr>
      <w:r>
        <w:rPr>
          <w:rFonts w:ascii="Aptos" w:hAnsi="Aptos" w:eastAsia="FangSong" w:cs="Aptos"/>
        </w:rPr>
        <w:t>16.4 预计硬成本（不含律师、CPA、银行、保险、翻译、差旅）</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324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项目</w:t>
            </w:r>
          </w:p>
        </w:tc>
        <w:tc>
          <w:tcPr>
            <w:tcW w:type="dxa" w:w="223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核验日价格/费用</w:t>
            </w:r>
          </w:p>
        </w:tc>
        <w:tc>
          <w:tcPr>
            <w:tcW w:type="dxa" w:w="410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说明</w:t>
            </w:r>
          </w:p>
        </w:tc>
      </w:tr>
      <w:tr>
        <w:trPr>
          <w:cantSplit/>
        </w:trPr>
        <w:tc>
          <w:tcPr>
            <w:tcW w:type="dxa" w:w="32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Colorado Registered Agent</w:t>
            </w:r>
          </w:p>
        </w:tc>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$35 / year</w:t>
            </w:r>
          </w:p>
        </w:tc>
        <w:tc>
          <w:tcPr>
            <w:tcW w:type="dxa" w:w="41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服务商当前页面；续费和附加服务会变。</w:t>
            </w:r>
          </w:p>
        </w:tc>
      </w:tr>
      <w:tr>
        <w:trPr>
          <w:cantSplit/>
        </w:trPr>
        <w:tc>
          <w:tcPr>
            <w:tcW w:type="dxa" w:w="32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Virtual Office</w:t>
            </w:r>
          </w:p>
        </w:tc>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$19 / month</w:t>
            </w:r>
          </w:p>
        </w:tc>
        <w:tc>
          <w:tcPr>
            <w:tcW w:type="dxa" w:w="410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约 $228/年；转寄、会议室、电话等可能另费。</w:t>
            </w:r>
          </w:p>
        </w:tc>
      </w:tr>
      <w:tr>
        <w:trPr>
          <w:cantSplit/>
        </w:trPr>
        <w:tc>
          <w:tcPr>
            <w:tcW w:type="dxa" w:w="32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Colorado Articles</w:t>
            </w:r>
          </w:p>
        </w:tc>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$50</w:t>
            </w:r>
          </w:p>
        </w:tc>
        <w:tc>
          <w:tcPr>
            <w:tcW w:type="dxa" w:w="41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官方 fee schedule。</w:t>
            </w:r>
          </w:p>
        </w:tc>
      </w:tr>
      <w:tr>
        <w:trPr>
          <w:cantSplit/>
        </w:trPr>
        <w:tc>
          <w:tcPr>
            <w:tcW w:type="dxa" w:w="32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Trade Name</w:t>
            </w:r>
          </w:p>
        </w:tc>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$20</w:t>
            </w:r>
          </w:p>
        </w:tc>
        <w:tc>
          <w:tcPr>
            <w:tcW w:type="dxa" w:w="410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本手册建议暂缓；只有结构闸门通过后才计。</w:t>
            </w:r>
          </w:p>
        </w:tc>
      </w:tr>
      <w:tr>
        <w:trPr>
          <w:cantSplit/>
        </w:trPr>
        <w:tc>
          <w:tcPr>
            <w:tcW w:type="dxa" w:w="32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Periodic Report</w:t>
            </w:r>
          </w:p>
        </w:tc>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$25 / year</w:t>
            </w:r>
          </w:p>
        </w:tc>
        <w:tc>
          <w:tcPr>
            <w:tcW w:type="dxa" w:w="41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另注意 late penalty。</w:t>
            </w:r>
          </w:p>
        </w:tc>
      </w:tr>
      <w:tr>
        <w:trPr>
          <w:cantSplit/>
        </w:trPr>
        <w:tc>
          <w:tcPr>
            <w:tcW w:type="dxa" w:w="32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Colorado charity registration</w:t>
            </w:r>
          </w:p>
        </w:tc>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$10</w:t>
            </w:r>
          </w:p>
        </w:tc>
        <w:tc>
          <w:tcPr>
            <w:tcW w:type="dxa" w:w="410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当前初次登记费；续报费用提交日核对。</w:t>
            </w:r>
          </w:p>
        </w:tc>
      </w:tr>
      <w:tr>
        <w:trPr>
          <w:cantSplit/>
        </w:trPr>
        <w:tc>
          <w:tcPr>
            <w:tcW w:type="dxa" w:w="32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IRS full Form 1023</w:t>
            </w:r>
          </w:p>
        </w:tc>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$600</w:t>
            </w:r>
          </w:p>
        </w:tc>
        <w:tc>
          <w:tcPr>
            <w:tcW w:type="dxa" w:w="41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Pay.gov user fee。</w:t>
            </w:r>
          </w:p>
        </w:tc>
      </w:tr>
      <w:tr>
        <w:trPr>
          <w:cantSplit/>
        </w:trPr>
        <w:tc>
          <w:tcPr>
            <w:tcW w:type="dxa" w:w="32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Base first-year total</w:t>
            </w:r>
          </w:p>
        </w:tc>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约 $948（不含 DBA）</w:t>
            </w:r>
          </w:p>
        </w:tc>
        <w:tc>
          <w:tcPr>
            <w:tcW w:type="dxa" w:w="410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$35 + $228 + $50 + $25 + $10 + $600；不含税、邮寄和专业费。</w:t>
            </w:r>
          </w:p>
        </w:tc>
      </w:tr>
    </w:tbl>
    <w:p>
      <w:pPr>
        <w:spacing w:after="0"/>
      </w:pPr>
    </w:p>
    <w:p>
      <w:pPr>
        <w:pStyle w:val="Heading2"/>
      </w:pPr>
      <w:r>
        <w:rPr>
          <w:rFonts w:ascii="Aptos" w:hAnsi="Aptos" w:eastAsia="FangSong" w:cs="Aptos"/>
        </w:rPr>
        <w:t>16.5 责任分工</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244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角色</w:t>
            </w:r>
          </w:p>
        </w:tc>
        <w:tc>
          <w:tcPr>
            <w:tcW w:type="dxa" w:w="453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主责</w:t>
            </w:r>
          </w:p>
        </w:tc>
        <w:tc>
          <w:tcPr>
            <w:tcW w:type="dxa" w:w="259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不可替代</w:t>
            </w:r>
          </w:p>
        </w:tc>
      </w:tr>
      <w:tr>
        <w:trPr>
          <w:cantSplit/>
        </w:trPr>
        <w:tc>
          <w:tcPr>
            <w:tcW w:type="dxa" w:w="24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Founder/CEO</w:t>
            </w:r>
          </w:p>
        </w:tc>
        <w:tc>
          <w:tcPr>
            <w:tcW w:type="dxa" w:w="453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事实、项目、合作、筹资、日常执行和完整披露。</w:t>
            </w:r>
          </w:p>
        </w:tc>
        <w:tc>
          <w:tcPr>
            <w:tcW w:type="dxa" w:w="25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不得自己批准自己的薪酬/关联交易。</w:t>
            </w:r>
          </w:p>
        </w:tc>
      </w:tr>
      <w:tr>
        <w:trPr>
          <w:cantSplit/>
        </w:trPr>
        <w:tc>
          <w:tcPr>
            <w:tcW w:type="dxa" w:w="24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Board Chair / independent directors</w:t>
            </w:r>
          </w:p>
        </w:tc>
        <w:tc>
          <w:tcPr>
            <w:tcW w:type="dxa" w:w="453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监督、回避、薪酬、关联交易、预算、风险、CEO 问责。</w:t>
            </w:r>
          </w:p>
        </w:tc>
        <w:tc>
          <w:tcPr>
            <w:tcW w:type="dxa" w:w="25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不能只签名、不读材料或事后补记录。</w:t>
            </w:r>
          </w:p>
        </w:tc>
      </w:tr>
      <w:tr>
        <w:trPr>
          <w:cantSplit/>
        </w:trPr>
        <w:tc>
          <w:tcPr>
            <w:tcW w:type="dxa" w:w="24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Secretary</w:t>
            </w:r>
          </w:p>
        </w:tc>
        <w:tc>
          <w:tcPr>
            <w:tcW w:type="dxa" w:w="453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Articles、Bylaws、minutes、consents、policies、entity calendar。</w:t>
            </w:r>
          </w:p>
        </w:tc>
        <w:tc>
          <w:tcPr>
            <w:tcW w:type="dxa" w:w="25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保持完整、及时、不可篡改记录。</w:t>
            </w:r>
          </w:p>
        </w:tc>
      </w:tr>
      <w:tr>
        <w:trPr>
          <w:cantSplit/>
        </w:trPr>
        <w:tc>
          <w:tcPr>
            <w:tcW w:type="dxa" w:w="24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Treasurer / CPA</w:t>
            </w:r>
          </w:p>
        </w:tc>
        <w:tc>
          <w:tcPr>
            <w:tcW w:type="dxa" w:w="453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预算、会计、对账、990、public support、foreign reporting、payroll。</w:t>
            </w:r>
          </w:p>
        </w:tc>
        <w:tc>
          <w:tcPr>
            <w:tcW w:type="dxa" w:w="25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分类必须基于合同和事实。</w:t>
            </w:r>
          </w:p>
        </w:tc>
      </w:tr>
      <w:tr>
        <w:trPr>
          <w:cantSplit/>
        </w:trPr>
        <w:tc>
          <w:tcPr>
            <w:tcW w:type="dxa" w:w="24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U.S. nonprofit counsel</w:t>
            </w:r>
          </w:p>
        </w:tc>
        <w:tc>
          <w:tcPr>
            <w:tcW w:type="dxa" w:w="453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Articles、1023、private benefit、lobbying、fundraising、contracts。</w:t>
            </w:r>
          </w:p>
        </w:tc>
        <w:tc>
          <w:tcPr>
            <w:tcW w:type="dxa" w:w="25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关联 IP/商业结构是首要复核。</w:t>
            </w:r>
          </w:p>
        </w:tc>
      </w:tr>
      <w:tr>
        <w:trPr>
          <w:cantSplit/>
        </w:trPr>
        <w:tc>
          <w:tcPr>
            <w:tcW w:type="dxa" w:w="24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PRC counsel / Chinese Partner Unit</w:t>
            </w:r>
          </w:p>
        </w:tc>
        <w:tc>
          <w:tcPr>
            <w:tcW w:type="dxa" w:w="453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境外 NGO 路径、备案、数据、合同、境内资金和活动。</w:t>
            </w:r>
          </w:p>
        </w:tc>
        <w:tc>
          <w:tcPr>
            <w:tcW w:type="dxa" w:w="25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未备案前不能以 GPTI 名义在上海落地。</w:t>
            </w:r>
          </w:p>
        </w:tc>
      </w:tr>
      <w:tr>
        <w:trPr>
          <w:cantSplit/>
        </w:trPr>
        <w:tc>
          <w:tcPr>
            <w:tcW w:type="dxa" w:w="24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Data/safeguarding lead</w:t>
            </w:r>
          </w:p>
        </w:tc>
        <w:tc>
          <w:tcPr>
            <w:tcW w:type="dxa" w:w="453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COPPA/PIPL/GDPR scope、consent、vendors、incidents、youth safety。</w:t>
            </w:r>
          </w:p>
        </w:tc>
        <w:tc>
          <w:tcPr>
            <w:tcW w:type="dxa" w:w="25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不能把隐私交给产品默认设置。</w:t>
            </w:r>
          </w:p>
        </w:tc>
      </w:tr>
    </w:tbl>
    <w:p>
      <w:pPr>
        <w:spacing w:after="0"/>
      </w:pPr>
    </w:p>
    <w:tbl>
      <w:tblPr>
        <w:tblW w:type="dxa" w:w="9360"/>
        <w:jc w:val="center"/>
        <w:tblLayout w:type="fixed"/>
        <w:tblLook w:firstColumn="1" w:firstRow="1" w:lastColumn="0" w:lastRow="0" w:noHBand="0" w:noVBand="1" w:val="04A0"/>
        <w:tblInd w:w="120" w:type="dxa"/>
      </w:tblPr>
      <w:tblGrid>
        <w:gridCol w:w="9706"/>
      </w:tblGrid>
      <w:tr>
        <w:tc>
          <w:tcPr>
            <w:tcW w:type="dxa" w:w="9706"/>
            <w:shd w:fill="EDEDED"/>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GO / NO-GO  </w:t>
            </w:r>
            <w:r>
              <w:rPr>
                <w:rFonts w:ascii="Aptos" w:hAnsi="Aptos" w:eastAsia="FangSong" w:cs="Aptos"/>
                <w:b w:val="0"/>
                <w:color w:val="303030"/>
                <w:sz w:val="19"/>
              </w:rPr>
              <w:t>只有 Gate 0 结构备忘录、独立董事会、真实地址/EIN 路径、银行预核、募资登记计划和中国活动法律路径全部明确后，项目才进入 GO。任何一项为“以后补”，就保持 NO-GO。</w:t>
            </w:r>
          </w:p>
        </w:tc>
      </w:tr>
    </w:tbl>
    <w:p>
      <w:pPr>
        <w:spacing w:after="0"/>
      </w:pPr>
    </w:p>
    <w:p>
      <w:r>
        <w:br w:type="page"/>
      </w:r>
    </w:p>
    <w:p>
      <w:pPr>
        <w:spacing w:after="40"/>
      </w:pPr>
      <w:r>
        <w:rPr>
          <w:rFonts w:ascii="Aptos" w:hAnsi="Aptos" w:eastAsia="Microsoft YaHei" w:cs="Aptos"/>
          <w:b/>
          <w:color w:val="6A6A6A"/>
          <w:sz w:val="16"/>
        </w:rPr>
        <w:t>MODULE A</w:t>
      </w:r>
    </w:p>
    <w:p>
      <w:pPr>
        <w:pStyle w:val="Heading1"/>
      </w:pPr>
      <w:r>
        <w:rPr>
          <w:rFonts w:ascii="Aptos" w:hAnsi="Aptos" w:eastAsia="FangSong" w:cs="Aptos"/>
        </w:rPr>
        <w:t>附录 A｜Colorado Articles 可复制条款</w:t>
      </w:r>
    </w:p>
    <w:p>
      <w:pPr>
        <w:keepLines/>
      </w:pPr>
      <w:r>
        <w:rPr>
          <w:rFonts w:ascii="Aptos" w:hAnsi="Aptos" w:eastAsia="FangSong" w:cs="Aptos"/>
          <w:color w:val="6A6A6A"/>
          <w:sz w:val="21"/>
        </w:rPr>
        <w:t>先由美国非营利律师结合真实活动和 IP 结构复核；PURPOSES 作为 Additional Information，DISSOLUTION 放入表单专用框。</w:t>
      </w:r>
    </w:p>
    <w:p>
      <w:pPr>
        <w:spacing w:after="180"/>
        <w:pBdr>
          <w:bottom w:val="single" w:sz="10" w:space="1" w:color="111111"/>
        </w:pBdr>
      </w:pPr>
    </w:p>
    <w:p>
      <w:pPr>
        <w:pStyle w:val="Heading2"/>
      </w:pPr>
      <w:r>
        <w:rPr>
          <w:rFonts w:ascii="Aptos" w:hAnsi="Aptos" w:eastAsia="FangSong" w:cs="Aptos"/>
        </w:rPr>
        <w:t>A.1 Additional Information PDF</w:t>
      </w:r>
    </w:p>
    <w:tbl>
      <w:tblPr>
        <w:tblW w:type="dxa" w:w="9360"/>
        <w:jc w:val="center"/>
        <w:tblLayout w:type="fixed"/>
        <w:tblLook w:firstColumn="1" w:firstRow="1" w:lastColumn="0" w:lastRow="0" w:noHBand="0" w:noVBand="1" w:val="04A0"/>
        <w:tblInd w:w="120" w:type="dxa"/>
      </w:tblPr>
      <w:tblGrid>
        <w:gridCol w:w="9706"/>
      </w:tblGrid>
      <w:tr>
        <w:tc>
          <w:tcPr>
            <w:tcW w:type="dxa" w:w="9706"/>
            <w:shd w:fill="F7F7F7"/>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文件头  </w:t>
            </w:r>
            <w:r>
              <w:rPr>
                <w:rFonts w:ascii="Aptos" w:hAnsi="Aptos" w:eastAsia="FangSong" w:cs="Aptos"/>
                <w:b w:val="0"/>
                <w:color w:val="303030"/>
                <w:sz w:val="19"/>
              </w:rPr>
              <w:t>GLOBAL PROSPERITY AND TRANSITION INITIATIVE, INC.</w:t>
              <w:br/>
              <w:t>ADDITIONAL INFORMATION TO ARTICLES OF INCORPORATION</w:t>
              <w:br/>
              <w:t>Entity ID: [leave blank until assigned / insert if amendment]</w:t>
            </w:r>
          </w:p>
        </w:tc>
      </w:tr>
    </w:tbl>
    <w:p>
      <w:pPr>
        <w:spacing w:after="0"/>
      </w:pPr>
    </w:p>
    <w:p>
      <w:pPr>
        <w:spacing w:line="276" w:lineRule="auto" w:after="120"/>
        <w:ind w:left="317" w:right="317"/>
      </w:pPr>
      <w:r>
        <w:rPr>
          <w:rFonts w:ascii="Aptos" w:hAnsi="Aptos" w:eastAsia="FangSong" w:cs="Aptos"/>
          <w:b w:val="0"/>
          <w:color w:val="303030"/>
          <w:sz w:val="18"/>
        </w:rPr>
        <w:t>PURPOSES AND LIMITATIONS</w:t>
        <w:br/>
        <w:br/>
        <w:t>The corporation is organized exclusively for charitable, educational, and scientific purposes within the meaning of section 501(c)(3) of the Internal Revenue Code, including, without limitation, conducting and disseminating nonpartisan research and public education concerning climate resilience, sustainable development, and equitable economic transition; developing and making available public-interest educational tools and methodologies; convening educational programs; and making distributions to organizations that qualify as exempt organizations under section 501(c)(3) of the Internal Revenue Code.</w:t>
        <w:br/>
        <w:br/>
        <w:t>No part of the net earnings of the corporation shall inure to the benefit of, or be distributable to, any director, officer, private shareholder, or other private person, except that the corporation shall be authorized and empowered to pay reasonable compensation for services rendered and to make payments and distributions in furtherance of the purposes set forth above.</w:t>
        <w:br/>
        <w:br/>
        <w:t>No substantial part of the activities of the corporation shall be the carrying on of propaganda, or otherwise attempting to influence legislation, except to the extent permitted by section 501(h) of the Internal Revenue Code if the corporation makes an effective election under that section. The corporation shall not participate in, or intervene in, any political campaign on behalf of or in opposition to any candidate for public office.</w:t>
        <w:br/>
        <w:br/>
        <w:t>Notwithstanding any other provision of these Articles, the corporation shall not carry on any activities not permitted to be carried on by a corporation exempt from federal income tax under section 501(c)(3) of the Internal Revenue Code, or by a corporation contributions to which are deductible under section 170(c)(2) of the Internal Revenue Code.</w:t>
      </w:r>
    </w:p>
    <w:tbl>
      <w:tblPr>
        <w:tblW w:type="dxa" w:w="9360"/>
        <w:jc w:val="center"/>
        <w:tblLayout w:type="fixed"/>
        <w:tblLook w:firstColumn="1" w:firstRow="1" w:lastColumn="0" w:lastRow="0" w:noHBand="0" w:noVBand="1" w:val="04A0"/>
        <w:tblInd w:w="120" w:type="dxa"/>
      </w:tblPr>
      <w:tblGrid>
        <w:gridCol w:w="9706"/>
      </w:tblGrid>
      <w:tr>
        <w:tc>
          <w:tcPr>
            <w:tcW w:type="dxa" w:w="9706"/>
            <w:shd w:fill="EDEDED"/>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复核重点  </w:t>
            </w:r>
            <w:r>
              <w:rPr>
                <w:rFonts w:ascii="Aptos" w:hAnsi="Aptos" w:eastAsia="FangSong" w:cs="Aptos"/>
                <w:b w:val="0"/>
                <w:color w:val="303030"/>
                <w:sz w:val="19"/>
              </w:rPr>
              <w:t>如果 GPTI 实际运营专有商业数据产品、收费认证或关联公司软件，不要只靠本目的条款解决。目的条款必须与 Part IV 的真实活动、IP 和合同一致。</w:t>
            </w:r>
          </w:p>
        </w:tc>
      </w:tr>
    </w:tbl>
    <w:p>
      <w:pPr>
        <w:spacing w:after="0"/>
      </w:pPr>
    </w:p>
    <w:p>
      <w:pPr>
        <w:pStyle w:val="Heading2"/>
      </w:pPr>
      <w:r>
        <w:rPr>
          <w:rFonts w:ascii="Aptos" w:hAnsi="Aptos" w:eastAsia="FangSong" w:cs="Aptos"/>
        </w:rPr>
        <w:t>A.2 Dissolution 专用文本框</w:t>
      </w:r>
    </w:p>
    <w:p>
      <w:pPr>
        <w:ind w:left="317" w:right="317"/>
      </w:pPr>
      <w:r>
        <w:rPr>
          <w:rFonts w:ascii="Aptos" w:hAnsi="Aptos" w:eastAsia="FangSong" w:cs="Aptos"/>
          <w:b w:val="0"/>
          <w:color w:val="303030"/>
          <w:sz w:val="18"/>
        </w:rPr>
        <w:t>Upon the dissolution of the corporation, assets shall be distributed for one or more exempt purposes within the meaning of section 501(c)(3) of the Internal Revenue Code, or the corresponding section of any future federal tax code, or shall be distributed to the federal government, or to a state or local government, for a public purpose. Any such assets not so disposed of shall be disposed of by a court of competent jurisdiction of the county in which the principal office of the corporation is then located, exclusively for such purposes or to such organization or organizations, as said court shall determine, which are organized and operated exclusively for such purposes.</w:t>
      </w:r>
    </w:p>
    <w:p>
      <w:r>
        <w:rPr>
          <w:rFonts w:ascii="Aptos" w:hAnsi="Aptos" w:eastAsia="FangSong" w:cs="Aptos"/>
          <w:color w:val="6A6A6A"/>
          <w:sz w:val="18"/>
        </w:rPr>
        <w:t>提交后在 filed PDF 中逐字确认两组条款都存在。若门户字数或附件方式变化，使用官方 instructions 和律师意见，不删减核心限制以硬塞入字段。</w:t>
      </w:r>
    </w:p>
    <w:p>
      <w:r>
        <w:br w:type="page"/>
      </w:r>
    </w:p>
    <w:p>
      <w:pPr>
        <w:spacing w:after="40"/>
      </w:pPr>
      <w:r>
        <w:rPr>
          <w:rFonts w:ascii="Aptos" w:hAnsi="Aptos" w:eastAsia="Microsoft YaHei" w:cs="Aptos"/>
          <w:b/>
          <w:color w:val="6A6A6A"/>
          <w:sz w:val="16"/>
        </w:rPr>
        <w:t>MODULE B</w:t>
      </w:r>
    </w:p>
    <w:p>
      <w:pPr>
        <w:pStyle w:val="Heading1"/>
      </w:pPr>
      <w:r>
        <w:rPr>
          <w:rFonts w:ascii="Aptos" w:hAnsi="Aptos" w:eastAsia="FangSong" w:cs="Aptos"/>
        </w:rPr>
        <w:t>附录 B｜初始董事会一致书面同意模板</w:t>
      </w:r>
    </w:p>
    <w:p>
      <w:pPr>
        <w:keepLines/>
      </w:pPr>
      <w:r>
        <w:rPr>
          <w:rFonts w:ascii="Aptos" w:hAnsi="Aptos" w:eastAsia="FangSong" w:cs="Aptos"/>
          <w:color w:val="6A6A6A"/>
          <w:sz w:val="21"/>
        </w:rPr>
        <w:t>把方括号替换为真实信息；全体初始董事在同一版本签署。</w:t>
      </w:r>
    </w:p>
    <w:p>
      <w:pPr>
        <w:spacing w:after="180"/>
        <w:pBdr>
          <w:bottom w:val="single" w:sz="10" w:space="1" w:color="111111"/>
        </w:pBdr>
      </w:pPr>
    </w:p>
    <w:p>
      <w:pPr>
        <w:pStyle w:val="Heading2"/>
      </w:pPr>
      <w:r>
        <w:rPr>
          <w:rFonts w:ascii="Aptos" w:hAnsi="Aptos" w:eastAsia="FangSong" w:cs="Aptos"/>
        </w:rPr>
        <w:t>UNANIMOUS WRITTEN CONSENT OF THE INITIAL BOARD OF DIRECTORS</w:t>
      </w:r>
    </w:p>
    <w:p>
      <w:pPr>
        <w:jc w:val="center"/>
      </w:pPr>
      <w:r>
        <w:rPr>
          <w:rFonts w:ascii="Aptos" w:hAnsi="Aptos" w:eastAsia="FangSong" w:cs="Aptos"/>
          <w:color w:val="303030"/>
          <w:sz w:val="20"/>
        </w:rPr>
        <w:t>OF GLOBAL PROSPERITY AND TRANSITION INITIATIVE, INC.</w:t>
      </w:r>
    </w:p>
    <w:p>
      <w:pPr>
        <w:jc w:val="center"/>
      </w:pPr>
      <w:r>
        <w:rPr>
          <w:rFonts w:ascii="Aptos" w:hAnsi="Aptos" w:eastAsia="FangSong" w:cs="Aptos"/>
          <w:color w:val="6A6A6A"/>
          <w:sz w:val="18"/>
        </w:rPr>
        <w:t>Effective Date: [Month Day, 2026]</w:t>
      </w:r>
    </w:p>
    <w:p>
      <w:r>
        <w:rPr>
          <w:rFonts w:ascii="Aptos" w:hAnsi="Aptos" w:eastAsia="FangSong" w:cs="Aptos"/>
        </w:rPr>
        <w:t>The undersigned, being all of the initial directors of Global Prosperity and Transition Initiative, Inc., a Colorado nonprofit corporation (the “Corporation”), adopt the following resolutions by unanimous written consent in lieu of an organizational meeting, subject to the Colorado Revised Nonprofit Corporation Act and the Corporation’s Articles of Incorporation.</w:t>
      </w:r>
    </w:p>
    <w:p>
      <w:pPr>
        <w:pStyle w:val="Heading3"/>
      </w:pPr>
      <w:r>
        <w:rPr>
          <w:rFonts w:ascii="Aptos" w:hAnsi="Aptos" w:eastAsia="FangSong" w:cs="Aptos"/>
        </w:rPr>
        <w:t>1. Formation</w:t>
      </w:r>
    </w:p>
    <w:p>
      <w:r>
        <w:rPr>
          <w:rFonts w:ascii="Aptos" w:hAnsi="Aptos" w:eastAsia="FangSong" w:cs="Aptos"/>
        </w:rPr>
        <w:t>RESOLVED, that the filing of the Articles of Incorporation with the Colorado Secretary of State on [date], effective [date], is ratified and approved; the filed Articles and current Certificate of Good Standing shall be placed in the Corporation’s records.</w:t>
      </w:r>
    </w:p>
    <w:p>
      <w:pPr>
        <w:pStyle w:val="Heading3"/>
      </w:pPr>
      <w:r>
        <w:rPr>
          <w:rFonts w:ascii="Aptos" w:hAnsi="Aptos" w:eastAsia="FangSong" w:cs="Aptos"/>
        </w:rPr>
        <w:t>2. Bylaws</w:t>
      </w:r>
    </w:p>
    <w:p>
      <w:r>
        <w:rPr>
          <w:rFonts w:ascii="Aptos" w:hAnsi="Aptos" w:eastAsia="FangSong" w:cs="Aptos"/>
        </w:rPr>
        <w:t>RESOLVED, that the Bylaws presented to the Board are adopted as the Bylaws of the Corporation, effective immediately, and the Secretary is directed to certify and maintain them with this consent.</w:t>
      </w:r>
    </w:p>
    <w:p>
      <w:pPr>
        <w:pStyle w:val="Heading3"/>
      </w:pPr>
      <w:r>
        <w:rPr>
          <w:rFonts w:ascii="Aptos" w:hAnsi="Aptos" w:eastAsia="FangSong" w:cs="Aptos"/>
        </w:rPr>
        <w:t>3. Initial Directors</w:t>
      </w:r>
    </w:p>
    <w:p>
      <w:r>
        <w:rPr>
          <w:rFonts w:ascii="Aptos" w:hAnsi="Aptos" w:eastAsia="FangSong" w:cs="Aptos"/>
        </w:rPr>
        <w:t>RESOLVED, that the directors listed on Schedule 1 are confirmed, each to serve for the term stated there or until a successor is elected and qualified, subject to earlier resignation or removal.</w:t>
      </w:r>
    </w:p>
    <w:p>
      <w:pPr>
        <w:pStyle w:val="Heading3"/>
      </w:pPr>
      <w:r>
        <w:rPr>
          <w:rFonts w:ascii="Aptos" w:hAnsi="Aptos" w:eastAsia="FangSong" w:cs="Aptos"/>
        </w:rPr>
        <w:t>4. Officers</w:t>
      </w:r>
    </w:p>
    <w:p>
      <w:r>
        <w:rPr>
          <w:rFonts w:ascii="Aptos" w:hAnsi="Aptos" w:eastAsia="FangSong" w:cs="Aptos"/>
        </w:rPr>
        <w:t>RESOLVED, that the persons listed on Schedule 1 are elected to the offices stated there, to serve under the Bylaws and further Board direction.</w:t>
      </w:r>
    </w:p>
    <w:p>
      <w:pPr>
        <w:pStyle w:val="Heading3"/>
      </w:pPr>
      <w:r>
        <w:rPr>
          <w:rFonts w:ascii="Aptos" w:hAnsi="Aptos" w:eastAsia="FangSong" w:cs="Aptos"/>
        </w:rPr>
        <w:t>5. Fiscal Year</w:t>
      </w:r>
    </w:p>
    <w:p>
      <w:r>
        <w:rPr>
          <w:rFonts w:ascii="Aptos" w:hAnsi="Aptos" w:eastAsia="FangSong" w:cs="Aptos"/>
        </w:rPr>
        <w:t>RESOLVED, that the Corporation’s fiscal and tax year shall end on December 31, unless later changed by the Board in consultation with its tax adviser.</w:t>
      </w:r>
    </w:p>
    <w:p>
      <w:pPr>
        <w:pStyle w:val="Heading3"/>
      </w:pPr>
      <w:r>
        <w:rPr>
          <w:rFonts w:ascii="Aptos" w:hAnsi="Aptos" w:eastAsia="FangSong" w:cs="Aptos"/>
        </w:rPr>
        <w:t>6. EIN</w:t>
      </w:r>
    </w:p>
    <w:p>
      <w:r>
        <w:rPr>
          <w:rFonts w:ascii="Aptos" w:hAnsi="Aptos" w:eastAsia="FangSong" w:cs="Aptos"/>
        </w:rPr>
        <w:t>RESOLVED, that [Name, Title] is authorized to apply for an employer identification number, using truthful principal-office and responsible-party information, and to retain all IRS notices.</w:t>
      </w:r>
    </w:p>
    <w:p>
      <w:pPr>
        <w:pStyle w:val="Heading3"/>
      </w:pPr>
      <w:r>
        <w:rPr>
          <w:rFonts w:ascii="Aptos" w:hAnsi="Aptos" w:eastAsia="FangSong" w:cs="Aptos"/>
        </w:rPr>
        <w:t>7. Federal Exemption</w:t>
      </w:r>
    </w:p>
    <w:p>
      <w:r>
        <w:rPr>
          <w:rFonts w:ascii="Aptos" w:hAnsi="Aptos" w:eastAsia="FangSong" w:cs="Aptos"/>
        </w:rPr>
        <w:t>RESOLVED, that the Corporation shall prepare and submit a complete Form 1023 seeking recognition under section 501(c)(3) and classification as a public charity, subject to final Board approval of the complete submission and attachments.</w:t>
      </w:r>
    </w:p>
    <w:p>
      <w:pPr>
        <w:pStyle w:val="Heading3"/>
      </w:pPr>
      <w:r>
        <w:rPr>
          <w:rFonts w:ascii="Aptos" w:hAnsi="Aptos" w:eastAsia="FangSong" w:cs="Aptos"/>
        </w:rPr>
        <w:t>8. Banking</w:t>
      </w:r>
    </w:p>
    <w:p>
      <w:r>
        <w:rPr>
          <w:rFonts w:ascii="Aptos" w:hAnsi="Aptos" w:eastAsia="FangSong" w:cs="Aptos"/>
        </w:rPr>
        <w:t>RESOLVED, that the Banking Resolution attached as Schedule 2 is adopted; no officer may commingle Corporation funds with personal or related business funds.</w:t>
      </w:r>
    </w:p>
    <w:p>
      <w:pPr>
        <w:pStyle w:val="Heading3"/>
      </w:pPr>
      <w:r>
        <w:rPr>
          <w:rFonts w:ascii="Aptos" w:hAnsi="Aptos" w:eastAsia="FangSong" w:cs="Aptos"/>
        </w:rPr>
        <w:t>9. Budget and Accounting</w:t>
      </w:r>
    </w:p>
    <w:p>
      <w:r>
        <w:rPr>
          <w:rFonts w:ascii="Aptos" w:hAnsi="Aptos" w:eastAsia="FangSong" w:cs="Aptos"/>
        </w:rPr>
        <w:t>RESOLVED, that the startup budget attached as Schedule 3 is approved; the Treasurer shall establish a chart of accounts, monthly reconciliation, restricted-fund tracking, and supporting-document requirements.</w:t>
      </w:r>
    </w:p>
    <w:p>
      <w:pPr>
        <w:pStyle w:val="Heading3"/>
      </w:pPr>
      <w:r>
        <w:rPr>
          <w:rFonts w:ascii="Aptos" w:hAnsi="Aptos" w:eastAsia="FangSong" w:cs="Aptos"/>
        </w:rPr>
        <w:t>10. Policies</w:t>
      </w:r>
    </w:p>
    <w:p>
      <w:r>
        <w:rPr>
          <w:rFonts w:ascii="Aptos" w:hAnsi="Aptos" w:eastAsia="FangSong" w:cs="Aptos"/>
        </w:rPr>
        <w:t>RESOLVED, that the Conflict of Interest, Compensation, Document Retention, Whistleblower, Expense Reimbursement, Foreign Project/OFAC, Privacy, and Safeguarding policies attached or listed on Schedule 4 are adopted.</w:t>
      </w:r>
    </w:p>
    <w:p>
      <w:pPr>
        <w:pStyle w:val="Heading3"/>
      </w:pPr>
      <w:r>
        <w:rPr>
          <w:rFonts w:ascii="Aptos" w:hAnsi="Aptos" w:eastAsia="FangSong" w:cs="Aptos"/>
        </w:rPr>
        <w:t>11. Annual Disclosures</w:t>
      </w:r>
    </w:p>
    <w:p>
      <w:r>
        <w:rPr>
          <w:rFonts w:ascii="Aptos" w:hAnsi="Aptos" w:eastAsia="FangSong" w:cs="Aptos"/>
        </w:rPr>
        <w:t>RESOLVED, that each director, officer, and key employee shall sign an initial and annual conflict disclosure; the Secretary shall maintain the disclosures and record recusals.</w:t>
      </w:r>
    </w:p>
    <w:p>
      <w:pPr>
        <w:pStyle w:val="Heading3"/>
      </w:pPr>
      <w:r>
        <w:rPr>
          <w:rFonts w:ascii="Aptos" w:hAnsi="Aptos" w:eastAsia="FangSong" w:cs="Aptos"/>
        </w:rPr>
        <w:t>12. Climate Passport Hold</w:t>
      </w:r>
    </w:p>
    <w:p>
      <w:r>
        <w:rPr>
          <w:rFonts w:ascii="Aptos" w:hAnsi="Aptos" w:eastAsia="FangSong" w:cs="Aptos"/>
        </w:rPr>
        <w:t>RESOLVED, that the Corporation shall not file or use “The Climate Passport” as a trade name, pay for or receive intellectual property or services from a related commercial entity, share data, or make a public sponsorship representation until disinterested directors approve a written structure, fair-market terms, and appropriate contracts after review by counsel.</w:t>
      </w:r>
    </w:p>
    <w:p>
      <w:pPr>
        <w:pStyle w:val="Heading3"/>
      </w:pPr>
      <w:r>
        <w:rPr>
          <w:rFonts w:ascii="Aptos" w:hAnsi="Aptos" w:eastAsia="FangSong" w:cs="Aptos"/>
        </w:rPr>
        <w:t>13. Charity Registration</w:t>
      </w:r>
    </w:p>
    <w:p>
      <w:r>
        <w:rPr>
          <w:rFonts w:ascii="Aptos" w:hAnsi="Aptos" w:eastAsia="FangSong" w:cs="Aptos"/>
        </w:rPr>
        <w:t>RESOLVED, that no person shall solicit charitable contributions in Colorado or other jurisdictions on behalf of the Corporation until the required registration analysis and filings are complete; [Name, Title] is authorized to make approved filings.</w:t>
      </w:r>
    </w:p>
    <w:p>
      <w:pPr>
        <w:pStyle w:val="Heading3"/>
      </w:pPr>
      <w:r>
        <w:rPr>
          <w:rFonts w:ascii="Aptos" w:hAnsi="Aptos" w:eastAsia="FangSong" w:cs="Aptos"/>
        </w:rPr>
        <w:t>14. Contracts</w:t>
      </w:r>
    </w:p>
    <w:p>
      <w:r>
        <w:rPr>
          <w:rFonts w:ascii="Aptos" w:hAnsi="Aptos" w:eastAsia="FangSong" w:cs="Aptos"/>
        </w:rPr>
        <w:t>RESOLVED, that contracts over $[threshold], all related-party arrangements, all foreign grants, all youth-data arrangements, and all obligations longer than [12] months require prior Board or authorized committee approval.</w:t>
      </w:r>
    </w:p>
    <w:p>
      <w:pPr>
        <w:pStyle w:val="Heading3"/>
      </w:pPr>
      <w:r>
        <w:rPr>
          <w:rFonts w:ascii="Aptos" w:hAnsi="Aptos" w:eastAsia="FangSong" w:cs="Aptos"/>
        </w:rPr>
        <w:t>15. Records</w:t>
      </w:r>
    </w:p>
    <w:p>
      <w:r>
        <w:rPr>
          <w:rFonts w:ascii="Aptos" w:hAnsi="Aptos" w:eastAsia="FangSong" w:cs="Aptos"/>
        </w:rPr>
        <w:t>RESOLVED, that the Secretary shall maintain an electronic corporate record book with version-controlled, signed, and dated copies of all governing documents, minutes, tax filings, government correspondence, and material contracts.</w:t>
      </w:r>
    </w:p>
    <w:p>
      <w:pPr>
        <w:pStyle w:val="Heading3"/>
      </w:pPr>
      <w:r>
        <w:rPr>
          <w:rFonts w:ascii="Aptos" w:hAnsi="Aptos" w:eastAsia="FangSong" w:cs="Aptos"/>
        </w:rPr>
        <w:t>16. Ratification</w:t>
      </w:r>
    </w:p>
    <w:p>
      <w:r>
        <w:rPr>
          <w:rFonts w:ascii="Aptos" w:hAnsi="Aptos" w:eastAsia="FangSong" w:cs="Aptos"/>
        </w:rPr>
        <w:t>RESOLVED, that authorized officers may take actions reasonably necessary to implement these resolutions, and all prior actions consistent with these resolutions are ratified, except no action violating the Articles, Bylaws, law, or conflict policy is ratified.</w:t>
      </w:r>
    </w:p>
    <w:p>
      <w:pPr>
        <w:pStyle w:val="Heading2"/>
      </w:pPr>
      <w:r>
        <w:rPr>
          <w:rFonts w:ascii="Aptos" w:hAnsi="Aptos" w:eastAsia="FangSong" w:cs="Aptos"/>
        </w:rPr>
        <w:t>Schedule 1 — Directors and Officers</w:t>
      </w:r>
    </w:p>
    <w:tbl>
      <w:tblPr>
        <w:tblW w:type="dxa" w:w="9360"/>
        <w:tblLayout w:type="fixed"/>
        <w:tblLook w:firstColumn="1" w:firstRow="1" w:lastColumn="0" w:lastRow="0" w:noHBand="0" w:noVBand="1" w:val="04A0"/>
        <w:jc w:val="center"/>
        <w:tblInd w:w="120" w:type="dxa"/>
      </w:tblPr>
      <w:tblGrid>
        <w:gridCol w:w="1941"/>
        <w:gridCol w:w="1941"/>
        <w:gridCol w:w="1941"/>
        <w:gridCol w:w="1941"/>
        <w:gridCol w:w="1941"/>
      </w:tblGrid>
      <w:tr>
        <w:trPr>
          <w:tblHeader w:val="true"/>
          <w:cantSplit/>
        </w:trPr>
        <w:tc>
          <w:tcPr>
            <w:tcW w:type="dxa" w:w="180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Name</w:t>
            </w:r>
          </w:p>
        </w:tc>
        <w:tc>
          <w:tcPr>
            <w:tcW w:type="dxa" w:w="180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Director term</w:t>
            </w:r>
          </w:p>
        </w:tc>
        <w:tc>
          <w:tcPr>
            <w:tcW w:type="dxa" w:w="187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Office</w:t>
            </w:r>
          </w:p>
        </w:tc>
        <w:tc>
          <w:tcPr>
            <w:tcW w:type="dxa" w:w="223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Independent?</w:t>
            </w:r>
          </w:p>
        </w:tc>
        <w:tc>
          <w:tcPr>
            <w:tcW w:type="dxa" w:w="187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Signature/date</w:t>
            </w:r>
          </w:p>
        </w:tc>
      </w:tr>
      <w:tr>
        <w:trPr>
          <w:cantSplit/>
        </w:trPr>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[Name 1]</w:t>
            </w:r>
          </w:p>
        </w:tc>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[date–date]</w:t>
            </w:r>
          </w:p>
        </w:tc>
        <w:tc>
          <w:tcPr>
            <w:tcW w:type="dxa" w:w="18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Board Chair</w:t>
            </w:r>
          </w:p>
        </w:tc>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Yes / No + reason</w:t>
            </w:r>
          </w:p>
        </w:tc>
        <w:tc>
          <w:tcPr>
            <w:tcW w:type="dxa" w:w="18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 ]</w:t>
            </w:r>
          </w:p>
        </w:tc>
      </w:tr>
      <w:tr>
        <w:trPr>
          <w:cantSplit/>
        </w:trPr>
        <w:tc>
          <w:tcPr>
            <w:tcW w:type="dxa" w:w="18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[Name 2]</w:t>
            </w:r>
          </w:p>
        </w:tc>
        <w:tc>
          <w:tcPr>
            <w:tcW w:type="dxa" w:w="18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[date–date]</w:t>
            </w:r>
          </w:p>
        </w:tc>
        <w:tc>
          <w:tcPr>
            <w:tcW w:type="dxa" w:w="18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President/CEO</w:t>
            </w:r>
          </w:p>
        </w:tc>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Yes / No + reason</w:t>
            </w:r>
          </w:p>
        </w:tc>
        <w:tc>
          <w:tcPr>
            <w:tcW w:type="dxa" w:w="18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 ]</w:t>
            </w:r>
          </w:p>
        </w:tc>
      </w:tr>
      <w:tr>
        <w:trPr>
          <w:cantSplit/>
        </w:trPr>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[Name 3]</w:t>
            </w:r>
          </w:p>
        </w:tc>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[date–date]</w:t>
            </w:r>
          </w:p>
        </w:tc>
        <w:tc>
          <w:tcPr>
            <w:tcW w:type="dxa" w:w="18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Secretary/Treasurer</w:t>
            </w:r>
          </w:p>
        </w:tc>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Yes / No + reason</w:t>
            </w:r>
          </w:p>
        </w:tc>
        <w:tc>
          <w:tcPr>
            <w:tcW w:type="dxa" w:w="18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 ]</w:t>
            </w:r>
          </w:p>
        </w:tc>
      </w:tr>
      <w:tr>
        <w:trPr>
          <w:cantSplit/>
        </w:trPr>
        <w:tc>
          <w:tcPr>
            <w:tcW w:type="dxa" w:w="18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[Name 4]</w:t>
            </w:r>
          </w:p>
        </w:tc>
        <w:tc>
          <w:tcPr>
            <w:tcW w:type="dxa" w:w="18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[date–date]</w:t>
            </w:r>
          </w:p>
        </w:tc>
        <w:tc>
          <w:tcPr>
            <w:tcW w:type="dxa" w:w="18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 ]</w:t>
            </w:r>
          </w:p>
        </w:tc>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Yes / No + reason</w:t>
            </w:r>
          </w:p>
        </w:tc>
        <w:tc>
          <w:tcPr>
            <w:tcW w:type="dxa" w:w="18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 ]</w:t>
            </w:r>
          </w:p>
        </w:tc>
      </w:tr>
      <w:tr>
        <w:trPr>
          <w:cantSplit/>
        </w:trPr>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[Name 5]</w:t>
            </w:r>
          </w:p>
        </w:tc>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[date–date]</w:t>
            </w:r>
          </w:p>
        </w:tc>
        <w:tc>
          <w:tcPr>
            <w:tcW w:type="dxa" w:w="18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 ]</w:t>
            </w:r>
          </w:p>
        </w:tc>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Yes / No + reason</w:t>
            </w:r>
          </w:p>
        </w:tc>
        <w:tc>
          <w:tcPr>
            <w:tcW w:type="dxa" w:w="18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 ]</w:t>
            </w:r>
          </w:p>
        </w:tc>
      </w:tr>
    </w:tbl>
    <w:p>
      <w:pPr>
        <w:spacing w:after="0"/>
      </w:pPr>
    </w:p>
    <w:p>
      <w:r>
        <w:rPr>
          <w:rFonts w:ascii="Aptos" w:hAnsi="Aptos" w:eastAsia="FangSong" w:cs="Aptos"/>
        </w:rPr>
        <w:t>Each undersigned director acknowledges receipt of all schedules and adopts the resolutions above as of the Effective Date.</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3024"/>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Director</w:t>
            </w:r>
          </w:p>
        </w:tc>
        <w:tc>
          <w:tcPr>
            <w:tcW w:type="dxa" w:w="4176"/>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Signature</w:t>
            </w:r>
          </w:p>
        </w:tc>
        <w:tc>
          <w:tcPr>
            <w:tcW w:type="dxa" w:w="2376"/>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Date</w:t>
            </w:r>
          </w:p>
        </w:tc>
      </w:tr>
      <w:tr>
        <w:trPr>
          <w:cantSplit/>
        </w:trPr>
        <w:tc>
          <w:tcPr>
            <w:tcW w:type="dxa" w:w="30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[Name 1]</w:t>
            </w:r>
          </w:p>
        </w:tc>
        <w:tc>
          <w:tcPr>
            <w:tcW w:type="dxa" w:w="41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____________________________</w:t>
            </w:r>
          </w:p>
        </w:tc>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____________</w:t>
            </w:r>
          </w:p>
        </w:tc>
      </w:tr>
      <w:tr>
        <w:trPr>
          <w:cantSplit/>
        </w:trPr>
        <w:tc>
          <w:tcPr>
            <w:tcW w:type="dxa" w:w="30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[Name 2]</w:t>
            </w:r>
          </w:p>
        </w:tc>
        <w:tc>
          <w:tcPr>
            <w:tcW w:type="dxa" w:w="41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____________________________</w:t>
            </w:r>
          </w:p>
        </w:tc>
        <w:tc>
          <w:tcPr>
            <w:tcW w:type="dxa" w:w="23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____________</w:t>
            </w:r>
          </w:p>
        </w:tc>
      </w:tr>
      <w:tr>
        <w:trPr>
          <w:cantSplit/>
        </w:trPr>
        <w:tc>
          <w:tcPr>
            <w:tcW w:type="dxa" w:w="30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[Name 3]</w:t>
            </w:r>
          </w:p>
        </w:tc>
        <w:tc>
          <w:tcPr>
            <w:tcW w:type="dxa" w:w="41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____________________________</w:t>
            </w:r>
          </w:p>
        </w:tc>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____________</w:t>
            </w:r>
          </w:p>
        </w:tc>
      </w:tr>
      <w:tr>
        <w:trPr>
          <w:cantSplit/>
        </w:trPr>
        <w:tc>
          <w:tcPr>
            <w:tcW w:type="dxa" w:w="30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[Name 4]</w:t>
            </w:r>
          </w:p>
        </w:tc>
        <w:tc>
          <w:tcPr>
            <w:tcW w:type="dxa" w:w="41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____________________________</w:t>
            </w:r>
          </w:p>
        </w:tc>
        <w:tc>
          <w:tcPr>
            <w:tcW w:type="dxa" w:w="23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____________</w:t>
            </w:r>
          </w:p>
        </w:tc>
      </w:tr>
      <w:tr>
        <w:trPr>
          <w:cantSplit/>
        </w:trPr>
        <w:tc>
          <w:tcPr>
            <w:tcW w:type="dxa" w:w="30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[Name 5]</w:t>
            </w:r>
          </w:p>
        </w:tc>
        <w:tc>
          <w:tcPr>
            <w:tcW w:type="dxa" w:w="41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____________________________</w:t>
            </w:r>
          </w:p>
        </w:tc>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____________</w:t>
            </w:r>
          </w:p>
        </w:tc>
      </w:tr>
    </w:tbl>
    <w:p>
      <w:pPr>
        <w:spacing w:after="0"/>
      </w:pPr>
    </w:p>
    <w:p>
      <w:r>
        <w:br w:type="page"/>
      </w:r>
    </w:p>
    <w:p>
      <w:pPr>
        <w:spacing w:after="40"/>
      </w:pPr>
      <w:r>
        <w:rPr>
          <w:rFonts w:ascii="Aptos" w:hAnsi="Aptos" w:eastAsia="Microsoft YaHei" w:cs="Aptos"/>
          <w:b/>
          <w:color w:val="6A6A6A"/>
          <w:sz w:val="16"/>
        </w:rPr>
        <w:t>MODULE C</w:t>
      </w:r>
    </w:p>
    <w:p>
      <w:pPr>
        <w:pStyle w:val="Heading1"/>
      </w:pPr>
      <w:r>
        <w:rPr>
          <w:rFonts w:ascii="Aptos" w:hAnsi="Aptos" w:eastAsia="FangSong" w:cs="Aptos"/>
        </w:rPr>
        <w:t>附录 C｜Bylaws 工作模板</w:t>
      </w:r>
    </w:p>
    <w:p>
      <w:pPr>
        <w:keepLines/>
      </w:pPr>
      <w:r>
        <w:rPr>
          <w:rFonts w:ascii="Aptos" w:hAnsi="Aptos" w:eastAsia="FangSong" w:cs="Aptos"/>
          <w:color w:val="6A6A6A"/>
          <w:sz w:val="21"/>
        </w:rPr>
        <w:t>这是适合无 voting members、董事会治理的起草底稿；签署前由 Colorado 非营利律师复核，尤其是远程会议、书面行动、赔偿和董事责任。</w:t>
      </w:r>
    </w:p>
    <w:p>
      <w:pPr>
        <w:spacing w:after="180"/>
        <w:pBdr>
          <w:bottom w:val="single" w:sz="10" w:space="1" w:color="111111"/>
        </w:pBdr>
      </w:pPr>
    </w:p>
    <w:p>
      <w:pPr>
        <w:pStyle w:val="Heading2"/>
      </w:pPr>
      <w:r>
        <w:rPr>
          <w:rFonts w:ascii="Aptos" w:hAnsi="Aptos" w:eastAsia="FangSong" w:cs="Aptos"/>
        </w:rPr>
        <w:t>BYLAWS OF GLOBAL PROSPERITY AND TRANSITION INITIATIVE, INC.</w:t>
      </w:r>
    </w:p>
    <w:p>
      <w:pPr>
        <w:jc w:val="center"/>
      </w:pPr>
      <w:r>
        <w:rPr>
          <w:rFonts w:ascii="Aptos" w:hAnsi="Aptos" w:eastAsia="FangSong" w:cs="Aptos"/>
          <w:color w:val="6A6A6A"/>
          <w:sz w:val="18"/>
        </w:rPr>
        <w:t>Adopted effective [Month Day, 2026]</w:t>
      </w:r>
    </w:p>
    <w:p>
      <w:pPr>
        <w:pStyle w:val="Heading2"/>
      </w:pPr>
      <w:r>
        <w:rPr>
          <w:rFonts w:ascii="Aptos" w:hAnsi="Aptos" w:eastAsia="FangSong" w:cs="Aptos"/>
        </w:rPr>
        <w:t>ARTICLE 1 — NAME, OFFICES, AND RECORDS</w:t>
      </w:r>
    </w:p>
    <w:p>
      <w:r>
        <w:rPr>
          <w:rFonts w:ascii="Aptos" w:hAnsi="Aptos" w:eastAsia="FangSong" w:cs="Aptos"/>
          <w:b/>
          <w:color w:val="111111"/>
        </w:rPr>
        <w:t>1.1</w:t>
      </w:r>
      <w:r>
        <w:rPr>
          <w:rFonts w:ascii="Aptos" w:hAnsi="Aptos" w:eastAsia="FangSong" w:cs="Aptos"/>
          <w:b w:val="0"/>
          <w:color w:val="111111"/>
        </w:rPr>
        <w:t xml:space="preserve"> Name. The name of the corporation is Global Prosperity and Transition Initiative, Inc. (the “Corporation”).</w:t>
      </w:r>
    </w:p>
    <w:p>
      <w:r>
        <w:rPr>
          <w:rFonts w:ascii="Aptos" w:hAnsi="Aptos" w:eastAsia="FangSong" w:cs="Aptos"/>
          <w:b/>
          <w:color w:val="111111"/>
        </w:rPr>
        <w:t>1.2</w:t>
      </w:r>
      <w:r>
        <w:rPr>
          <w:rFonts w:ascii="Aptos" w:hAnsi="Aptos" w:eastAsia="FangSong" w:cs="Aptos"/>
          <w:b w:val="0"/>
          <w:color w:val="111111"/>
        </w:rPr>
        <w:t xml:space="preserve"> Principal Office. The Board may establish and change the principal office. All public and government records shall distinguish the actual principal office from any registered-agent or commercial mail address.</w:t>
      </w:r>
    </w:p>
    <w:p>
      <w:r>
        <w:rPr>
          <w:rFonts w:ascii="Aptos" w:hAnsi="Aptos" w:eastAsia="FangSong" w:cs="Aptos"/>
          <w:b/>
          <w:color w:val="111111"/>
        </w:rPr>
        <w:t>1.3</w:t>
      </w:r>
      <w:r>
        <w:rPr>
          <w:rFonts w:ascii="Aptos" w:hAnsi="Aptos" w:eastAsia="FangSong" w:cs="Aptos"/>
          <w:b w:val="0"/>
          <w:color w:val="111111"/>
        </w:rPr>
        <w:t xml:space="preserve"> Registered Agent. The Corporation shall continuously maintain a registered agent and registered-agent street address in Colorado as required by law.</w:t>
      </w:r>
    </w:p>
    <w:p>
      <w:r>
        <w:rPr>
          <w:rFonts w:ascii="Aptos" w:hAnsi="Aptos" w:eastAsia="FangSong" w:cs="Aptos"/>
          <w:b/>
          <w:color w:val="111111"/>
        </w:rPr>
        <w:t>1.4</w:t>
      </w:r>
      <w:r>
        <w:rPr>
          <w:rFonts w:ascii="Aptos" w:hAnsi="Aptos" w:eastAsia="FangSong" w:cs="Aptos"/>
          <w:b w:val="0"/>
          <w:color w:val="111111"/>
        </w:rPr>
        <w:t xml:space="preserve"> Records. The Corporation shall maintain complete and accurate governing, financial, tax, contract, program, donor, grant, and compliance records in accordance with the document-retention policy and applicable public-inspection rules.</w:t>
      </w:r>
    </w:p>
    <w:p>
      <w:pPr>
        <w:pStyle w:val="Heading2"/>
      </w:pPr>
      <w:r>
        <w:rPr>
          <w:rFonts w:ascii="Aptos" w:hAnsi="Aptos" w:eastAsia="FangSong" w:cs="Aptos"/>
        </w:rPr>
        <w:t>ARTICLE 2 — PURPOSES AND RESTRICTIONS</w:t>
      </w:r>
    </w:p>
    <w:p>
      <w:r>
        <w:rPr>
          <w:rFonts w:ascii="Aptos" w:hAnsi="Aptos" w:eastAsia="FangSong" w:cs="Aptos"/>
          <w:b/>
          <w:color w:val="111111"/>
        </w:rPr>
        <w:t>2.1</w:t>
      </w:r>
      <w:r>
        <w:rPr>
          <w:rFonts w:ascii="Aptos" w:hAnsi="Aptos" w:eastAsia="FangSong" w:cs="Aptos"/>
          <w:b w:val="0"/>
          <w:color w:val="111111"/>
        </w:rPr>
        <w:t xml:space="preserve"> Purposes. The Corporation shall operate exclusively for charitable, educational, and scientific purposes within section 501(c)(3), consistent with its Articles of Incorporation.</w:t>
      </w:r>
    </w:p>
    <w:p>
      <w:r>
        <w:rPr>
          <w:rFonts w:ascii="Aptos" w:hAnsi="Aptos" w:eastAsia="FangSong" w:cs="Aptos"/>
          <w:b/>
          <w:color w:val="111111"/>
        </w:rPr>
        <w:t>2.2</w:t>
      </w:r>
      <w:r>
        <w:rPr>
          <w:rFonts w:ascii="Aptos" w:hAnsi="Aptos" w:eastAsia="FangSong" w:cs="Aptos"/>
          <w:b w:val="0"/>
          <w:color w:val="111111"/>
        </w:rPr>
        <w:t xml:space="preserve"> Private Benefit. No net earnings shall inure to a private person. The Corporation may pay only reasonable compensation and fair-market amounts for goods or services that further its exempt purposes.</w:t>
      </w:r>
    </w:p>
    <w:p>
      <w:r>
        <w:rPr>
          <w:rFonts w:ascii="Aptos" w:hAnsi="Aptos" w:eastAsia="FangSong" w:cs="Aptos"/>
          <w:b/>
          <w:color w:val="111111"/>
        </w:rPr>
        <w:t>2.3</w:t>
      </w:r>
      <w:r>
        <w:rPr>
          <w:rFonts w:ascii="Aptos" w:hAnsi="Aptos" w:eastAsia="FangSong" w:cs="Aptos"/>
          <w:b w:val="0"/>
          <w:color w:val="111111"/>
        </w:rPr>
        <w:t xml:space="preserve"> Political Campaigns. The Corporation shall not participate or intervene in a political campaign for or against a candidate for public office.</w:t>
      </w:r>
    </w:p>
    <w:p>
      <w:r>
        <w:rPr>
          <w:rFonts w:ascii="Aptos" w:hAnsi="Aptos" w:eastAsia="FangSong" w:cs="Aptos"/>
          <w:b/>
          <w:color w:val="111111"/>
        </w:rPr>
        <w:t>2.4</w:t>
      </w:r>
      <w:r>
        <w:rPr>
          <w:rFonts w:ascii="Aptos" w:hAnsi="Aptos" w:eastAsia="FangSong" w:cs="Aptos"/>
          <w:b w:val="0"/>
          <w:color w:val="111111"/>
        </w:rPr>
        <w:t xml:space="preserve"> Lobbying. No substantial part of activities shall consist of attempting to influence legislation, except as permitted by law, including any valid section 501(h) election.</w:t>
      </w:r>
    </w:p>
    <w:p>
      <w:r>
        <w:rPr>
          <w:rFonts w:ascii="Aptos" w:hAnsi="Aptos" w:eastAsia="FangSong" w:cs="Aptos"/>
          <w:b/>
          <w:color w:val="111111"/>
        </w:rPr>
        <w:t>2.5</w:t>
      </w:r>
      <w:r>
        <w:rPr>
          <w:rFonts w:ascii="Aptos" w:hAnsi="Aptos" w:eastAsia="FangSong" w:cs="Aptos"/>
          <w:b w:val="0"/>
          <w:color w:val="111111"/>
        </w:rPr>
        <w:t xml:space="preserve"> Nondistribution. The Corporation has no shares and shall not distribute profits to directors, officers, or private persons.</w:t>
      </w:r>
    </w:p>
    <w:p>
      <w:pPr>
        <w:pStyle w:val="Heading2"/>
      </w:pPr>
      <w:r>
        <w:rPr>
          <w:rFonts w:ascii="Aptos" w:hAnsi="Aptos" w:eastAsia="FangSong" w:cs="Aptos"/>
        </w:rPr>
        <w:t>ARTICLE 3 — NO VOTING MEMBERS</w:t>
      </w:r>
    </w:p>
    <w:p>
      <w:r>
        <w:rPr>
          <w:rFonts w:ascii="Aptos" w:hAnsi="Aptos" w:eastAsia="FangSong" w:cs="Aptos"/>
          <w:b/>
          <w:color w:val="111111"/>
        </w:rPr>
        <w:t>3.1</w:t>
      </w:r>
      <w:r>
        <w:rPr>
          <w:rFonts w:ascii="Aptos" w:hAnsi="Aptos" w:eastAsia="FangSong" w:cs="Aptos"/>
          <w:b w:val="0"/>
          <w:color w:val="111111"/>
        </w:rPr>
        <w:t xml:space="preserve"> No Members. The Corporation shall have no voting members within the meaning of the Colorado Revised Nonprofit Corporation Act. References to members in these Bylaws do not create statutory voting rights.</w:t>
      </w:r>
    </w:p>
    <w:p>
      <w:r>
        <w:rPr>
          <w:rFonts w:ascii="Aptos" w:hAnsi="Aptos" w:eastAsia="FangSong" w:cs="Aptos"/>
          <w:b/>
          <w:color w:val="111111"/>
        </w:rPr>
        <w:t>3.2</w:t>
      </w:r>
      <w:r>
        <w:rPr>
          <w:rFonts w:ascii="Aptos" w:hAnsi="Aptos" w:eastAsia="FangSong" w:cs="Aptos"/>
          <w:b w:val="0"/>
          <w:color w:val="111111"/>
        </w:rPr>
        <w:t xml:space="preserve"> Supporters and Advisers. The Board may create nonvoting advisory councils, supporters, fellows, or program participants without governance rights.</w:t>
      </w:r>
    </w:p>
    <w:p>
      <w:pPr>
        <w:pStyle w:val="Heading2"/>
      </w:pPr>
      <w:r>
        <w:rPr>
          <w:rFonts w:ascii="Aptos" w:hAnsi="Aptos" w:eastAsia="FangSong" w:cs="Aptos"/>
        </w:rPr>
        <w:t>ARTICLE 4 — BOARD OF DIRECTORS</w:t>
      </w:r>
    </w:p>
    <w:p>
      <w:r>
        <w:rPr>
          <w:rFonts w:ascii="Aptos" w:hAnsi="Aptos" w:eastAsia="FangSong" w:cs="Aptos"/>
          <w:b/>
          <w:color w:val="111111"/>
        </w:rPr>
        <w:t>4.1</w:t>
      </w:r>
      <w:r>
        <w:rPr>
          <w:rFonts w:ascii="Aptos" w:hAnsi="Aptos" w:eastAsia="FangSong" w:cs="Aptos"/>
          <w:b w:val="0"/>
          <w:color w:val="111111"/>
        </w:rPr>
        <w:t xml:space="preserve"> Authority. The business and affairs of the Corporation shall be managed under the direction of the Board, subject to the Articles, these Bylaws, and applicable law.</w:t>
      </w:r>
    </w:p>
    <w:p>
      <w:r>
        <w:rPr>
          <w:rFonts w:ascii="Aptos" w:hAnsi="Aptos" w:eastAsia="FangSong" w:cs="Aptos"/>
          <w:b/>
          <w:color w:val="111111"/>
        </w:rPr>
        <w:t>4.2</w:t>
      </w:r>
      <w:r>
        <w:rPr>
          <w:rFonts w:ascii="Aptos" w:hAnsi="Aptos" w:eastAsia="FangSong" w:cs="Aptos"/>
          <w:b w:val="0"/>
          <w:color w:val="111111"/>
        </w:rPr>
        <w:t xml:space="preserve"> Number. The Board shall consist of not fewer than three and not more than five directors. The Board may fix the number within this range by resolution.</w:t>
      </w:r>
    </w:p>
    <w:p>
      <w:r>
        <w:rPr>
          <w:rFonts w:ascii="Aptos" w:hAnsi="Aptos" w:eastAsia="FangSong" w:cs="Aptos"/>
          <w:b/>
          <w:color w:val="111111"/>
        </w:rPr>
        <w:t>4.3</w:t>
      </w:r>
      <w:r>
        <w:rPr>
          <w:rFonts w:ascii="Aptos" w:hAnsi="Aptos" w:eastAsia="FangSong" w:cs="Aptos"/>
          <w:b w:val="0"/>
          <w:color w:val="111111"/>
        </w:rPr>
        <w:t xml:space="preserve"> Independence. The Board should maintain a majority of directors without material family, employment, investment, vendor, or other financial relationships with the Corporation’s officers or related entities. Lack of independence must be disclosed.</w:t>
      </w:r>
    </w:p>
    <w:p>
      <w:r>
        <w:rPr>
          <w:rFonts w:ascii="Aptos" w:hAnsi="Aptos" w:eastAsia="FangSong" w:cs="Aptos"/>
          <w:b/>
          <w:color w:val="111111"/>
        </w:rPr>
        <w:t>4.4</w:t>
      </w:r>
      <w:r>
        <w:rPr>
          <w:rFonts w:ascii="Aptos" w:hAnsi="Aptos" w:eastAsia="FangSong" w:cs="Aptos"/>
          <w:b w:val="0"/>
          <w:color w:val="111111"/>
        </w:rPr>
        <w:t xml:space="preserve"> Election and Term. Directors are elected by the Board for two-year terms and may be reelected. A director continues until a successor is elected and qualified, unless the director earlier resigns or is removed.</w:t>
      </w:r>
    </w:p>
    <w:p>
      <w:r>
        <w:rPr>
          <w:rFonts w:ascii="Aptos" w:hAnsi="Aptos" w:eastAsia="FangSong" w:cs="Aptos"/>
          <w:b/>
          <w:color w:val="111111"/>
        </w:rPr>
        <w:t>4.5</w:t>
      </w:r>
      <w:r>
        <w:rPr>
          <w:rFonts w:ascii="Aptos" w:hAnsi="Aptos" w:eastAsia="FangSong" w:cs="Aptos"/>
          <w:b w:val="0"/>
          <w:color w:val="111111"/>
        </w:rPr>
        <w:t xml:space="preserve"> Resignation. A director may resign by written notice effective when received or at a later stated date.</w:t>
      </w:r>
    </w:p>
    <w:p>
      <w:r>
        <w:rPr>
          <w:rFonts w:ascii="Aptos" w:hAnsi="Aptos" w:eastAsia="FangSong" w:cs="Aptos"/>
          <w:b/>
          <w:color w:val="111111"/>
        </w:rPr>
        <w:t>4.6</w:t>
      </w:r>
      <w:r>
        <w:rPr>
          <w:rFonts w:ascii="Aptos" w:hAnsi="Aptos" w:eastAsia="FangSong" w:cs="Aptos"/>
          <w:b w:val="0"/>
          <w:color w:val="111111"/>
        </w:rPr>
        <w:t xml:space="preserve"> Removal. A director may be removed, with or without cause to the extent permitted by law, by the vote required under these Bylaws, after fair notice of the proposed action.</w:t>
      </w:r>
    </w:p>
    <w:p>
      <w:r>
        <w:rPr>
          <w:rFonts w:ascii="Aptos" w:hAnsi="Aptos" w:eastAsia="FangSong" w:cs="Aptos"/>
          <w:b/>
          <w:color w:val="111111"/>
        </w:rPr>
        <w:t>4.7</w:t>
      </w:r>
      <w:r>
        <w:rPr>
          <w:rFonts w:ascii="Aptos" w:hAnsi="Aptos" w:eastAsia="FangSong" w:cs="Aptos"/>
          <w:b w:val="0"/>
          <w:color w:val="111111"/>
        </w:rPr>
        <w:t xml:space="preserve"> Vacancies. A Board vacancy may be filled by the affirmative vote of a majority of the remaining directors, even if fewer than a quorum, to the extent permitted by law.</w:t>
      </w:r>
    </w:p>
    <w:p>
      <w:r>
        <w:rPr>
          <w:rFonts w:ascii="Aptos" w:hAnsi="Aptos" w:eastAsia="FangSong" w:cs="Aptos"/>
          <w:b/>
          <w:color w:val="111111"/>
        </w:rPr>
        <w:t>4.8</w:t>
      </w:r>
      <w:r>
        <w:rPr>
          <w:rFonts w:ascii="Aptos" w:hAnsi="Aptos" w:eastAsia="FangSong" w:cs="Aptos"/>
          <w:b w:val="0"/>
          <w:color w:val="111111"/>
        </w:rPr>
        <w:t xml:space="preserve"> Compensation. Directors shall not receive compensation for Board service unless disinterested directors determine it reasonable and in the Corporation’s best interests. Reasonable, documented expenses may be reimbursed.</w:t>
      </w:r>
    </w:p>
    <w:p>
      <w:r>
        <w:rPr>
          <w:rFonts w:ascii="Aptos" w:hAnsi="Aptos" w:eastAsia="FangSong" w:cs="Aptos"/>
          <w:b/>
          <w:color w:val="111111"/>
        </w:rPr>
        <w:t>4.9</w:t>
      </w:r>
      <w:r>
        <w:rPr>
          <w:rFonts w:ascii="Aptos" w:hAnsi="Aptos" w:eastAsia="FangSong" w:cs="Aptos"/>
          <w:b w:val="0"/>
          <w:color w:val="111111"/>
        </w:rPr>
        <w:t xml:space="preserve"> Duties. Directors shall act in good faith, with ordinary care, in the Corporation’s best interests, and in compliance with conflict and confidentiality obligations.</w:t>
      </w:r>
    </w:p>
    <w:p>
      <w:pPr>
        <w:pStyle w:val="Heading2"/>
      </w:pPr>
      <w:r>
        <w:rPr>
          <w:rFonts w:ascii="Aptos" w:hAnsi="Aptos" w:eastAsia="FangSong" w:cs="Aptos"/>
        </w:rPr>
        <w:t>ARTICLE 5 — BOARD MEETINGS AND ACTION</w:t>
      </w:r>
    </w:p>
    <w:p>
      <w:r>
        <w:rPr>
          <w:rFonts w:ascii="Aptos" w:hAnsi="Aptos" w:eastAsia="FangSong" w:cs="Aptos"/>
          <w:b/>
          <w:color w:val="111111"/>
        </w:rPr>
        <w:t>5.1</w:t>
      </w:r>
      <w:r>
        <w:rPr>
          <w:rFonts w:ascii="Aptos" w:hAnsi="Aptos" w:eastAsia="FangSong" w:cs="Aptos"/>
          <w:b w:val="0"/>
          <w:color w:val="111111"/>
        </w:rPr>
        <w:t xml:space="preserve"> Annual Meeting. The Board shall hold an annual meeting at a date fixed by the Board to elect directors/officers as needed, review conflicts, approve the budget, and address compliance.</w:t>
      </w:r>
    </w:p>
    <w:p>
      <w:r>
        <w:rPr>
          <w:rFonts w:ascii="Aptos" w:hAnsi="Aptos" w:eastAsia="FangSong" w:cs="Aptos"/>
          <w:b/>
          <w:color w:val="111111"/>
        </w:rPr>
        <w:t>5.2</w:t>
      </w:r>
      <w:r>
        <w:rPr>
          <w:rFonts w:ascii="Aptos" w:hAnsi="Aptos" w:eastAsia="FangSong" w:cs="Aptos"/>
          <w:b w:val="0"/>
          <w:color w:val="111111"/>
        </w:rPr>
        <w:t xml:space="preserve"> Regular and Special Meetings. The Board may establish regular meetings. Special meetings may be called by the Chair, President, or any two directors.</w:t>
      </w:r>
    </w:p>
    <w:p>
      <w:r>
        <w:rPr>
          <w:rFonts w:ascii="Aptos" w:hAnsi="Aptos" w:eastAsia="FangSong" w:cs="Aptos"/>
          <w:b/>
          <w:color w:val="111111"/>
        </w:rPr>
        <w:t>5.3</w:t>
      </w:r>
      <w:r>
        <w:rPr>
          <w:rFonts w:ascii="Aptos" w:hAnsi="Aptos" w:eastAsia="FangSong" w:cs="Aptos"/>
          <w:b w:val="0"/>
          <w:color w:val="111111"/>
        </w:rPr>
        <w:t xml:space="preserve"> Notice. Notice of a special meeting shall be provided at least two days in advance by a reliable electronic or written method, unless a longer period is required by law or waived. The notice should describe material related-party, compensation, amendment, merger, sale, or dissolution matters.</w:t>
      </w:r>
    </w:p>
    <w:p>
      <w:r>
        <w:rPr>
          <w:rFonts w:ascii="Aptos" w:hAnsi="Aptos" w:eastAsia="FangSong" w:cs="Aptos"/>
          <w:b/>
          <w:color w:val="111111"/>
        </w:rPr>
        <w:t>5.4</w:t>
      </w:r>
      <w:r>
        <w:rPr>
          <w:rFonts w:ascii="Aptos" w:hAnsi="Aptos" w:eastAsia="FangSong" w:cs="Aptos"/>
          <w:b w:val="0"/>
          <w:color w:val="111111"/>
        </w:rPr>
        <w:t xml:space="preserve"> Remote Participation. Directors may participate through communications technology by which all participating directors can simultaneously hear one another, or as otherwise permitted by law. Participation constitutes presence.</w:t>
      </w:r>
    </w:p>
    <w:p>
      <w:r>
        <w:rPr>
          <w:rFonts w:ascii="Aptos" w:hAnsi="Aptos" w:eastAsia="FangSong" w:cs="Aptos"/>
          <w:b/>
          <w:color w:val="111111"/>
        </w:rPr>
        <w:t>5.5</w:t>
      </w:r>
      <w:r>
        <w:rPr>
          <w:rFonts w:ascii="Aptos" w:hAnsi="Aptos" w:eastAsia="FangSong" w:cs="Aptos"/>
          <w:b w:val="0"/>
          <w:color w:val="111111"/>
        </w:rPr>
        <w:t xml:space="preserve"> Quorum. A majority of directors then in office constitutes a quorum, but never fewer than two while the Board has three or more directors.</w:t>
      </w:r>
    </w:p>
    <w:p>
      <w:r>
        <w:rPr>
          <w:rFonts w:ascii="Aptos" w:hAnsi="Aptos" w:eastAsia="FangSong" w:cs="Aptos"/>
          <w:b/>
          <w:color w:val="111111"/>
        </w:rPr>
        <w:t>5.6</w:t>
      </w:r>
      <w:r>
        <w:rPr>
          <w:rFonts w:ascii="Aptos" w:hAnsi="Aptos" w:eastAsia="FangSong" w:cs="Aptos"/>
          <w:b w:val="0"/>
          <w:color w:val="111111"/>
        </w:rPr>
        <w:t xml:space="preserve"> Vote. If a quorum is present, an act is approved by a majority of directors present, unless a greater vote is required by law, the Articles, or these Bylaws. A conflicted director shall not vote and may be excluded from quorum for that matter as required by policy or law.</w:t>
      </w:r>
    </w:p>
    <w:p>
      <w:r>
        <w:rPr>
          <w:rFonts w:ascii="Aptos" w:hAnsi="Aptos" w:eastAsia="FangSong" w:cs="Aptos"/>
          <w:b/>
          <w:color w:val="111111"/>
        </w:rPr>
        <w:t>5.7</w:t>
      </w:r>
      <w:r>
        <w:rPr>
          <w:rFonts w:ascii="Aptos" w:hAnsi="Aptos" w:eastAsia="FangSong" w:cs="Aptos"/>
          <w:b w:val="0"/>
          <w:color w:val="111111"/>
        </w:rPr>
        <w:t xml:space="preserve"> Written Action. The Board may act without a meeting only in the manner permitted by Colorado law. The Secretary shall preserve all writings, signatures, delivery records, revocations, and effective dates. Organizational action should be unanimously signed by all initial directors.</w:t>
      </w:r>
    </w:p>
    <w:p>
      <w:r>
        <w:rPr>
          <w:rFonts w:ascii="Aptos" w:hAnsi="Aptos" w:eastAsia="FangSong" w:cs="Aptos"/>
          <w:b/>
          <w:color w:val="111111"/>
        </w:rPr>
        <w:t>5.8</w:t>
      </w:r>
      <w:r>
        <w:rPr>
          <w:rFonts w:ascii="Aptos" w:hAnsi="Aptos" w:eastAsia="FangSong" w:cs="Aptos"/>
          <w:b w:val="0"/>
          <w:color w:val="111111"/>
        </w:rPr>
        <w:t xml:space="preserve"> Minutes. Minutes shall identify attendees, conflicts and recusals, materials considered, resolutions, votes, and follow-up owners. Draft minutes should be circulated promptly and approved at the next meeting or by permitted written action.</w:t>
      </w:r>
    </w:p>
    <w:p>
      <w:pPr>
        <w:pStyle w:val="Heading2"/>
      </w:pPr>
      <w:r>
        <w:rPr>
          <w:rFonts w:ascii="Aptos" w:hAnsi="Aptos" w:eastAsia="FangSong" w:cs="Aptos"/>
        </w:rPr>
        <w:t>ARTICLE 6 — OFFICERS</w:t>
      </w:r>
    </w:p>
    <w:p>
      <w:r>
        <w:rPr>
          <w:rFonts w:ascii="Aptos" w:hAnsi="Aptos" w:eastAsia="FangSong" w:cs="Aptos"/>
          <w:b/>
          <w:color w:val="111111"/>
        </w:rPr>
        <w:t>6.1</w:t>
      </w:r>
      <w:r>
        <w:rPr>
          <w:rFonts w:ascii="Aptos" w:hAnsi="Aptos" w:eastAsia="FangSong" w:cs="Aptos"/>
          <w:b w:val="0"/>
          <w:color w:val="111111"/>
        </w:rPr>
        <w:t xml:space="preserve"> Officers. The officers shall include a President or Chief Executive Officer, a Secretary, and a Treasurer, and may include a Board Chair and other officers. The Board should separate the Board Chair and CEO roles when practicable.</w:t>
      </w:r>
    </w:p>
    <w:p>
      <w:r>
        <w:rPr>
          <w:rFonts w:ascii="Aptos" w:hAnsi="Aptos" w:eastAsia="FangSong" w:cs="Aptos"/>
          <w:b/>
          <w:color w:val="111111"/>
        </w:rPr>
        <w:t>6.2</w:t>
      </w:r>
      <w:r>
        <w:rPr>
          <w:rFonts w:ascii="Aptos" w:hAnsi="Aptos" w:eastAsia="FangSong" w:cs="Aptos"/>
          <w:b w:val="0"/>
          <w:color w:val="111111"/>
        </w:rPr>
        <w:t xml:space="preserve"> Election and Removal. Officers are elected by the Board and may be removed by the Board, subject to contract rights, if any.</w:t>
      </w:r>
    </w:p>
    <w:p>
      <w:r>
        <w:rPr>
          <w:rFonts w:ascii="Aptos" w:hAnsi="Aptos" w:eastAsia="FangSong" w:cs="Aptos"/>
          <w:b/>
          <w:color w:val="111111"/>
        </w:rPr>
        <w:t>6.3</w:t>
      </w:r>
      <w:r>
        <w:rPr>
          <w:rFonts w:ascii="Aptos" w:hAnsi="Aptos" w:eastAsia="FangSong" w:cs="Aptos"/>
          <w:b w:val="0"/>
          <w:color w:val="111111"/>
        </w:rPr>
        <w:t xml:space="preserve"> President/CEO. The President/CEO implements Board policy, manages programs and personnel, signs authorized contracts, and reports material risks, finances, conflicts, and compliance matters.</w:t>
      </w:r>
    </w:p>
    <w:p>
      <w:r>
        <w:rPr>
          <w:rFonts w:ascii="Aptos" w:hAnsi="Aptos" w:eastAsia="FangSong" w:cs="Aptos"/>
          <w:b/>
          <w:color w:val="111111"/>
        </w:rPr>
        <w:t>6.4</w:t>
      </w:r>
      <w:r>
        <w:rPr>
          <w:rFonts w:ascii="Aptos" w:hAnsi="Aptos" w:eastAsia="FangSong" w:cs="Aptos"/>
          <w:b w:val="0"/>
          <w:color w:val="111111"/>
        </w:rPr>
        <w:t xml:space="preserve"> Secretary. The Secretary maintains the corporate record book, notices, minutes, consents, policies, disclosures, entity filings, and the compliance calendar.</w:t>
      </w:r>
    </w:p>
    <w:p>
      <w:r>
        <w:rPr>
          <w:rFonts w:ascii="Aptos" w:hAnsi="Aptos" w:eastAsia="FangSong" w:cs="Aptos"/>
          <w:b/>
          <w:color w:val="111111"/>
        </w:rPr>
        <w:t>6.5</w:t>
      </w:r>
      <w:r>
        <w:rPr>
          <w:rFonts w:ascii="Aptos" w:hAnsi="Aptos" w:eastAsia="FangSong" w:cs="Aptos"/>
          <w:b w:val="0"/>
          <w:color w:val="111111"/>
        </w:rPr>
        <w:t xml:space="preserve"> Treasurer. The Treasurer oversees budgets, financial reporting, banking controls, monthly reconciliations, restrictions, tax filings, public-support monitoring, and independent review. The Treasurer need not personally perform bookkeeping.</w:t>
      </w:r>
    </w:p>
    <w:p>
      <w:r>
        <w:rPr>
          <w:rFonts w:ascii="Aptos" w:hAnsi="Aptos" w:eastAsia="FangSong" w:cs="Aptos"/>
          <w:b/>
          <w:color w:val="111111"/>
        </w:rPr>
        <w:t>6.6</w:t>
      </w:r>
      <w:r>
        <w:rPr>
          <w:rFonts w:ascii="Aptos" w:hAnsi="Aptos" w:eastAsia="FangSong" w:cs="Aptos"/>
          <w:b w:val="0"/>
          <w:color w:val="111111"/>
        </w:rPr>
        <w:t xml:space="preserve"> Multiple Offices. One person may hold more than one office if permitted by law, but no person may bypass segregation of duties or approve that person’s own compensation, reimbursement, or related transaction.</w:t>
      </w:r>
    </w:p>
    <w:p>
      <w:pPr>
        <w:pStyle w:val="Heading2"/>
      </w:pPr>
      <w:r>
        <w:rPr>
          <w:rFonts w:ascii="Aptos" w:hAnsi="Aptos" w:eastAsia="FangSong" w:cs="Aptos"/>
        </w:rPr>
        <w:t>ARTICLE 7 — COMMITTEES AND ADVISORY BODIES</w:t>
      </w:r>
    </w:p>
    <w:p>
      <w:r>
        <w:rPr>
          <w:rFonts w:ascii="Aptos" w:hAnsi="Aptos" w:eastAsia="FangSong" w:cs="Aptos"/>
          <w:b/>
          <w:color w:val="111111"/>
        </w:rPr>
        <w:t>7.1</w:t>
      </w:r>
      <w:r>
        <w:rPr>
          <w:rFonts w:ascii="Aptos" w:hAnsi="Aptos" w:eastAsia="FangSong" w:cs="Aptos"/>
          <w:b w:val="0"/>
          <w:color w:val="111111"/>
        </w:rPr>
        <w:t xml:space="preserve"> Board Committees. The Board may create committees composed only of directors and delegate authority to the extent permitted by law and the authorizing resolution.</w:t>
      </w:r>
    </w:p>
    <w:p>
      <w:r>
        <w:rPr>
          <w:rFonts w:ascii="Aptos" w:hAnsi="Aptos" w:eastAsia="FangSong" w:cs="Aptos"/>
          <w:b/>
          <w:color w:val="111111"/>
        </w:rPr>
        <w:t>7.2</w:t>
      </w:r>
      <w:r>
        <w:rPr>
          <w:rFonts w:ascii="Aptos" w:hAnsi="Aptos" w:eastAsia="FangSong" w:cs="Aptos"/>
          <w:b w:val="0"/>
          <w:color w:val="111111"/>
        </w:rPr>
        <w:t xml:space="preserve"> Reserved Matters. A committee shall not exercise powers that applicable law reserves to the full Board, including adopting or amending Bylaws and other nondelegable actions.</w:t>
      </w:r>
    </w:p>
    <w:p>
      <w:r>
        <w:rPr>
          <w:rFonts w:ascii="Aptos" w:hAnsi="Aptos" w:eastAsia="FangSong" w:cs="Aptos"/>
          <w:b/>
          <w:color w:val="111111"/>
        </w:rPr>
        <w:t>7.3</w:t>
      </w:r>
      <w:r>
        <w:rPr>
          <w:rFonts w:ascii="Aptos" w:hAnsi="Aptos" w:eastAsia="FangSong" w:cs="Aptos"/>
          <w:b w:val="0"/>
          <w:color w:val="111111"/>
        </w:rPr>
        <w:t xml:space="preserve"> Advisory Bodies. The Board may create advisory councils containing non-directors. Advisory bodies have no authority to bind the Corporation.</w:t>
      </w:r>
    </w:p>
    <w:p>
      <w:pPr>
        <w:pStyle w:val="Heading2"/>
      </w:pPr>
      <w:r>
        <w:rPr>
          <w:rFonts w:ascii="Aptos" w:hAnsi="Aptos" w:eastAsia="FangSong" w:cs="Aptos"/>
        </w:rPr>
        <w:t>ARTICLE 8 — CONFLICTS, COMPENSATION, AND RELATED PARTIES</w:t>
      </w:r>
    </w:p>
    <w:p>
      <w:r>
        <w:rPr>
          <w:rFonts w:ascii="Aptos" w:hAnsi="Aptos" w:eastAsia="FangSong" w:cs="Aptos"/>
          <w:b/>
          <w:color w:val="111111"/>
        </w:rPr>
        <w:t>8.1</w:t>
      </w:r>
      <w:r>
        <w:rPr>
          <w:rFonts w:ascii="Aptos" w:hAnsi="Aptos" w:eastAsia="FangSong" w:cs="Aptos"/>
          <w:b w:val="0"/>
          <w:color w:val="111111"/>
        </w:rPr>
        <w:t xml:space="preserve"> Conflict Policy. The Board shall adopt and enforce a written Conflict of Interest Policy. Each covered person shall sign annual disclosures and update them promptly.</w:t>
      </w:r>
    </w:p>
    <w:p>
      <w:r>
        <w:rPr>
          <w:rFonts w:ascii="Aptos" w:hAnsi="Aptos" w:eastAsia="FangSong" w:cs="Aptos"/>
          <w:b/>
          <w:color w:val="111111"/>
        </w:rPr>
        <w:t>8.2</w:t>
      </w:r>
      <w:r>
        <w:rPr>
          <w:rFonts w:ascii="Aptos" w:hAnsi="Aptos" w:eastAsia="FangSong" w:cs="Aptos"/>
          <w:b w:val="0"/>
          <w:color w:val="111111"/>
        </w:rPr>
        <w:t xml:space="preserve"> Procedure. A person with a potential financial interest shall disclose all material facts, leave deliberation and voting as directed, and shall not influence the decision. Disinterested directors shall consider alternatives and fair-market evidence before approval.</w:t>
      </w:r>
    </w:p>
    <w:p>
      <w:r>
        <w:rPr>
          <w:rFonts w:ascii="Aptos" w:hAnsi="Aptos" w:eastAsia="FangSong" w:cs="Aptos"/>
          <w:b/>
          <w:color w:val="111111"/>
        </w:rPr>
        <w:t>8.3</w:t>
      </w:r>
      <w:r>
        <w:rPr>
          <w:rFonts w:ascii="Aptos" w:hAnsi="Aptos" w:eastAsia="FangSong" w:cs="Aptos"/>
          <w:b w:val="0"/>
          <w:color w:val="111111"/>
        </w:rPr>
        <w:t xml:space="preserve"> Compensation. Compensation and benefits shall be reasonable and approved in advance by disinterested directors using appropriate comparability data and contemporaneous documentation.</w:t>
      </w:r>
    </w:p>
    <w:p>
      <w:r>
        <w:rPr>
          <w:rFonts w:ascii="Aptos" w:hAnsi="Aptos" w:eastAsia="FangSong" w:cs="Aptos"/>
          <w:b/>
          <w:color w:val="111111"/>
        </w:rPr>
        <w:t>8.4</w:t>
      </w:r>
      <w:r>
        <w:rPr>
          <w:rFonts w:ascii="Aptos" w:hAnsi="Aptos" w:eastAsia="FangSong" w:cs="Aptos"/>
          <w:b w:val="0"/>
          <w:color w:val="111111"/>
        </w:rPr>
        <w:t xml:space="preserve"> Related Organizations and IP. Any shared staff, brand, intellectual property, data, facilities, fundraising, sponsorship, or services involving a related person or entity requires a written agreement, fair allocation, and disinterested approval.</w:t>
      </w:r>
    </w:p>
    <w:p>
      <w:pPr>
        <w:pStyle w:val="Heading2"/>
      </w:pPr>
      <w:r>
        <w:rPr>
          <w:rFonts w:ascii="Aptos" w:hAnsi="Aptos" w:eastAsia="FangSong" w:cs="Aptos"/>
        </w:rPr>
        <w:t>ARTICLE 9 — FINANCE, CONTRACTS, AND RECORDS</w:t>
      </w:r>
    </w:p>
    <w:p>
      <w:r>
        <w:rPr>
          <w:rFonts w:ascii="Aptos" w:hAnsi="Aptos" w:eastAsia="FangSong" w:cs="Aptos"/>
          <w:b/>
          <w:color w:val="111111"/>
        </w:rPr>
        <w:t>9.1</w:t>
      </w:r>
      <w:r>
        <w:rPr>
          <w:rFonts w:ascii="Aptos" w:hAnsi="Aptos" w:eastAsia="FangSong" w:cs="Aptos"/>
          <w:b w:val="0"/>
          <w:color w:val="111111"/>
        </w:rPr>
        <w:t xml:space="preserve"> Fiscal Year. The fiscal year ends December 31 unless the Board changes it.</w:t>
      </w:r>
    </w:p>
    <w:p>
      <w:r>
        <w:rPr>
          <w:rFonts w:ascii="Aptos" w:hAnsi="Aptos" w:eastAsia="FangSong" w:cs="Aptos"/>
          <w:b/>
          <w:color w:val="111111"/>
        </w:rPr>
        <w:t>9.2</w:t>
      </w:r>
      <w:r>
        <w:rPr>
          <w:rFonts w:ascii="Aptos" w:hAnsi="Aptos" w:eastAsia="FangSong" w:cs="Aptos"/>
          <w:b w:val="0"/>
          <w:color w:val="111111"/>
        </w:rPr>
        <w:t xml:space="preserve"> Depositories. Funds shall be kept in accounts titled in the Corporation’s legal name. No funds may be commingled with personal or related-entity funds.</w:t>
      </w:r>
    </w:p>
    <w:p>
      <w:r>
        <w:rPr>
          <w:rFonts w:ascii="Aptos" w:hAnsi="Aptos" w:eastAsia="FangSong" w:cs="Aptos"/>
          <w:b/>
          <w:color w:val="111111"/>
        </w:rPr>
        <w:t>9.3</w:t>
      </w:r>
      <w:r>
        <w:rPr>
          <w:rFonts w:ascii="Aptos" w:hAnsi="Aptos" w:eastAsia="FangSong" w:cs="Aptos"/>
          <w:b w:val="0"/>
          <w:color w:val="111111"/>
        </w:rPr>
        <w:t xml:space="preserve"> Controls. The Board shall set signature authority, approval thresholds, dual-control requirements, card limits, and reconciliation review. Related-party and foreign payments require enhanced review.</w:t>
      </w:r>
    </w:p>
    <w:p>
      <w:r>
        <w:rPr>
          <w:rFonts w:ascii="Aptos" w:hAnsi="Aptos" w:eastAsia="FangSong" w:cs="Aptos"/>
          <w:b/>
          <w:color w:val="111111"/>
        </w:rPr>
        <w:t>9.4</w:t>
      </w:r>
      <w:r>
        <w:rPr>
          <w:rFonts w:ascii="Aptos" w:hAnsi="Aptos" w:eastAsia="FangSong" w:cs="Aptos"/>
          <w:b w:val="0"/>
          <w:color w:val="111111"/>
        </w:rPr>
        <w:t xml:space="preserve"> Restricted Funds. Donor and grant restrictions that are accepted by the Corporation shall be separately tracked and used only for the permitted charitable purpose.</w:t>
      </w:r>
    </w:p>
    <w:p>
      <w:r>
        <w:rPr>
          <w:rFonts w:ascii="Aptos" w:hAnsi="Aptos" w:eastAsia="FangSong" w:cs="Aptos"/>
          <w:b/>
          <w:color w:val="111111"/>
        </w:rPr>
        <w:t>9.5</w:t>
      </w:r>
      <w:r>
        <w:rPr>
          <w:rFonts w:ascii="Aptos" w:hAnsi="Aptos" w:eastAsia="FangSong" w:cs="Aptos"/>
          <w:b w:val="0"/>
          <w:color w:val="111111"/>
        </w:rPr>
        <w:t xml:space="preserve"> Contracts. Officers may sign only within authority granted by the Board. Material, long-term, foreign, youth-data, IP, borrowing, and related-party contracts require prior Board or authorized committee approval.</w:t>
      </w:r>
    </w:p>
    <w:p>
      <w:r>
        <w:rPr>
          <w:rFonts w:ascii="Aptos" w:hAnsi="Aptos" w:eastAsia="FangSong" w:cs="Aptos"/>
          <w:b/>
          <w:color w:val="111111"/>
        </w:rPr>
        <w:t>9.6</w:t>
      </w:r>
      <w:r>
        <w:rPr>
          <w:rFonts w:ascii="Aptos" w:hAnsi="Aptos" w:eastAsia="FangSong" w:cs="Aptos"/>
          <w:b w:val="0"/>
          <w:color w:val="111111"/>
        </w:rPr>
        <w:t xml:space="preserve"> Public Inspection. The Corporation shall make its exemption application, determination letter, and annual returns available as required by federal law, while protecting information not required to be public.</w:t>
      </w:r>
    </w:p>
    <w:p>
      <w:pPr>
        <w:pStyle w:val="Heading2"/>
      </w:pPr>
      <w:r>
        <w:rPr>
          <w:rFonts w:ascii="Aptos" w:hAnsi="Aptos" w:eastAsia="FangSong" w:cs="Aptos"/>
        </w:rPr>
        <w:t>ARTICLE 10 — INDEMNIFICATION AND INSURANCE</w:t>
      </w:r>
    </w:p>
    <w:p>
      <w:r>
        <w:rPr>
          <w:rFonts w:ascii="Aptos" w:hAnsi="Aptos" w:eastAsia="FangSong" w:cs="Aptos"/>
          <w:b/>
          <w:color w:val="111111"/>
        </w:rPr>
        <w:t>10.1</w:t>
      </w:r>
      <w:r>
        <w:rPr>
          <w:rFonts w:ascii="Aptos" w:hAnsi="Aptos" w:eastAsia="FangSong" w:cs="Aptos"/>
          <w:b w:val="0"/>
          <w:color w:val="111111"/>
        </w:rPr>
        <w:t xml:space="preserve"> Indemnification. To the fullest extent permitted by Colorado law, the Corporation may indemnify directors, officers, employees, and agents who satisfy applicable standards of conduct, subject to required procedures and exclusions.</w:t>
      </w:r>
    </w:p>
    <w:p>
      <w:r>
        <w:rPr>
          <w:rFonts w:ascii="Aptos" w:hAnsi="Aptos" w:eastAsia="FangSong" w:cs="Aptos"/>
          <w:b/>
          <w:color w:val="111111"/>
        </w:rPr>
        <w:t>10.2</w:t>
      </w:r>
      <w:r>
        <w:rPr>
          <w:rFonts w:ascii="Aptos" w:hAnsi="Aptos" w:eastAsia="FangSong" w:cs="Aptos"/>
          <w:b w:val="0"/>
          <w:color w:val="111111"/>
        </w:rPr>
        <w:t xml:space="preserve"> Advancement. Expenses may be advanced only as permitted by law and upon required undertakings and approvals.</w:t>
      </w:r>
    </w:p>
    <w:p>
      <w:r>
        <w:rPr>
          <w:rFonts w:ascii="Aptos" w:hAnsi="Aptos" w:eastAsia="FangSong" w:cs="Aptos"/>
          <w:b/>
          <w:color w:val="111111"/>
        </w:rPr>
        <w:t>10.3</w:t>
      </w:r>
      <w:r>
        <w:rPr>
          <w:rFonts w:ascii="Aptos" w:hAnsi="Aptos" w:eastAsia="FangSong" w:cs="Aptos"/>
          <w:b w:val="0"/>
          <w:color w:val="111111"/>
        </w:rPr>
        <w:t xml:space="preserve"> Insurance. The Corporation may purchase D&amp;O, general liability, cyber, employment, safeguarding, and other insurance as the Board determines appropriate.</w:t>
      </w:r>
    </w:p>
    <w:p>
      <w:r>
        <w:rPr>
          <w:rFonts w:ascii="Aptos" w:hAnsi="Aptos" w:eastAsia="FangSong" w:cs="Aptos"/>
          <w:b/>
          <w:color w:val="111111"/>
        </w:rPr>
        <w:t>10.4</w:t>
      </w:r>
      <w:r>
        <w:rPr>
          <w:rFonts w:ascii="Aptos" w:hAnsi="Aptos" w:eastAsia="FangSong" w:cs="Aptos"/>
          <w:b w:val="0"/>
          <w:color w:val="111111"/>
        </w:rPr>
        <w:t xml:space="preserve"> No Private Benefit. Indemnification shall not excuse disallowed excess benefits, willful misconduct, unlawful distributions, or liabilities that may not lawfully be indemnified.</w:t>
      </w:r>
    </w:p>
    <w:p>
      <w:pPr>
        <w:pStyle w:val="Heading2"/>
      </w:pPr>
      <w:r>
        <w:rPr>
          <w:rFonts w:ascii="Aptos" w:hAnsi="Aptos" w:eastAsia="FangSong" w:cs="Aptos"/>
        </w:rPr>
        <w:t>ARTICLE 11 — AMENDMENTS, MERGER, AND DISSOLUTION</w:t>
      </w:r>
    </w:p>
    <w:p>
      <w:r>
        <w:rPr>
          <w:rFonts w:ascii="Aptos" w:hAnsi="Aptos" w:eastAsia="FangSong" w:cs="Aptos"/>
          <w:b/>
          <w:color w:val="111111"/>
        </w:rPr>
        <w:t>11.1</w:t>
      </w:r>
      <w:r>
        <w:rPr>
          <w:rFonts w:ascii="Aptos" w:hAnsi="Aptos" w:eastAsia="FangSong" w:cs="Aptos"/>
          <w:b w:val="0"/>
          <w:color w:val="111111"/>
        </w:rPr>
        <w:t xml:space="preserve"> Amendments. The Board may amend these Bylaws by the vote required by law and these Bylaws, after advance notice describing the proposed amendment. No amendment may authorize activities inconsistent with section 501(c)(3) or the Articles.</w:t>
      </w:r>
    </w:p>
    <w:p>
      <w:r>
        <w:rPr>
          <w:rFonts w:ascii="Aptos" w:hAnsi="Aptos" w:eastAsia="FangSong" w:cs="Aptos"/>
          <w:b/>
          <w:color w:val="111111"/>
        </w:rPr>
        <w:t>11.2</w:t>
      </w:r>
      <w:r>
        <w:rPr>
          <w:rFonts w:ascii="Aptos" w:hAnsi="Aptos" w:eastAsia="FangSong" w:cs="Aptos"/>
          <w:b w:val="0"/>
          <w:color w:val="111111"/>
        </w:rPr>
        <w:t xml:space="preserve"> Fundamental Transactions. Merger, conversion, sale of substantially all assets, or dissolution requires full legal and tax review and the approvals required by law.</w:t>
      </w:r>
    </w:p>
    <w:p>
      <w:r>
        <w:rPr>
          <w:rFonts w:ascii="Aptos" w:hAnsi="Aptos" w:eastAsia="FangSong" w:cs="Aptos"/>
          <w:b/>
          <w:color w:val="111111"/>
        </w:rPr>
        <w:t>11.3</w:t>
      </w:r>
      <w:r>
        <w:rPr>
          <w:rFonts w:ascii="Aptos" w:hAnsi="Aptos" w:eastAsia="FangSong" w:cs="Aptos"/>
          <w:b w:val="0"/>
          <w:color w:val="111111"/>
        </w:rPr>
        <w:t xml:space="preserve"> Dissolution. Assets shall be distributed only as provided in the Articles of Incorporation and section 501(c)(3). No related commercial entity or founder may receive charitable assets except payment of a valid, reasonable obligation.</w:t>
      </w:r>
    </w:p>
    <w:p>
      <w:pPr>
        <w:pStyle w:val="Heading2"/>
      </w:pPr>
      <w:r>
        <w:rPr>
          <w:rFonts w:ascii="Aptos" w:hAnsi="Aptos" w:eastAsia="FangSong" w:cs="Aptos"/>
        </w:rPr>
        <w:t>SECRETARY’S CERTIFICATE</w:t>
      </w:r>
    </w:p>
    <w:p>
      <w:r>
        <w:rPr>
          <w:rFonts w:ascii="Aptos" w:hAnsi="Aptos" w:eastAsia="FangSong" w:cs="Aptos"/>
        </w:rPr>
        <w:t>I certify that the foregoing Bylaws were adopted by the Board of Directors of Global Prosperity and Transition Initiative, Inc. effective [date], and remain in effect as of the date below.</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3024"/>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Secretary</w:t>
            </w:r>
          </w:p>
        </w:tc>
        <w:tc>
          <w:tcPr>
            <w:tcW w:type="dxa" w:w="4176"/>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Signature</w:t>
            </w:r>
          </w:p>
        </w:tc>
        <w:tc>
          <w:tcPr>
            <w:tcW w:type="dxa" w:w="2376"/>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Date</w:t>
            </w:r>
          </w:p>
        </w:tc>
      </w:tr>
      <w:tr>
        <w:trPr>
          <w:cantSplit/>
        </w:trPr>
        <w:tc>
          <w:tcPr>
            <w:tcW w:type="dxa" w:w="30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[Name]</w:t>
            </w:r>
          </w:p>
        </w:tc>
        <w:tc>
          <w:tcPr>
            <w:tcW w:type="dxa" w:w="41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____________________________</w:t>
            </w:r>
          </w:p>
        </w:tc>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____________</w:t>
            </w:r>
          </w:p>
        </w:tc>
      </w:tr>
    </w:tbl>
    <w:p>
      <w:pPr>
        <w:spacing w:after="0"/>
      </w:pPr>
    </w:p>
    <w:p>
      <w:r>
        <w:br w:type="page"/>
      </w:r>
    </w:p>
    <w:p>
      <w:pPr>
        <w:spacing w:after="40"/>
      </w:pPr>
      <w:r>
        <w:rPr>
          <w:rFonts w:ascii="Aptos" w:hAnsi="Aptos" w:eastAsia="Microsoft YaHei" w:cs="Aptos"/>
          <w:b/>
          <w:color w:val="6A6A6A"/>
          <w:sz w:val="16"/>
        </w:rPr>
        <w:t>MODULE D</w:t>
      </w:r>
    </w:p>
    <w:p>
      <w:pPr>
        <w:pStyle w:val="Heading1"/>
      </w:pPr>
      <w:r>
        <w:rPr>
          <w:rFonts w:ascii="Aptos" w:hAnsi="Aptos" w:eastAsia="FangSong" w:cs="Aptos"/>
        </w:rPr>
        <w:t>附录 D｜利益冲突政策与年度披露</w:t>
      </w:r>
    </w:p>
    <w:p>
      <w:pPr>
        <w:keepLines/>
      </w:pPr>
      <w:r>
        <w:rPr>
          <w:rFonts w:ascii="Aptos" w:hAnsi="Aptos" w:eastAsia="FangSong" w:cs="Aptos"/>
          <w:color w:val="6A6A6A"/>
          <w:sz w:val="21"/>
        </w:rPr>
        <w:t>政策必须被实际执行；一份已签但不回避、不比价的政策不会保护机构。</w:t>
      </w:r>
    </w:p>
    <w:p>
      <w:pPr>
        <w:spacing w:after="180"/>
        <w:pBdr>
          <w:bottom w:val="single" w:sz="10" w:space="1" w:color="111111"/>
        </w:pBdr>
      </w:pPr>
    </w:p>
    <w:p>
      <w:pPr>
        <w:pStyle w:val="Heading2"/>
      </w:pPr>
      <w:r>
        <w:rPr>
          <w:rFonts w:ascii="Aptos" w:hAnsi="Aptos" w:eastAsia="FangSong" w:cs="Aptos"/>
        </w:rPr>
        <w:t>CONFLICT OF INTEREST POLICY</w:t>
      </w:r>
    </w:p>
    <w:p>
      <w:pPr>
        <w:pStyle w:val="Heading3"/>
      </w:pPr>
      <w:r>
        <w:rPr>
          <w:rFonts w:ascii="Aptos" w:hAnsi="Aptos" w:eastAsia="FangSong" w:cs="Aptos"/>
        </w:rPr>
        <w:t>1. Purpose</w:t>
      </w:r>
    </w:p>
    <w:p>
      <w:r>
        <w:rPr>
          <w:rFonts w:ascii="Aptos" w:hAnsi="Aptos" w:eastAsia="FangSong" w:cs="Aptos"/>
        </w:rPr>
        <w:t>This policy protects the Corporation when considering a transaction or arrangement that may benefit a director, officer, key employee, substantial contributor, family member, or an entity connected to any such person. It supplements applicable law and does not replace stricter duties.</w:t>
      </w:r>
    </w:p>
    <w:p>
      <w:pPr>
        <w:pStyle w:val="Heading3"/>
      </w:pPr>
      <w:r>
        <w:rPr>
          <w:rFonts w:ascii="Aptos" w:hAnsi="Aptos" w:eastAsia="FangSong" w:cs="Aptos"/>
        </w:rPr>
        <w:t>2. Financial Interest</w:t>
      </w:r>
    </w:p>
    <w:p>
      <w:r>
        <w:rPr>
          <w:rFonts w:ascii="Aptos" w:hAnsi="Aptos" w:eastAsia="FangSong" w:cs="Aptos"/>
        </w:rPr>
        <w:t>A person has a financial interest if the person, directly or indirectly through family or business relationships, has an ownership, investment, compensation, creditor, governance, intellectual-property, data, referral, or other material economic interest in a proposed or existing transaction. A financial interest is not automatically a conflict; disinterested directors determine whether a conflict exists.</w:t>
      </w:r>
    </w:p>
    <w:p>
      <w:pPr>
        <w:pStyle w:val="Heading3"/>
      </w:pPr>
      <w:r>
        <w:rPr>
          <w:rFonts w:ascii="Aptos" w:hAnsi="Aptos" w:eastAsia="FangSong" w:cs="Aptos"/>
        </w:rPr>
        <w:t>3. Duty to Disclose</w:t>
      </w:r>
    </w:p>
    <w:p>
      <w:r>
        <w:rPr>
          <w:rFonts w:ascii="Aptos" w:hAnsi="Aptos" w:eastAsia="FangSong" w:cs="Aptos"/>
        </w:rPr>
        <w:t>The interested person must disclose the existence and all material facts before discussion or action, including ownership, control, compensation, expected benefits, family relationships, other clients, IP rights, and any role with The Climate Passport or related commercial entities.</w:t>
      </w:r>
    </w:p>
    <w:p>
      <w:pPr>
        <w:pStyle w:val="Heading3"/>
      </w:pPr>
      <w:r>
        <w:rPr>
          <w:rFonts w:ascii="Aptos" w:hAnsi="Aptos" w:eastAsia="FangSong" w:cs="Aptos"/>
        </w:rPr>
        <w:t>4. Determining a Conflict</w:t>
      </w:r>
    </w:p>
    <w:p>
      <w:r>
        <w:rPr>
          <w:rFonts w:ascii="Aptos" w:hAnsi="Aptos" w:eastAsia="FangSong" w:cs="Aptos"/>
        </w:rPr>
        <w:t>After disclosure and any factual presentation, the interested person shall leave the meeting while disinterested directors determine whether a conflict exists. The minutes shall record the disclosure, departure, determination, and vote.</w:t>
      </w:r>
    </w:p>
    <w:p>
      <w:pPr>
        <w:pStyle w:val="Heading3"/>
      </w:pPr>
      <w:r>
        <w:rPr>
          <w:rFonts w:ascii="Aptos" w:hAnsi="Aptos" w:eastAsia="FangSong" w:cs="Aptos"/>
        </w:rPr>
        <w:t>5. Approval Procedure</w:t>
      </w:r>
    </w:p>
    <w:p>
      <w:r>
        <w:rPr>
          <w:rFonts w:ascii="Aptos" w:hAnsi="Aptos" w:eastAsia="FangSong" w:cs="Aptos"/>
        </w:rPr>
        <w:t>Disinterested directors shall investigate reasonable alternatives; obtain comparability, bids, or valuation; determine the transaction is fair, reasonable, in the Corporation’s best interests and furthers exempt purposes; approve it in advance; and document the basis. The interested person shall not vote or improperly influence the process.</w:t>
      </w:r>
    </w:p>
    <w:p>
      <w:pPr>
        <w:pStyle w:val="Heading3"/>
      </w:pPr>
      <w:r>
        <w:rPr>
          <w:rFonts w:ascii="Aptos" w:hAnsi="Aptos" w:eastAsia="FangSong" w:cs="Aptos"/>
        </w:rPr>
        <w:t>6. Compensation</w:t>
      </w:r>
    </w:p>
    <w:p>
      <w:r>
        <w:rPr>
          <w:rFonts w:ascii="Aptos" w:hAnsi="Aptos" w:eastAsia="FangSong" w:cs="Aptos"/>
        </w:rPr>
        <w:t>A person receiving compensation from the Corporation may not vote on that person’s compensation. Disinterested directors shall use appropriate comparability data and contemporaneous documentation. Reasonable participation to provide factual information does not permit presence during deliberation or vote.</w:t>
      </w:r>
    </w:p>
    <w:p>
      <w:pPr>
        <w:pStyle w:val="Heading3"/>
      </w:pPr>
      <w:r>
        <w:rPr>
          <w:rFonts w:ascii="Aptos" w:hAnsi="Aptos" w:eastAsia="FangSong" w:cs="Aptos"/>
        </w:rPr>
        <w:t>7. Violations</w:t>
      </w:r>
    </w:p>
    <w:p>
      <w:r>
        <w:rPr>
          <w:rFonts w:ascii="Aptos" w:hAnsi="Aptos" w:eastAsia="FangSong" w:cs="Aptos"/>
        </w:rPr>
        <w:t>If there is reasonable cause to believe a person failed to disclose, the Board shall give the person an opportunity to explain, investigate, and take corrective or disciplinary action. The Board shall consider correction of any excess benefit, contract termination, repayment, disclosure, and professional advice.</w:t>
      </w:r>
    </w:p>
    <w:p>
      <w:pPr>
        <w:pStyle w:val="Heading3"/>
      </w:pPr>
      <w:r>
        <w:rPr>
          <w:rFonts w:ascii="Aptos" w:hAnsi="Aptos" w:eastAsia="FangSong" w:cs="Aptos"/>
        </w:rPr>
        <w:t>8. Records</w:t>
      </w:r>
    </w:p>
    <w:p>
      <w:r>
        <w:rPr>
          <w:rFonts w:ascii="Aptos" w:hAnsi="Aptos" w:eastAsia="FangSong" w:cs="Aptos"/>
        </w:rPr>
        <w:t>Minutes shall identify persons present, disclosed interests, recusals, alternatives, comparability data, terms, votes, monitoring, and any corrective action.</w:t>
      </w:r>
    </w:p>
    <w:p>
      <w:pPr>
        <w:pStyle w:val="Heading3"/>
      </w:pPr>
      <w:r>
        <w:rPr>
          <w:rFonts w:ascii="Aptos" w:hAnsi="Aptos" w:eastAsia="FangSong" w:cs="Aptos"/>
        </w:rPr>
        <w:t>9. Annual Statements</w:t>
      </w:r>
    </w:p>
    <w:p>
      <w:r>
        <w:rPr>
          <w:rFonts w:ascii="Aptos" w:hAnsi="Aptos" w:eastAsia="FangSong" w:cs="Aptos"/>
        </w:rPr>
        <w:t>Each director, officer, and key employee shall annually affirm receipt and understanding of the policy, agreement to comply, and understanding that the Corporation must primarily engage in activities accomplishing exempt purposes.</w:t>
      </w:r>
    </w:p>
    <w:p>
      <w:pPr>
        <w:pStyle w:val="Heading3"/>
      </w:pPr>
      <w:r>
        <w:rPr>
          <w:rFonts w:ascii="Aptos" w:hAnsi="Aptos" w:eastAsia="FangSong" w:cs="Aptos"/>
        </w:rPr>
        <w:t>10. Periodic Reviews</w:t>
      </w:r>
    </w:p>
    <w:p>
      <w:r>
        <w:rPr>
          <w:rFonts w:ascii="Aptos" w:hAnsi="Aptos" w:eastAsia="FangSong" w:cs="Aptos"/>
        </w:rPr>
        <w:t>At least annually the Board shall review compensation, related-party contracts, shared resources, IP/data licenses, sponsor benefits, cost allocations, and whether arrangements create private inurement, excess benefit, or more than incidental private benefit.</w:t>
      </w:r>
    </w:p>
    <w:p>
      <w:pPr>
        <w:pStyle w:val="Heading2"/>
      </w:pPr>
      <w:r>
        <w:rPr>
          <w:rFonts w:ascii="Aptos" w:hAnsi="Aptos" w:eastAsia="FangSong" w:cs="Aptos"/>
        </w:rPr>
        <w:t>ANNUAL CONFLICT DISCLOSURE</w:t>
      </w:r>
    </w:p>
    <w:tbl>
      <w:tblPr>
        <w:tblW w:type="dxa" w:w="9360"/>
        <w:tblLayout w:type="fixed"/>
        <w:tblLook w:firstColumn="1" w:firstRow="1" w:lastColumn="0" w:lastRow="0" w:noHBand="0" w:noVBand="1" w:val="04A0"/>
        <w:jc w:val="center"/>
        <w:tblInd w:w="120" w:type="dxa"/>
      </w:tblPr>
      <w:tblGrid>
        <w:gridCol w:w="4853"/>
        <w:gridCol w:w="4853"/>
      </w:tblGrid>
      <w:tr>
        <w:trPr>
          <w:tblHeader w:val="true"/>
          <w:cantSplit/>
        </w:trPr>
        <w:tc>
          <w:tcPr>
            <w:tcW w:type="dxa" w:w="208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Category</w:t>
            </w:r>
          </w:p>
        </w:tc>
        <w:tc>
          <w:tcPr>
            <w:tcW w:type="dxa" w:w="748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Disclosure</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Positions</w:t>
            </w:r>
          </w:p>
        </w:tc>
        <w:tc>
          <w:tcPr>
            <w:tcW w:type="dxa" w:w="74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List every position held with GPTI, The Climate Passport, Shanghai Climate Week entities, sponsors, vendors, grantees, and other relevant organizations: [ ]</w:t>
            </w:r>
          </w:p>
        </w:tc>
      </w:tr>
      <w:tr>
        <w:trPr>
          <w:cantSplit/>
        </w:trPr>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Ownership/investment</w:t>
            </w:r>
          </w:p>
        </w:tc>
        <w:tc>
          <w:tcPr>
            <w:tcW w:type="dxa" w:w="74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List direct/indirect ownership, options, revenue share, debt, token, royalty, or other economic interest: [ ]</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Compensation</w:t>
            </w:r>
          </w:p>
        </w:tc>
        <w:tc>
          <w:tcPr>
            <w:tcW w:type="dxa" w:w="74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List compensation, fees, benefits, travel, gifts, grants, scholarships, or expected payments from relevant parties: [ ]</w:t>
            </w:r>
          </w:p>
        </w:tc>
      </w:tr>
      <w:tr>
        <w:trPr>
          <w:cantSplit/>
        </w:trPr>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Family relationships</w:t>
            </w:r>
          </w:p>
        </w:tc>
        <w:tc>
          <w:tcPr>
            <w:tcW w:type="dxa" w:w="74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List spouse/partner, ancestors, siblings, children/grandchildren and spouses/partners with relevant interests: [ ]</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IP/data</w:t>
            </w:r>
          </w:p>
        </w:tc>
        <w:tc>
          <w:tcPr>
            <w:tcW w:type="dxa" w:w="74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List ownership or rights in names, marks, domains, software, data, standards, reports, content, or inventions GPTI may use: [ ]</w:t>
            </w:r>
          </w:p>
        </w:tc>
      </w:tr>
      <w:tr>
        <w:trPr>
          <w:cantSplit/>
        </w:trPr>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Transactions</w:t>
            </w:r>
          </w:p>
        </w:tc>
        <w:tc>
          <w:tcPr>
            <w:tcW w:type="dxa" w:w="74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List any current/proposed contract, referral, shared staff/address, sponsorship, grant, loan, or asset transfer: [ ]</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Other</w:t>
            </w:r>
          </w:p>
        </w:tc>
        <w:tc>
          <w:tcPr>
            <w:tcW w:type="dxa" w:w="74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List any fact a reasonable person could view as affecting independent judgment: [ ]</w:t>
            </w:r>
          </w:p>
        </w:tc>
      </w:tr>
    </w:tbl>
    <w:p>
      <w:pPr>
        <w:spacing w:after="0"/>
      </w:pPr>
    </w:p>
    <w:p>
      <w:r>
        <w:rPr>
          <w:rFonts w:ascii="Aptos" w:hAnsi="Aptos" w:eastAsia="FangSong" w:cs="Aptos"/>
        </w:rPr>
        <w:t>I have received and read the Conflict of Interest Policy, agree to comply, and certify this disclosure is complete. I will promptly update it if facts change.</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3024"/>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Name/title</w:t>
            </w:r>
          </w:p>
        </w:tc>
        <w:tc>
          <w:tcPr>
            <w:tcW w:type="dxa" w:w="4176"/>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Signature</w:t>
            </w:r>
          </w:p>
        </w:tc>
        <w:tc>
          <w:tcPr>
            <w:tcW w:type="dxa" w:w="2376"/>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Date</w:t>
            </w:r>
          </w:p>
        </w:tc>
      </w:tr>
      <w:tr>
        <w:trPr>
          <w:cantSplit/>
        </w:trPr>
        <w:tc>
          <w:tcPr>
            <w:tcW w:type="dxa" w:w="30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 ]</w:t>
            </w:r>
          </w:p>
        </w:tc>
        <w:tc>
          <w:tcPr>
            <w:tcW w:type="dxa" w:w="41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____________________________</w:t>
            </w:r>
          </w:p>
        </w:tc>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____________</w:t>
            </w:r>
          </w:p>
        </w:tc>
      </w:tr>
    </w:tbl>
    <w:p>
      <w:pPr>
        <w:spacing w:after="0"/>
      </w:pPr>
    </w:p>
    <w:p>
      <w:r>
        <w:br w:type="page"/>
      </w:r>
    </w:p>
    <w:p>
      <w:pPr>
        <w:spacing w:after="40"/>
      </w:pPr>
      <w:r>
        <w:rPr>
          <w:rFonts w:ascii="Aptos" w:hAnsi="Aptos" w:eastAsia="Microsoft YaHei" w:cs="Aptos"/>
          <w:b/>
          <w:color w:val="6A6A6A"/>
          <w:sz w:val="16"/>
        </w:rPr>
        <w:t>MODULE E</w:t>
      </w:r>
    </w:p>
    <w:p>
      <w:pPr>
        <w:pStyle w:val="Heading1"/>
      </w:pPr>
      <w:r>
        <w:rPr>
          <w:rFonts w:ascii="Aptos" w:hAnsi="Aptos" w:eastAsia="FangSong" w:cs="Aptos"/>
        </w:rPr>
        <w:t>附录 E｜关联交易独立批准决议</w:t>
      </w:r>
    </w:p>
    <w:p>
      <w:pPr>
        <w:keepLines/>
      </w:pPr>
      <w:r>
        <w:rPr>
          <w:rFonts w:ascii="Aptos" w:hAnsi="Aptos" w:eastAsia="FangSong" w:cs="Aptos"/>
          <w:color w:val="6A6A6A"/>
          <w:sz w:val="21"/>
        </w:rPr>
        <w:t>每一笔 Climate Passport、创始人、董事亲属或其公司交易单独填写，不用一份年度总授权替代。</w:t>
      </w:r>
    </w:p>
    <w:p>
      <w:pPr>
        <w:spacing w:after="180"/>
        <w:pBdr>
          <w:bottom w:val="single" w:sz="10" w:space="1" w:color="111111"/>
        </w:pBdr>
      </w:pPr>
    </w:p>
    <w:p>
      <w:pPr>
        <w:pStyle w:val="Heading2"/>
      </w:pPr>
      <w:r>
        <w:rPr>
          <w:rFonts w:ascii="Aptos" w:hAnsi="Aptos" w:eastAsia="FangSong" w:cs="Aptos"/>
        </w:rPr>
        <w:t>RELATED-PARTY TRANSACTION REVIEW AND RESOLUTION</w:t>
      </w:r>
    </w:p>
    <w:tbl>
      <w:tblPr>
        <w:tblW w:type="dxa" w:w="9360"/>
        <w:tblLayout w:type="fixed"/>
        <w:tblLook w:firstColumn="1" w:firstRow="1" w:lastColumn="0" w:lastRow="0" w:noHBand="0" w:noVBand="1" w:val="04A0"/>
        <w:jc w:val="center"/>
        <w:tblInd w:w="120" w:type="dxa"/>
      </w:tblPr>
      <w:tblGrid>
        <w:gridCol w:w="4853"/>
        <w:gridCol w:w="4853"/>
      </w:tblGrid>
      <w:tr>
        <w:trPr>
          <w:tblHeader w:val="true"/>
          <w:cantSplit/>
        </w:trPr>
        <w:tc>
          <w:tcPr>
            <w:tcW w:type="dxa" w:w="244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Field</w:t>
            </w:r>
          </w:p>
        </w:tc>
        <w:tc>
          <w:tcPr>
            <w:tcW w:type="dxa" w:w="712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Required entry</w:t>
            </w:r>
          </w:p>
        </w:tc>
      </w:tr>
      <w:tr>
        <w:trPr>
          <w:cantSplit/>
        </w:trPr>
        <w:tc>
          <w:tcPr>
            <w:tcW w:type="dxa" w:w="24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Transaction</w:t>
            </w:r>
          </w:p>
        </w:tc>
        <w:tc>
          <w:tcPr>
            <w:tcW w:type="dxa" w:w="71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[Describe goods/services/IP/data/sponsorship/shared resources, term, amount, payment schedule]</w:t>
            </w:r>
          </w:p>
        </w:tc>
      </w:tr>
      <w:tr>
        <w:trPr>
          <w:cantSplit/>
        </w:trPr>
        <w:tc>
          <w:tcPr>
            <w:tcW w:type="dxa" w:w="24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Related person/entity</w:t>
            </w:r>
          </w:p>
        </w:tc>
        <w:tc>
          <w:tcPr>
            <w:tcW w:type="dxa" w:w="712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[Legal name, ownership, control, family/business relationship]</w:t>
            </w:r>
          </w:p>
        </w:tc>
      </w:tr>
      <w:tr>
        <w:trPr>
          <w:cantSplit/>
        </w:trPr>
        <w:tc>
          <w:tcPr>
            <w:tcW w:type="dxa" w:w="24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Interested directors/officers</w:t>
            </w:r>
          </w:p>
        </w:tc>
        <w:tc>
          <w:tcPr>
            <w:tcW w:type="dxa" w:w="71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[Names and exact financial interests]</w:t>
            </w:r>
          </w:p>
        </w:tc>
      </w:tr>
      <w:tr>
        <w:trPr>
          <w:cantSplit/>
        </w:trPr>
        <w:tc>
          <w:tcPr>
            <w:tcW w:type="dxa" w:w="24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Charitable need</w:t>
            </w:r>
          </w:p>
        </w:tc>
        <w:tc>
          <w:tcPr>
            <w:tcW w:type="dxa" w:w="712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[Why GPTI needs the transaction to carry out an identified exempt activity]</w:t>
            </w:r>
          </w:p>
        </w:tc>
      </w:tr>
      <w:tr>
        <w:trPr>
          <w:cantSplit/>
        </w:trPr>
        <w:tc>
          <w:tcPr>
            <w:tcW w:type="dxa" w:w="24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Alternatives considered</w:t>
            </w:r>
          </w:p>
        </w:tc>
        <w:tc>
          <w:tcPr>
            <w:tcW w:type="dxa" w:w="71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[At least two alternatives, including no transaction/open license/independent vendor]</w:t>
            </w:r>
          </w:p>
        </w:tc>
      </w:tr>
      <w:tr>
        <w:trPr>
          <w:cantSplit/>
        </w:trPr>
        <w:tc>
          <w:tcPr>
            <w:tcW w:type="dxa" w:w="24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Comparability evidence</w:t>
            </w:r>
          </w:p>
        </w:tc>
        <w:tc>
          <w:tcPr>
            <w:tcW w:type="dxa" w:w="712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[Quotes, valuation, surveys, 990 data, market contracts; date and preparer]</w:t>
            </w:r>
          </w:p>
        </w:tc>
      </w:tr>
      <w:tr>
        <w:trPr>
          <w:cantSplit/>
        </w:trPr>
        <w:tc>
          <w:tcPr>
            <w:tcW w:type="dxa" w:w="24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Key protections</w:t>
            </w:r>
          </w:p>
        </w:tc>
        <w:tc>
          <w:tcPr>
            <w:tcW w:type="dxa" w:w="71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[Scope, FMV, deliverables, IP, data, audit, termination, no endorsement, repayment]</w:t>
            </w:r>
          </w:p>
        </w:tc>
      </w:tr>
      <w:tr>
        <w:trPr>
          <w:cantSplit/>
        </w:trPr>
        <w:tc>
          <w:tcPr>
            <w:tcW w:type="dxa" w:w="24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Monitoring owner</w:t>
            </w:r>
          </w:p>
        </w:tc>
        <w:tc>
          <w:tcPr>
            <w:tcW w:type="dxa" w:w="712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[Independent director + review dates]</w:t>
            </w:r>
          </w:p>
        </w:tc>
      </w:tr>
    </w:tbl>
    <w:p>
      <w:pPr>
        <w:spacing w:after="0"/>
      </w:pPr>
    </w:p>
    <w:p>
      <w:pPr>
        <w:pStyle w:val="Heading2"/>
      </w:pPr>
      <w:r>
        <w:rPr>
          <w:rFonts w:ascii="Aptos" w:hAnsi="Aptos" w:eastAsia="FangSong" w:cs="Aptos"/>
        </w:rPr>
        <w:t>Board Findings</w:t>
      </w:r>
    </w:p>
    <w:p>
      <w:pPr>
        <w:pStyle w:val="ListBullet"/>
      </w:pPr>
      <w:r>
        <w:rPr>
          <w:rFonts w:ascii="Aptos" w:hAnsi="Aptos" w:eastAsia="FangSong" w:cs="Aptos"/>
        </w:rPr>
        <w:t>☐ All material facts and financial interests were disclosed before deliberation.</w:t>
      </w:r>
    </w:p>
    <w:p>
      <w:pPr>
        <w:pStyle w:val="ListBullet"/>
      </w:pPr>
      <w:r>
        <w:rPr>
          <w:rFonts w:ascii="Aptos" w:hAnsi="Aptos" w:eastAsia="FangSong" w:cs="Aptos"/>
        </w:rPr>
        <w:t>☐ Interested persons left the meeting for deliberation and vote and did not improperly influence the decision.</w:t>
      </w:r>
    </w:p>
    <w:p>
      <w:pPr>
        <w:pStyle w:val="ListBullet"/>
      </w:pPr>
      <w:r>
        <w:rPr>
          <w:rFonts w:ascii="Aptos" w:hAnsi="Aptos" w:eastAsia="FangSong" w:cs="Aptos"/>
        </w:rPr>
        <w:t>☐ The disinterested directors considered reasonable alternatives and the comparability evidence listed above.</w:t>
      </w:r>
    </w:p>
    <w:p>
      <w:pPr>
        <w:pStyle w:val="ListBullet"/>
      </w:pPr>
      <w:r>
        <w:rPr>
          <w:rFonts w:ascii="Aptos" w:hAnsi="Aptos" w:eastAsia="FangSong" w:cs="Aptos"/>
        </w:rPr>
        <w:t>☐ The transaction is fair and reasonable to GPTI, is in GPTI’s best interests, furthers a specifically identified exempt purpose, and does not provide more than incidental private benefit.</w:t>
      </w:r>
    </w:p>
    <w:p>
      <w:pPr>
        <w:pStyle w:val="ListBullet"/>
      </w:pPr>
      <w:r>
        <w:rPr>
          <w:rFonts w:ascii="Aptos" w:hAnsi="Aptos" w:eastAsia="FangSong" w:cs="Aptos"/>
        </w:rPr>
        <w:t>☐ The approved amount does not exceed fair market value, and the contract includes the protections listed above.</w:t>
      </w:r>
    </w:p>
    <w:p>
      <w:pPr>
        <w:pStyle w:val="ListBullet"/>
      </w:pPr>
      <w:r>
        <w:rPr>
          <w:rFonts w:ascii="Aptos" w:hAnsi="Aptos" w:eastAsia="FangSong" w:cs="Aptos"/>
        </w:rPr>
        <w:t>☐ The Secretary shall retain this resolution, all evidence, the signed contract, invoices, deliverables, and annual monitoring reports.</w:t>
      </w:r>
    </w:p>
    <w:p>
      <w:r>
        <w:rPr>
          <w:rFonts w:ascii="Aptos" w:hAnsi="Aptos" w:eastAsia="FangSong" w:cs="Aptos"/>
        </w:rPr>
        <w:t>RESOLVED, that the transaction is [APPROVED / NOT APPROVED / CONDITIONALLY APPROVED] on the terms above, subject to [conditions].</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324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Disinterested director</w:t>
            </w:r>
          </w:p>
        </w:tc>
        <w:tc>
          <w:tcPr>
            <w:tcW w:type="dxa" w:w="252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Vote</w:t>
            </w:r>
          </w:p>
        </w:tc>
        <w:tc>
          <w:tcPr>
            <w:tcW w:type="dxa" w:w="381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Signature/date</w:t>
            </w:r>
          </w:p>
        </w:tc>
      </w:tr>
      <w:tr>
        <w:trPr>
          <w:cantSplit/>
        </w:trPr>
        <w:tc>
          <w:tcPr>
            <w:tcW w:type="dxa" w:w="32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[Name]</w:t>
            </w:r>
          </w:p>
        </w:tc>
        <w:tc>
          <w:tcPr>
            <w:tcW w:type="dxa" w:w="25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For / Against / Abstain</w:t>
            </w:r>
          </w:p>
        </w:tc>
        <w:tc>
          <w:tcPr>
            <w:tcW w:type="dxa" w:w="381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 ]</w:t>
            </w:r>
          </w:p>
        </w:tc>
      </w:tr>
      <w:tr>
        <w:trPr>
          <w:cantSplit/>
        </w:trPr>
        <w:tc>
          <w:tcPr>
            <w:tcW w:type="dxa" w:w="32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[Name]</w:t>
            </w:r>
          </w:p>
        </w:tc>
        <w:tc>
          <w:tcPr>
            <w:tcW w:type="dxa" w:w="25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For / Against / Abstain</w:t>
            </w:r>
          </w:p>
        </w:tc>
        <w:tc>
          <w:tcPr>
            <w:tcW w:type="dxa" w:w="381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 ]</w:t>
            </w:r>
          </w:p>
        </w:tc>
      </w:tr>
      <w:tr>
        <w:trPr>
          <w:cantSplit/>
        </w:trPr>
        <w:tc>
          <w:tcPr>
            <w:tcW w:type="dxa" w:w="32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[Name]</w:t>
            </w:r>
          </w:p>
        </w:tc>
        <w:tc>
          <w:tcPr>
            <w:tcW w:type="dxa" w:w="25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For / Against / Abstain</w:t>
            </w:r>
          </w:p>
        </w:tc>
        <w:tc>
          <w:tcPr>
            <w:tcW w:type="dxa" w:w="381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 ]</w:t>
            </w:r>
          </w:p>
        </w:tc>
      </w:tr>
    </w:tbl>
    <w:p>
      <w:pPr>
        <w:spacing w:after="0"/>
      </w:pPr>
    </w:p>
    <w:p>
      <w:r>
        <w:rPr>
          <w:rFonts w:ascii="Aptos" w:hAnsi="Aptos" w:eastAsia="FangSong" w:cs="Aptos"/>
          <w:color w:val="6A6A6A"/>
          <w:sz w:val="18"/>
        </w:rPr>
        <w:t>Interested persons absent from deliberation/vote: [ ]. Meeting date/time/method: [ ]. Materials attached: [ ].</w:t>
      </w:r>
    </w:p>
    <w:p>
      <w:r>
        <w:br w:type="page"/>
      </w:r>
    </w:p>
    <w:p>
      <w:pPr>
        <w:spacing w:after="40"/>
      </w:pPr>
      <w:r>
        <w:rPr>
          <w:rFonts w:ascii="Aptos" w:hAnsi="Aptos" w:eastAsia="Microsoft YaHei" w:cs="Aptos"/>
          <w:b/>
          <w:color w:val="6A6A6A"/>
          <w:sz w:val="16"/>
        </w:rPr>
        <w:t>MODULE F</w:t>
      </w:r>
    </w:p>
    <w:p>
      <w:pPr>
        <w:pStyle w:val="Heading1"/>
      </w:pPr>
      <w:r>
        <w:rPr>
          <w:rFonts w:ascii="Aptos" w:hAnsi="Aptos" w:eastAsia="FangSong" w:cs="Aptos"/>
        </w:rPr>
        <w:t>附录 F｜银行决议模板</w:t>
      </w:r>
    </w:p>
    <w:p>
      <w:pPr>
        <w:keepLines/>
      </w:pPr>
      <w:r>
        <w:rPr>
          <w:rFonts w:ascii="Aptos" w:hAnsi="Aptos" w:eastAsia="FangSong" w:cs="Aptos"/>
          <w:color w:val="6A6A6A"/>
          <w:sz w:val="21"/>
        </w:rPr>
        <w:t>开户分行可能提供自己的表格；本决议作为董事会权限底稿，并与银行版本保持一致。</w:t>
      </w:r>
    </w:p>
    <w:p>
      <w:pPr>
        <w:spacing w:after="180"/>
        <w:pBdr>
          <w:bottom w:val="single" w:sz="10" w:space="1" w:color="111111"/>
        </w:pBdr>
      </w:pPr>
    </w:p>
    <w:p>
      <w:pPr>
        <w:pStyle w:val="Heading2"/>
      </w:pPr>
      <w:r>
        <w:rPr>
          <w:rFonts w:ascii="Aptos" w:hAnsi="Aptos" w:eastAsia="FangSong" w:cs="Aptos"/>
        </w:rPr>
        <w:t>BANKING RESOLUTION</w:t>
      </w:r>
    </w:p>
    <w:p>
      <w:pPr>
        <w:pStyle w:val="ListBullet"/>
      </w:pPr>
      <w:r>
        <w:rPr>
          <w:rFonts w:ascii="Aptos" w:hAnsi="Aptos" w:eastAsia="FangSong" w:cs="Aptos"/>
        </w:rPr>
        <w:t>RESOLVED, The Corporation is authorized to open one or more deposit and payment accounts at [Bank] in the legal name Global Prosperity and Transition Initiative, Inc., EIN [ ].</w:t>
      </w:r>
    </w:p>
    <w:p>
      <w:pPr>
        <w:pStyle w:val="ListBullet"/>
      </w:pPr>
      <w:r>
        <w:rPr>
          <w:rFonts w:ascii="Aptos" w:hAnsi="Aptos" w:eastAsia="FangSong" w:cs="Aptos"/>
        </w:rPr>
        <w:t>RESOLVED, Authorized signers are [Name/Title] and [Name/Title]. The bank may require additional identification and may reject or limit the account under its KYC policies.</w:t>
      </w:r>
    </w:p>
    <w:p>
      <w:pPr>
        <w:pStyle w:val="ListBullet"/>
      </w:pPr>
      <w:r>
        <w:rPr>
          <w:rFonts w:ascii="Aptos" w:hAnsi="Aptos" w:eastAsia="FangSong" w:cs="Aptos"/>
        </w:rPr>
        <w:t>RESOLVED, Any wire, ACH, check, card, or transfer above $[threshold], and every payment to a director, officer, founder, family member, related entity, foreign grantee, or new foreign bank account, requires documented approval by two authorized persons, at least one of whom is disinterested for a related transaction.</w:t>
      </w:r>
    </w:p>
    <w:p>
      <w:pPr>
        <w:pStyle w:val="ListBullet"/>
      </w:pPr>
      <w:r>
        <w:rPr>
          <w:rFonts w:ascii="Aptos" w:hAnsi="Aptos" w:eastAsia="FangSong" w:cs="Aptos"/>
        </w:rPr>
        <w:t>RESOLVED, No signer may approve that signer’s own compensation, reimbursement, vendor payment, advance, or related-party transaction.</w:t>
      </w:r>
    </w:p>
    <w:p>
      <w:pPr>
        <w:pStyle w:val="ListBullet"/>
      </w:pPr>
      <w:r>
        <w:rPr>
          <w:rFonts w:ascii="Aptos" w:hAnsi="Aptos" w:eastAsia="FangSong" w:cs="Aptos"/>
        </w:rPr>
        <w:t>RESOLVED, The Treasurer or an independent reviewer who does not initiate payments shall review and sign monthly bank reconciliations.</w:t>
      </w:r>
    </w:p>
    <w:p>
      <w:pPr>
        <w:pStyle w:val="ListBullet"/>
      </w:pPr>
      <w:r>
        <w:rPr>
          <w:rFonts w:ascii="Aptos" w:hAnsi="Aptos" w:eastAsia="FangSong" w:cs="Aptos"/>
        </w:rPr>
        <w:t>RESOLVED, Online banking shall use individual credentials, MFA, alerts, least privilege, and prompt removal upon role change. Shared credentials are prohibited.</w:t>
      </w:r>
    </w:p>
    <w:p>
      <w:pPr>
        <w:pStyle w:val="ListBullet"/>
      </w:pPr>
      <w:r>
        <w:rPr>
          <w:rFonts w:ascii="Aptos" w:hAnsi="Aptos" w:eastAsia="FangSong" w:cs="Aptos"/>
        </w:rPr>
        <w:t>RESOLVED, Corporate cards shall have limits fixed by the Treasurer/Board; cash advances, personal charges, split transactions, and storage in a related commercial account are prohibited.</w:t>
      </w:r>
    </w:p>
    <w:p>
      <w:pPr>
        <w:pStyle w:val="ListBullet"/>
      </w:pPr>
      <w:r>
        <w:rPr>
          <w:rFonts w:ascii="Aptos" w:hAnsi="Aptos" w:eastAsia="FangSong" w:cs="Aptos"/>
        </w:rPr>
        <w:t>RESOLVED, The account shall not receive or pay funds belonging to The Climate Passport commercial entity, any founder, or another organization. Any lawful shared cost must be governed by a prior written agreement and invoice.</w:t>
      </w:r>
    </w:p>
    <w:p>
      <w:pPr>
        <w:pStyle w:val="ListBullet"/>
      </w:pPr>
      <w:r>
        <w:rPr>
          <w:rFonts w:ascii="Aptos" w:hAnsi="Aptos" w:eastAsia="FangSong" w:cs="Aptos"/>
        </w:rPr>
        <w:t>RESOLVED, The officers may complete bank forms consistent with this resolution but may not waive these internal controls without further Board approval.</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3024"/>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Approved by</w:t>
            </w:r>
          </w:p>
        </w:tc>
        <w:tc>
          <w:tcPr>
            <w:tcW w:type="dxa" w:w="4176"/>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Signature</w:t>
            </w:r>
          </w:p>
        </w:tc>
        <w:tc>
          <w:tcPr>
            <w:tcW w:type="dxa" w:w="2376"/>
            <w:shd w:fill="111111"/>
            <w:tcMar>
              <w:top w:w="80" w:type="dxa"/>
              <w:start w:w="120" w:type="dxa"/>
              <w:bottom w:w="80" w:type="dxa"/>
              <w:end w:w="120" w:type="dxa"/>
            </w:tcMar>
            <w:vAlign w:val="center"/>
          </w:tcPr>
          <w:p>
            <w:pPr>
              <w:spacing w:after="0"/>
            </w:pPr>
            <w:r>
              <w:rPr>
                <w:rFonts w:ascii="Aptos" w:hAnsi="Aptos" w:eastAsia="Microsoft YaHei" w:cs="Aptos"/>
                <w:b/>
                <w:color w:val="FFFFFF"/>
                <w:sz w:val="17"/>
              </w:rPr>
              <w:t>Date</w:t>
            </w:r>
          </w:p>
        </w:tc>
      </w:tr>
      <w:tr>
        <w:trPr>
          <w:cantSplit/>
        </w:trPr>
        <w:tc>
          <w:tcPr>
            <w:tcW w:type="dxa" w:w="30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Board Chair</w:t>
            </w:r>
          </w:p>
        </w:tc>
        <w:tc>
          <w:tcPr>
            <w:tcW w:type="dxa" w:w="41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____________________________</w:t>
            </w:r>
          </w:p>
        </w:tc>
        <w:tc>
          <w:tcPr>
            <w:tcW w:type="dxa" w:w="237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____________</w:t>
            </w:r>
          </w:p>
        </w:tc>
      </w:tr>
      <w:tr>
        <w:trPr>
          <w:cantSplit/>
        </w:trPr>
        <w:tc>
          <w:tcPr>
            <w:tcW w:type="dxa" w:w="30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Secretary</w:t>
            </w:r>
          </w:p>
        </w:tc>
        <w:tc>
          <w:tcPr>
            <w:tcW w:type="dxa" w:w="41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____________________________</w:t>
            </w:r>
          </w:p>
        </w:tc>
        <w:tc>
          <w:tcPr>
            <w:tcW w:type="dxa" w:w="237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7"/>
              </w:rPr>
              <w:t>____________</w:t>
            </w:r>
          </w:p>
        </w:tc>
      </w:tr>
    </w:tbl>
    <w:p>
      <w:pPr>
        <w:spacing w:after="0"/>
      </w:pPr>
    </w:p>
    <w:p>
      <w:r>
        <w:br w:type="page"/>
      </w:r>
    </w:p>
    <w:p>
      <w:pPr>
        <w:spacing w:after="40"/>
      </w:pPr>
      <w:r>
        <w:rPr>
          <w:rFonts w:ascii="Aptos" w:hAnsi="Aptos" w:eastAsia="Microsoft YaHei" w:cs="Aptos"/>
          <w:b/>
          <w:color w:val="6A6A6A"/>
          <w:sz w:val="16"/>
        </w:rPr>
        <w:t>MODULE G</w:t>
      </w:r>
    </w:p>
    <w:p>
      <w:pPr>
        <w:pStyle w:val="Heading1"/>
      </w:pPr>
      <w:r>
        <w:rPr>
          <w:rFonts w:ascii="Aptos" w:hAnsi="Aptos" w:eastAsia="FangSong" w:cs="Aptos"/>
        </w:rPr>
        <w:t>附录 G｜境外项目协议与付款包</w:t>
      </w:r>
    </w:p>
    <w:p>
      <w:pPr>
        <w:keepLines/>
      </w:pPr>
      <w:r>
        <w:rPr>
          <w:rFonts w:ascii="Aptos" w:hAnsi="Aptos" w:eastAsia="FangSong" w:cs="Aptos"/>
          <w:color w:val="6A6A6A"/>
          <w:sz w:val="21"/>
        </w:rPr>
        <w:t>本附录适用于公共慈善机构的控制与监督底稿；中国临时活动还必须叠加法定中方合作单位和公安备案文件。</w:t>
      </w:r>
    </w:p>
    <w:p>
      <w:pPr>
        <w:spacing w:after="180"/>
        <w:pBdr>
          <w:bottom w:val="single" w:sz="10" w:space="1" w:color="111111"/>
        </w:pBdr>
      </w:pPr>
    </w:p>
    <w:p>
      <w:pPr>
        <w:pStyle w:val="Heading2"/>
      </w:pPr>
      <w:r>
        <w:rPr>
          <w:rFonts w:ascii="Aptos" w:hAnsi="Aptos" w:eastAsia="FangSong" w:cs="Aptos"/>
        </w:rPr>
        <w:t>G.1 Pre-Project Intake</w:t>
      </w:r>
    </w:p>
    <w:tbl>
      <w:tblPr>
        <w:tblW w:type="dxa" w:w="9360"/>
        <w:tblLayout w:type="fixed"/>
        <w:tblLook w:firstColumn="1" w:firstRow="1" w:lastColumn="0" w:lastRow="0" w:noHBand="0" w:noVBand="1" w:val="04A0"/>
        <w:jc w:val="center"/>
        <w:tblInd w:w="120" w:type="dxa"/>
      </w:tblPr>
      <w:tblGrid>
        <w:gridCol w:w="4853"/>
        <w:gridCol w:w="4853"/>
      </w:tblGrid>
      <w:tr>
        <w:trPr>
          <w:tblHeader w:val="true"/>
          <w:cantSplit/>
        </w:trPr>
        <w:tc>
          <w:tcPr>
            <w:tcW w:type="dxa" w:w="208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Field</w:t>
            </w:r>
          </w:p>
        </w:tc>
        <w:tc>
          <w:tcPr>
            <w:tcW w:type="dxa" w:w="748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Required evidence</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Counterparty</w:t>
            </w:r>
          </w:p>
        </w:tc>
        <w:tc>
          <w:tcPr>
            <w:tcW w:type="dxa" w:w="74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Legal name in local language/English, registration number, address, governing law, authorized signatory.</w:t>
            </w:r>
          </w:p>
        </w:tc>
      </w:tr>
      <w:tr>
        <w:trPr>
          <w:cantSplit/>
        </w:trPr>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Status</w:t>
            </w:r>
          </w:p>
        </w:tc>
        <w:tc>
          <w:tcPr>
            <w:tcW w:type="dxa" w:w="74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Government body / public institution / registered social organization / company / individual / other; proof of status.</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Ownership/governance</w:t>
            </w:r>
          </w:p>
        </w:tc>
        <w:tc>
          <w:tcPr>
            <w:tcW w:type="dxa" w:w="74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Directors, officers, beneficial owners, affiliates, politically exposed persons, related-party links.</w:t>
            </w:r>
          </w:p>
        </w:tc>
      </w:tr>
      <w:tr>
        <w:trPr>
          <w:cantSplit/>
        </w:trPr>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Project</w:t>
            </w:r>
          </w:p>
        </w:tc>
        <w:tc>
          <w:tcPr>
            <w:tcW w:type="dxa" w:w="74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Exempt purpose, beneficiaries, country/city, dates, activities, outputs, evaluation, total budget.</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Funds</w:t>
            </w:r>
          </w:p>
        </w:tc>
        <w:tc>
          <w:tcPr>
            <w:tcW w:type="dxa" w:w="74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Amount, currency, source, bank account in counterparty’s legal name, restrictions, co-funding, exchange rate.</w:t>
            </w:r>
          </w:p>
        </w:tc>
      </w:tr>
      <w:tr>
        <w:trPr>
          <w:cantSplit/>
        </w:trPr>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Compliance</w:t>
            </w:r>
          </w:p>
        </w:tc>
        <w:tc>
          <w:tcPr>
            <w:tcW w:type="dxa" w:w="74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OFAC/sanctions, anti-bribery, local permits, PRC overseas-NGO path, tax/withholding, data/youth, insurance.</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IP/data</w:t>
            </w:r>
          </w:p>
        </w:tc>
        <w:tc>
          <w:tcPr>
            <w:tcW w:type="dxa" w:w="74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Pre-existing and new IP, public license, confidentiality, personal-data roles, locations and transfer mechanism.</w:t>
            </w:r>
          </w:p>
        </w:tc>
      </w:tr>
      <w:tr>
        <w:trPr>
          <w:cantSplit/>
        </w:trPr>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Conflicts</w:t>
            </w:r>
          </w:p>
        </w:tc>
        <w:tc>
          <w:tcPr>
            <w:tcW w:type="dxa" w:w="74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Connections to GPTI directors/officers, Climate Passport, sponsors, Shanghai Climate Week entities, vendors.</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Monitoring</w:t>
            </w:r>
          </w:p>
        </w:tc>
        <w:tc>
          <w:tcPr>
            <w:tcW w:type="dxa" w:w="74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Milestones, reports, receipts, site checks, audit access, escalation owner, close-out date.</w:t>
            </w:r>
          </w:p>
        </w:tc>
      </w:tr>
    </w:tbl>
    <w:p>
      <w:pPr>
        <w:spacing w:after="0"/>
      </w:pPr>
    </w:p>
    <w:p>
      <w:pPr>
        <w:pStyle w:val="Heading2"/>
      </w:pPr>
      <w:r>
        <w:rPr>
          <w:rFonts w:ascii="Aptos" w:hAnsi="Aptos" w:eastAsia="FangSong" w:cs="Aptos"/>
        </w:rPr>
        <w:t>G.2 Minimum Agreement Clauses</w:t>
      </w:r>
    </w:p>
    <w:p>
      <w:pPr>
        <w:pStyle w:val="ListBullet"/>
      </w:pPr>
      <w:r>
        <w:rPr>
          <w:rFonts w:ascii="Aptos" w:hAnsi="Aptos" w:eastAsia="FangSong" w:cs="Aptos"/>
        </w:rPr>
        <w:t>☐ Parties and authority: exact legal names; incorporation/registration; authorized signatories; no undisclosed agent.</w:t>
      </w:r>
    </w:p>
    <w:p>
      <w:pPr>
        <w:pStyle w:val="ListBullet"/>
      </w:pPr>
      <w:r>
        <w:rPr>
          <w:rFonts w:ascii="Aptos" w:hAnsi="Aptos" w:eastAsia="FangSong" w:cs="Aptos"/>
        </w:rPr>
        <w:t>☐ Charitable purpose and project: detailed scope, country, beneficiaries, milestones, outputs, objective selection criteria, and budget as exhibits.</w:t>
      </w:r>
    </w:p>
    <w:p>
      <w:pPr>
        <w:pStyle w:val="ListBullet"/>
      </w:pPr>
      <w:r>
        <w:rPr>
          <w:rFonts w:ascii="Aptos" w:hAnsi="Aptos" w:eastAsia="FangSong" w:cs="Aptos"/>
        </w:rPr>
        <w:t>☐ Restricted use: funds may be used only for the approved project and lawful exempt purposes; no private benefit, political campaign activity, prohibited lobbying, bribery, sanctioned activity, or unapproved subgranting.</w:t>
      </w:r>
    </w:p>
    <w:p>
      <w:pPr>
        <w:pStyle w:val="ListBullet"/>
      </w:pPr>
      <w:r>
        <w:rPr>
          <w:rFonts w:ascii="Aptos" w:hAnsi="Aptos" w:eastAsia="FangSong" w:cs="Aptos"/>
        </w:rPr>
        <w:t>☐ GPTI control and discretion: GPTI retains the right to approve changes, request information, withhold payments, suspend, terminate, redirect uncommitted funds consistently with donor restrictions, and require repayment.</w:t>
      </w:r>
    </w:p>
    <w:p>
      <w:pPr>
        <w:pStyle w:val="ListBullet"/>
      </w:pPr>
      <w:r>
        <w:rPr>
          <w:rFonts w:ascii="Aptos" w:hAnsi="Aptos" w:eastAsia="FangSong" w:cs="Aptos"/>
        </w:rPr>
        <w:t>☐ Payment: legal-name bank account; milestone schedule; currency/rate; taxes/withholding; no cash or third-party account without prior written approval and enhanced diligence.</w:t>
      </w:r>
    </w:p>
    <w:p>
      <w:pPr>
        <w:pStyle w:val="ListBullet"/>
      </w:pPr>
      <w:r>
        <w:rPr>
          <w:rFonts w:ascii="Aptos" w:hAnsi="Aptos" w:eastAsia="FangSong" w:cs="Aptos"/>
        </w:rPr>
        <w:t>☐ Records and reports: narrative and line-item financial reports, receipts, payroll/time records, procurement, participant metrics, exchange-rate evidence, and [7]-year retention or longer if required.</w:t>
      </w:r>
    </w:p>
    <w:p>
      <w:pPr>
        <w:pStyle w:val="ListBullet"/>
      </w:pPr>
      <w:r>
        <w:rPr>
          <w:rFonts w:ascii="Aptos" w:hAnsi="Aptos" w:eastAsia="FangSong" w:cs="Aptos"/>
        </w:rPr>
        <w:t>☐ Inspection and audit: remote/on-site access to records and relevant personnel; duty to cooperate with IRS, auditors, banks, grantors, and regulators lawfully involved.</w:t>
      </w:r>
    </w:p>
    <w:p>
      <w:pPr>
        <w:pStyle w:val="ListBullet"/>
      </w:pPr>
      <w:r>
        <w:rPr>
          <w:rFonts w:ascii="Aptos" w:hAnsi="Aptos" w:eastAsia="FangSong" w:cs="Aptos"/>
        </w:rPr>
        <w:t>☐ Sanctions and anti-corruption: representations, continuing screening, no sanctioned ownership/control, no facilitation payments, immediate notice of a potential match or investigation.</w:t>
      </w:r>
    </w:p>
    <w:p>
      <w:pPr>
        <w:pStyle w:val="ListBullet"/>
      </w:pPr>
      <w:r>
        <w:rPr>
          <w:rFonts w:ascii="Aptos" w:hAnsi="Aptos" w:eastAsia="FangSong" w:cs="Aptos"/>
        </w:rPr>
        <w:t>☐ Local law: all registrations, licenses, visas, venue approvals, safety, tax and overseas-NGO filings; for PRC temporary activity, effectiveness conditioned on filing acceptance.</w:t>
      </w:r>
    </w:p>
    <w:p>
      <w:pPr>
        <w:pStyle w:val="ListBullet"/>
      </w:pPr>
      <w:r>
        <w:rPr>
          <w:rFonts w:ascii="Aptos" w:hAnsi="Aptos" w:eastAsia="FangSong" w:cs="Aptos"/>
        </w:rPr>
        <w:t>☐ Data and safeguarding: data minimization, roles, consent, cross-border mechanism, security, vendor controls, incident notice within [24] hours, youth protection and background requirements.</w:t>
      </w:r>
    </w:p>
    <w:p>
      <w:pPr>
        <w:pStyle w:val="ListBullet"/>
      </w:pPr>
      <w:r>
        <w:rPr>
          <w:rFonts w:ascii="Aptos" w:hAnsi="Aptos" w:eastAsia="FangSong" w:cs="Aptos"/>
        </w:rPr>
        <w:t>☐ IP/publications: ownership of background IP; rights to project outputs; publication, attribution, open/public-interest access, sponsor independence and no UN/IRS endorsement.</w:t>
      </w:r>
    </w:p>
    <w:p>
      <w:pPr>
        <w:pStyle w:val="ListBullet"/>
      </w:pPr>
      <w:r>
        <w:rPr>
          <w:rFonts w:ascii="Aptos" w:hAnsi="Aptos" w:eastAsia="FangSong" w:cs="Aptos"/>
        </w:rPr>
        <w:t>☐ Conflicts and related parties: disclosure and prior written consent for connected vendors/persons; fair procurement and recusal.</w:t>
      </w:r>
    </w:p>
    <w:p>
      <w:pPr>
        <w:pStyle w:val="ListBullet"/>
      </w:pPr>
      <w:r>
        <w:rPr>
          <w:rFonts w:ascii="Aptos" w:hAnsi="Aptos" w:eastAsia="FangSong" w:cs="Aptos"/>
        </w:rPr>
        <w:t>☐ Insurance, indemnity and liability: tailored to activity and enforceability; certificate requirements.</w:t>
      </w:r>
    </w:p>
    <w:p>
      <w:pPr>
        <w:pStyle w:val="ListBullet"/>
      </w:pPr>
      <w:r>
        <w:rPr>
          <w:rFonts w:ascii="Aptos" w:hAnsi="Aptos" w:eastAsia="FangSong" w:cs="Aptos"/>
        </w:rPr>
        <w:t>☐ Termination and close-out: stop-work, unspent/unsupported fund return, asset disposition, data return/deletion, final report and surviving clauses.</w:t>
      </w:r>
    </w:p>
    <w:p>
      <w:pPr>
        <w:pStyle w:val="ListBullet"/>
      </w:pPr>
      <w:r>
        <w:rPr>
          <w:rFonts w:ascii="Aptos" w:hAnsi="Aptos" w:eastAsia="FangSong" w:cs="Aptos"/>
        </w:rPr>
        <w:t>☐ Governing law/dispute: selected with enforceability advice; language priority; service and notices.</w:t>
      </w:r>
    </w:p>
    <w:p>
      <w:pPr>
        <w:pStyle w:val="Heading2"/>
      </w:pPr>
      <w:r>
        <w:rPr>
          <w:rFonts w:ascii="Aptos" w:hAnsi="Aptos" w:eastAsia="FangSong" w:cs="Aptos"/>
        </w:rPr>
        <w:t>G.3 每笔跨境付款包</w:t>
      </w:r>
    </w:p>
    <w:tbl>
      <w:tblPr>
        <w:tblW w:type="dxa" w:w="9360"/>
        <w:tblLayout w:type="fixed"/>
        <w:tblLook w:firstColumn="1" w:firstRow="1" w:lastColumn="0" w:lastRow="0" w:noHBand="0" w:noVBand="1" w:val="04A0"/>
        <w:jc w:val="center"/>
        <w:tblInd w:w="120" w:type="dxa"/>
      </w:tblPr>
      <w:tblGrid>
        <w:gridCol w:w="4853"/>
        <w:gridCol w:w="4853"/>
      </w:tblGrid>
      <w:tr>
        <w:trPr>
          <w:tblHeader w:val="true"/>
          <w:cantSplit/>
        </w:trPr>
        <w:tc>
          <w:tcPr>
            <w:tcW w:type="dxa" w:w="79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序号</w:t>
            </w:r>
          </w:p>
        </w:tc>
        <w:tc>
          <w:tcPr>
            <w:tcW w:type="dxa" w:w="878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文件</w:t>
            </w:r>
          </w:p>
        </w:tc>
      </w:tr>
      <w:tr>
        <w:trPr>
          <w:cantSplit/>
        </w:trPr>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1</w:t>
            </w:r>
          </w:p>
        </w:tc>
        <w:tc>
          <w:tcPr>
            <w:tcW w:type="dxa" w:w="87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已签协议/订单及经批准预算、里程碑。</w:t>
            </w:r>
          </w:p>
        </w:tc>
      </w:tr>
      <w:tr>
        <w:trPr>
          <w:cantSplit/>
        </w:trPr>
        <w:tc>
          <w:tcPr>
            <w:tcW w:type="dxa" w:w="7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w:t>
            </w:r>
          </w:p>
        </w:tc>
        <w:tc>
          <w:tcPr>
            <w:tcW w:type="dxa" w:w="87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对方注册证明、签字授权、beneficial ownership 和 conflict disclosure。</w:t>
            </w:r>
          </w:p>
        </w:tc>
      </w:tr>
      <w:tr>
        <w:trPr>
          <w:cantSplit/>
        </w:trPr>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3</w:t>
            </w:r>
          </w:p>
        </w:tc>
        <w:tc>
          <w:tcPr>
            <w:tcW w:type="dxa" w:w="87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当日/近期 OFAC 与银行筛查；潜在命中已由 counsel cleared。</w:t>
            </w:r>
          </w:p>
        </w:tc>
      </w:tr>
      <w:tr>
        <w:trPr>
          <w:cantSplit/>
        </w:trPr>
        <w:tc>
          <w:tcPr>
            <w:tcW w:type="dxa" w:w="7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4</w:t>
            </w:r>
          </w:p>
        </w:tc>
        <w:tc>
          <w:tcPr>
            <w:tcW w:type="dxa" w:w="87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发票/付款请求；收款名、账号、银行与合同完全一致；变更经回拨验证。</w:t>
            </w:r>
          </w:p>
        </w:tc>
      </w:tr>
      <w:tr>
        <w:trPr>
          <w:cantSplit/>
        </w:trPr>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5</w:t>
            </w:r>
          </w:p>
        </w:tc>
        <w:tc>
          <w:tcPr>
            <w:tcW w:type="dxa" w:w="87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上一里程碑叙事、财务报告和验收。</w:t>
            </w:r>
          </w:p>
        </w:tc>
      </w:tr>
      <w:tr>
        <w:trPr>
          <w:cantSplit/>
        </w:trPr>
        <w:tc>
          <w:tcPr>
            <w:tcW w:type="dxa" w:w="7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6</w:t>
            </w:r>
          </w:p>
        </w:tc>
        <w:tc>
          <w:tcPr>
            <w:tcW w:type="dxa" w:w="87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PRC 临时活动备案/变更/中方账户证明（如适用）。</w:t>
            </w:r>
          </w:p>
        </w:tc>
      </w:tr>
      <w:tr>
        <w:trPr>
          <w:cantSplit/>
        </w:trPr>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7</w:t>
            </w:r>
          </w:p>
        </w:tc>
        <w:tc>
          <w:tcPr>
            <w:tcW w:type="dxa" w:w="87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税务：W-8BEN-E/W-8BEN 或其他身份文件、来源/预扣/VAT 分析。</w:t>
            </w:r>
          </w:p>
        </w:tc>
      </w:tr>
      <w:tr>
        <w:trPr>
          <w:cantSplit/>
        </w:trPr>
        <w:tc>
          <w:tcPr>
            <w:tcW w:type="dxa" w:w="79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8</w:t>
            </w:r>
          </w:p>
        </w:tc>
        <w:tc>
          <w:tcPr>
            <w:tcW w:type="dxa" w:w="87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两个授权人的付款批准；关联方由独立董事批准。</w:t>
            </w:r>
          </w:p>
        </w:tc>
      </w:tr>
      <w:tr>
        <w:trPr>
          <w:cantSplit/>
        </w:trPr>
        <w:tc>
          <w:tcPr>
            <w:tcW w:type="dxa" w:w="79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9</w:t>
            </w:r>
          </w:p>
        </w:tc>
        <w:tc>
          <w:tcPr>
            <w:tcW w:type="dxa" w:w="87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付款确认、美元折算、总账项目码和 restricted fund。</w:t>
            </w:r>
          </w:p>
        </w:tc>
      </w:tr>
    </w:tbl>
    <w:p>
      <w:pPr>
        <w:spacing w:after="0"/>
      </w:pPr>
    </w:p>
    <w:p>
      <w:r>
        <w:br w:type="page"/>
      </w:r>
    </w:p>
    <w:p>
      <w:pPr>
        <w:spacing w:after="40"/>
      </w:pPr>
      <w:r>
        <w:rPr>
          <w:rFonts w:ascii="Aptos" w:hAnsi="Aptos" w:eastAsia="Microsoft YaHei" w:cs="Aptos"/>
          <w:b/>
          <w:color w:val="6A6A6A"/>
          <w:sz w:val="16"/>
        </w:rPr>
        <w:t>MODULE H</w:t>
      </w:r>
    </w:p>
    <w:p>
      <w:pPr>
        <w:pStyle w:val="Heading1"/>
      </w:pPr>
      <w:r>
        <w:rPr>
          <w:rFonts w:ascii="Aptos" w:hAnsi="Aptos" w:eastAsia="FangSong" w:cs="Aptos"/>
        </w:rPr>
        <w:t>附录 H｜赞助条款与捐赠确认模板</w:t>
      </w:r>
    </w:p>
    <w:p>
      <w:pPr>
        <w:keepLines/>
      </w:pPr>
      <w:r>
        <w:rPr>
          <w:rFonts w:ascii="Aptos" w:hAnsi="Aptos" w:eastAsia="FangSong" w:cs="Aptos"/>
          <w:color w:val="6A6A6A"/>
          <w:sz w:val="21"/>
        </w:rPr>
        <w:t>根据实际回报选择模板；合同、发票、网站和会计分类必须一致。</w:t>
      </w:r>
    </w:p>
    <w:p>
      <w:pPr>
        <w:spacing w:after="180"/>
        <w:pBdr>
          <w:bottom w:val="single" w:sz="10" w:space="1" w:color="111111"/>
        </w:pBdr>
      </w:pPr>
    </w:p>
    <w:p>
      <w:pPr>
        <w:pStyle w:val="Heading2"/>
      </w:pPr>
      <w:r>
        <w:rPr>
          <w:rFonts w:ascii="Aptos" w:hAnsi="Aptos" w:eastAsia="FangSong" w:cs="Aptos"/>
        </w:rPr>
        <w:t>H.1 Qualified Sponsorship 基础条款</w:t>
      </w:r>
    </w:p>
    <w:p>
      <w:pPr>
        <w:ind w:left="317" w:right="317"/>
      </w:pPr>
      <w:r>
        <w:rPr>
          <w:rFonts w:ascii="Aptos" w:hAnsi="Aptos" w:eastAsia="FangSong" w:cs="Aptos"/>
          <w:b w:val="0"/>
          <w:color w:val="303030"/>
          <w:sz w:val="18"/>
        </w:rPr>
        <w:t>Sponsor will pay GPTI $[amount] to support [charitable program]. In return, GPTI may acknowledge Sponsor by displaying Sponsor’s name, logo, noncomparative product-line description, address, telephone number, and website URL in the locations and sizes stated in Exhibit A. The acknowledgment will not include prices, discounts, comparative or qualitative claims, an endorsement, a call to purchase, or access to participant/donor data. Sponsor will not control program content, research findings, speaker selection, beneficiary selection, or GPTI governance. No United Nations, IRS, government, or tax-deductibility endorsement is implied. Any tickets, booths, consulting, data, exclusivity, advertising, or other benefits must be separately described and valued in writing before execution.</w:t>
      </w:r>
    </w:p>
    <w:p>
      <w:pPr>
        <w:pStyle w:val="Heading2"/>
      </w:pPr>
      <w:r>
        <w:rPr>
          <w:rFonts w:ascii="Aptos" w:hAnsi="Aptos" w:eastAsia="FangSong" w:cs="Aptos"/>
        </w:rPr>
        <w:t>H.2 纯现金捐赠确认｜无 goods/services</w:t>
      </w:r>
    </w:p>
    <w:p>
      <w:pPr>
        <w:ind w:left="317"/>
      </w:pPr>
      <w:r>
        <w:rPr>
          <w:rFonts w:ascii="Aptos" w:hAnsi="Aptos" w:eastAsia="FangSong" w:cs="Aptos"/>
          <w:b w:val="0"/>
          <w:color w:val="303030"/>
          <w:sz w:val="18"/>
        </w:rPr>
        <w:t>Date: [ ]</w:t>
        <w:br/>
        <w:t>Donor: [ ]</w:t>
        <w:br/>
        <w:t>Amount received: $[ ] on [date]</w:t>
        <w:br/>
        <w:br/>
        <w:t>Global Prosperity and Transition Initiative, Inc. acknowledges receipt of the cash contribution stated above. No goods or services were provided in exchange for this contribution. [If applicable while pending: GPTI has applied / intends to timely apply for recognition of exemption under section 501(c)(3); recognition is pending, and GPTI cannot provide personal tax advice.]</w:t>
        <w:br/>
        <w:br/>
        <w:t>Legal name: Global Prosperity and Transition Initiative, Inc.</w:t>
        <w:br/>
        <w:t>EIN: [ ]</w:t>
        <w:br/>
        <w:t>Authorized by: [Name, title]</w:t>
      </w:r>
    </w:p>
    <w:p>
      <w:pPr>
        <w:pStyle w:val="Heading2"/>
      </w:pPr>
      <w:r>
        <w:rPr>
          <w:rFonts w:ascii="Aptos" w:hAnsi="Aptos" w:eastAsia="FangSong" w:cs="Aptos"/>
        </w:rPr>
        <w:t>H.3 Quid Pro Quo 确认｜有返还利益</w:t>
      </w:r>
    </w:p>
    <w:p>
      <w:pPr>
        <w:ind w:left="317"/>
      </w:pPr>
      <w:r>
        <w:rPr>
          <w:rFonts w:ascii="Aptos" w:hAnsi="Aptos" w:eastAsia="FangSong" w:cs="Aptos"/>
          <w:b w:val="0"/>
          <w:color w:val="303030"/>
          <w:sz w:val="18"/>
        </w:rPr>
        <w:t>GPTI received $[amount] from [donor] on [date]. In exchange, GPTI provided [description] with a good-faith estimated fair market value of $[value]. No other goods or services were provided. The portion of the payment exceeding the fair market value of the goods or services may be deductible as a charitable contribution to the extent allowed by law. Please consult your tax adviser.</w:t>
      </w:r>
    </w:p>
    <w:p>
      <w:pPr>
        <w:pStyle w:val="Heading2"/>
      </w:pPr>
      <w:r>
        <w:rPr>
          <w:rFonts w:ascii="Aptos" w:hAnsi="Aptos" w:eastAsia="FangSong" w:cs="Aptos"/>
        </w:rPr>
        <w:t>H.4 非现金捐赠确认</w:t>
      </w:r>
    </w:p>
    <w:p>
      <w:pPr>
        <w:ind w:left="317"/>
      </w:pPr>
      <w:r>
        <w:rPr>
          <w:rFonts w:ascii="Aptos" w:hAnsi="Aptos" w:eastAsia="FangSong" w:cs="Aptos"/>
          <w:b w:val="0"/>
          <w:color w:val="303030"/>
          <w:sz w:val="18"/>
        </w:rPr>
        <w:t>GPTI acknowledges receipt on [date] of the following noncash property from [donor]: [description without value]. No goods or services were provided in exchange, except [describe, or state none]. GPTI does not state or confirm the property’s value. The donor is responsible for valuation, appraisal, Form 8283, and other tax requirements. GPTI will complete only the donee portions it is legally required and factually able to complete.</w:t>
      </w:r>
    </w:p>
    <w:tbl>
      <w:tblPr>
        <w:tblW w:type="dxa" w:w="9360"/>
        <w:jc w:val="center"/>
        <w:tblLayout w:type="fixed"/>
        <w:tblLook w:firstColumn="1" w:firstRow="1" w:lastColumn="0" w:lastRow="0" w:noHBand="0" w:noVBand="1" w:val="04A0"/>
        <w:tblInd w:w="120" w:type="dxa"/>
      </w:tblPr>
      <w:tblGrid>
        <w:gridCol w:w="9706"/>
      </w:tblGrid>
      <w:tr>
        <w:tc>
          <w:tcPr>
            <w:tcW w:type="dxa" w:w="9706"/>
            <w:shd w:fill="EDEDED"/>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禁止  </w:t>
            </w:r>
            <w:r>
              <w:rPr>
                <w:rFonts w:ascii="Aptos" w:hAnsi="Aptos" w:eastAsia="FangSong" w:cs="Aptos"/>
                <w:b w:val="0"/>
                <w:color w:val="303030"/>
                <w:sz w:val="19"/>
              </w:rPr>
              <w:t>不要把 sponsorship invoice 自动称为 donation receipt；不要写“100% tax deductible”除非实际没有回报且机构税务状态、捐赠人和交易事实支持。GPTI 不能为捐赠人提供个案税务保证。</w:t>
            </w:r>
          </w:p>
        </w:tc>
      </w:tr>
    </w:tbl>
    <w:p>
      <w:pPr>
        <w:spacing w:after="0"/>
      </w:pPr>
    </w:p>
    <w:p>
      <w:r>
        <w:br w:type="page"/>
      </w:r>
    </w:p>
    <w:p>
      <w:pPr>
        <w:spacing w:after="40"/>
      </w:pPr>
      <w:r>
        <w:rPr>
          <w:rFonts w:ascii="Aptos" w:hAnsi="Aptos" w:eastAsia="Microsoft YaHei" w:cs="Aptos"/>
          <w:b/>
          <w:color w:val="6A6A6A"/>
          <w:sz w:val="16"/>
        </w:rPr>
        <w:t>MODULE I</w:t>
      </w:r>
    </w:p>
    <w:p>
      <w:pPr>
        <w:pStyle w:val="Heading1"/>
      </w:pPr>
      <w:r>
        <w:rPr>
          <w:rFonts w:ascii="Aptos" w:hAnsi="Aptos" w:eastAsia="FangSong" w:cs="Aptos"/>
        </w:rPr>
        <w:t>附录 I｜Form 1023 活动叙述起草底稿</w:t>
      </w:r>
    </w:p>
    <w:p>
      <w:pPr>
        <w:keepLines/>
      </w:pPr>
      <w:r>
        <w:rPr>
          <w:rFonts w:ascii="Aptos" w:hAnsi="Aptos" w:eastAsia="FangSong" w:cs="Aptos"/>
          <w:color w:val="6A6A6A"/>
          <w:sz w:val="21"/>
        </w:rPr>
        <w:t>这是问题清单和结构，不是可原样提交的“标准答案”。所有方括号、比例、关系、国家和金额必须按提交日事实替换。</w:t>
      </w:r>
    </w:p>
    <w:p>
      <w:pPr>
        <w:spacing w:after="180"/>
        <w:pBdr>
          <w:bottom w:val="single" w:sz="10" w:space="1" w:color="111111"/>
        </w:pBdr>
      </w:pPr>
    </w:p>
    <w:p>
      <w:pPr>
        <w:pStyle w:val="Heading2"/>
      </w:pPr>
      <w:r>
        <w:rPr>
          <w:rFonts w:ascii="Aptos" w:hAnsi="Aptos" w:eastAsia="FangSong" w:cs="Aptos"/>
        </w:rPr>
        <w:t>I.1 Organizational Overview</w:t>
      </w:r>
    </w:p>
    <w:p>
      <w:pPr>
        <w:ind w:left="317" w:right="317"/>
      </w:pPr>
      <w:r>
        <w:rPr>
          <w:rFonts w:ascii="Aptos" w:hAnsi="Aptos" w:eastAsia="FangSong" w:cs="Aptos"/>
          <w:b w:val="0"/>
          <w:color w:val="303030"/>
          <w:sz w:val="18"/>
        </w:rPr>
        <w:t>Global Prosperity and Transition Initiative, Inc. (“GPTI”) is a Colorado nonprofit corporation formed on [date]. GPTI’s mission is to advance public understanding and practical capacity concerning climate resilience, sustainable development, and equitable economic transition through nonpartisan research, public education, convenings, public-interest tools, and carefully supervised charitable projects. GPTI has no voting members and is governed by a Board of [number] directors, of whom [number] are independent. GPTI will operate in [United States / China / other countries] as described below and will comply with applicable local registration, sanctions, data, and safeguarding requirements.</w:t>
      </w:r>
    </w:p>
    <w:p>
      <w:pPr>
        <w:pStyle w:val="Heading2"/>
      </w:pPr>
      <w:r>
        <w:rPr>
          <w:rFonts w:ascii="Aptos" w:hAnsi="Aptos" w:eastAsia="FangSong" w:cs="Aptos"/>
        </w:rPr>
        <w:t>I.2 Activity 1 — Nonpartisan Research and Public Methodologies [__% time / __% expenses]</w:t>
      </w:r>
    </w:p>
    <w:p>
      <w:r>
        <w:rPr>
          <w:rFonts w:ascii="Aptos" w:hAnsi="Aptos" w:eastAsia="FangSong" w:cs="Aptos"/>
        </w:rPr>
        <w:t>GPTI will research [specific questions] using [methods]. Work will be performed by [staff/volunteers/independent researchers] selected through [criteria]. GPTI will publish [reports/datasets/methodologies] at [URL/licence/price], generally making findings available to the public regardless of whether findings favor a funder or industry participant. [Describe peer/independent review, conflicts, funding, geography, schedule, audience, fee waivers, and evaluation.]</w:t>
      </w:r>
    </w:p>
    <w:p>
      <w:r>
        <w:rPr>
          <w:rFonts w:ascii="Aptos" w:hAnsi="Aptos" w:eastAsia="FangSong" w:cs="Aptos"/>
        </w:rPr>
        <w:t>Private-benefit control: [identify every commercial platform, sponsor, founder-owned entity, IP owner, licence, data transfer, and contract]. GPTI will not subsidize a proprietary commercial product or grant an associated business preferential access unless disinterested directors approve fair and reasonable terms that primarily further GPTI’s exempt purposes.</w:t>
      </w:r>
    </w:p>
    <w:p>
      <w:pPr>
        <w:pStyle w:val="Heading2"/>
      </w:pPr>
      <w:r>
        <w:rPr>
          <w:rFonts w:ascii="Aptos" w:hAnsi="Aptos" w:eastAsia="FangSong" w:cs="Aptos"/>
        </w:rPr>
        <w:t>I.3 Activity 2 — Public Education and Publications [__% / __%]</w:t>
      </w:r>
    </w:p>
    <w:p>
      <w:r>
        <w:rPr>
          <w:rFonts w:ascii="Aptos" w:hAnsi="Aptos" w:eastAsia="FangSong" w:cs="Aptos"/>
        </w:rPr>
        <w:t>GPTI will develop and distribute [courses, briefings, white papers, webinars, toolkits] for [public audiences]. Programs will occur [frequency/locations/online]. Content will be selected by [independent process], will be factual and nonpartisan, and will not endorse candidates. Fees, if any, will be [amount/cost basis], with [waiver/scholarship] so ability to pay does not determine access. GPTI will measure [reach, completion, learning, public availability].</w:t>
      </w:r>
    </w:p>
    <w:p>
      <w:pPr>
        <w:pStyle w:val="Heading2"/>
      </w:pPr>
      <w:r>
        <w:rPr>
          <w:rFonts w:ascii="Aptos" w:hAnsi="Aptos" w:eastAsia="FangSong" w:cs="Aptos"/>
        </w:rPr>
        <w:t>I.4 Activity 3 — Convenings and Shanghai Climate Week Collaboration [__% / __%]</w:t>
      </w:r>
    </w:p>
    <w:p>
      <w:r>
        <w:rPr>
          <w:rFonts w:ascii="Aptos" w:hAnsi="Aptos" w:eastAsia="FangSong" w:cs="Aptos"/>
        </w:rPr>
        <w:t>GPTI plans to organize or participate in educational convenings concerning [topics] in [locations]. For any activity conducted in mainland China, GPTI will not begin until it has confirmed and completed the applicable representative-office registration or temporary-activity filing with a legally qualified Chinese Partner Unit. [Identify proposed partner, filing responsibility, budget, sponsor rights, speaker selection, participant fees, contracts, and safety/data controls.] Corporate sponsors will not control content or receive participant/donor data unless separately disclosed, lawfully authorized, and approved on fair terms.</w:t>
      </w:r>
    </w:p>
    <w:p>
      <w:pPr>
        <w:pStyle w:val="Heading2"/>
      </w:pPr>
      <w:r>
        <w:rPr>
          <w:rFonts w:ascii="Aptos" w:hAnsi="Aptos" w:eastAsia="FangSong" w:cs="Aptos"/>
        </w:rPr>
        <w:t>I.5 Activity 4 — Youth Climate Literacy [__% / __%]</w:t>
      </w:r>
    </w:p>
    <w:p>
      <w:r>
        <w:rPr>
          <w:rFonts w:ascii="Aptos" w:hAnsi="Aptos" w:eastAsia="FangSong" w:cs="Aptos"/>
        </w:rPr>
        <w:t>GPTI may provide [program] to participants aged [range] through [schools/parents/public website]. Before launch, GPTI will determine COPPA, PRC PIPL/minor, GDPR, education and safeguarding requirements. It will collect only [fields], use [age/parental consent], prohibit commercial use by related entities, maintain [security/retention/deletion], and provide [free access/scholarships]. [Describe selection, curriculum, supervision, background checks, incident process, countries and evaluation.]</w:t>
      </w:r>
    </w:p>
    <w:p>
      <w:pPr>
        <w:pStyle w:val="Heading2"/>
      </w:pPr>
      <w:r>
        <w:rPr>
          <w:rFonts w:ascii="Aptos" w:hAnsi="Aptos" w:eastAsia="FangSong" w:cs="Aptos"/>
        </w:rPr>
        <w:t>I.6 Activity 5 — Technical Assistance or Charitable Grants [__% / __%]</w:t>
      </w:r>
    </w:p>
    <w:p>
      <w:r>
        <w:rPr>
          <w:rFonts w:ascii="Aptos" w:hAnsi="Aptos" w:eastAsia="FangSong" w:cs="Aptos"/>
        </w:rPr>
        <w:t>GPTI will provide [technical assistance/grants] to [eligible charitable beneficiaries] selected using [public/objective criteria] by [review committee]. Foreign non-charity recipients will receive funds only for specific exempt projects under written agreements. GPTI will retain control and discretion through diligence, restricted budgets, milestone payments, reports, inspection, sanctions screening, suspension, and return of unsupported or unused funds. [Describe amounts, countries, frequency, conflicts, and recordkeeping.]</w:t>
      </w:r>
    </w:p>
    <w:p>
      <w:pPr>
        <w:pStyle w:val="Heading2"/>
      </w:pPr>
      <w:r>
        <w:rPr>
          <w:rFonts w:ascii="Aptos" w:hAnsi="Aptos" w:eastAsia="FangSong" w:cs="Aptos"/>
        </w:rPr>
        <w:t>I.7 Fundraising and Revenue</w:t>
      </w:r>
    </w:p>
    <w:p>
      <w:r>
        <w:rPr>
          <w:rFonts w:ascii="Aptos" w:hAnsi="Aptos" w:eastAsia="FangSong" w:cs="Aptos"/>
        </w:rPr>
        <w:t>GPTI expects support from [individual public contributions, foundation grants, qualified sponsorships, and program service revenue]. It will register for charitable solicitation where required. Sponsor acknowledgment will generally be limited to neutral identification; advertising, tickets, booths, data, consulting, certification, software, exclusivity, or other return benefits will be separately valued and classified. [Describe fundraisers, website, grants, events, paid solicitors, foreign donors and percentages.]</w:t>
      </w:r>
    </w:p>
    <w:p>
      <w:pPr>
        <w:pStyle w:val="Heading2"/>
      </w:pPr>
      <w:r>
        <w:rPr>
          <w:rFonts w:ascii="Aptos" w:hAnsi="Aptos" w:eastAsia="FangSong" w:cs="Aptos"/>
        </w:rPr>
        <w:t>I.8 Lobbying and Political Campaigns</w:t>
      </w:r>
    </w:p>
    <w:p>
      <w:r>
        <w:rPr>
          <w:rFonts w:ascii="Aptos" w:hAnsi="Aptos" w:eastAsia="FangSong" w:cs="Aptos"/>
        </w:rPr>
        <w:t>GPTI will not participate or intervene in any political campaign for or against a candidate for public office. It may conduct nonpartisan research and public education. If GPTI later engages in legislative lobbying, the Board will approve a budget and tracking system and will evaluate a section 501(h) election; GPTI will report the activity as required. [If any planned advocacy exists, describe it specifically rather than relying on this general statement.]</w:t>
      </w:r>
    </w:p>
    <w:p>
      <w:pPr>
        <w:pStyle w:val="Heading2"/>
      </w:pPr>
      <w:r>
        <w:rPr>
          <w:rFonts w:ascii="Aptos" w:hAnsi="Aptos" w:eastAsia="FangSong" w:cs="Aptos"/>
        </w:rPr>
        <w:t>I.9 Compensation, IP, and Related Parties</w:t>
      </w:r>
    </w:p>
    <w:p>
      <w:r>
        <w:rPr>
          <w:rFonts w:ascii="Aptos" w:hAnsi="Aptos" w:eastAsia="FangSong" w:cs="Aptos"/>
        </w:rPr>
        <w:t>[Identify founders, directors, officers, family/business relationships, compensation, service providers, The Climate Passport ownership, Shanghai Climate Week relationships, shared staff/address, licences, sponsor arrangements, and any planned transfer.] Compensation and related transactions will be approved in advance by disinterested directors using appropriate comparability evidence and contemporaneous minutes. Attach or summarize material terms where required.</w:t>
      </w:r>
    </w:p>
    <w:p>
      <w:pPr>
        <w:pStyle w:val="Heading2"/>
      </w:pPr>
      <w:r>
        <w:rPr>
          <w:rFonts w:ascii="Aptos" w:hAnsi="Aptos" w:eastAsia="FangSong" w:cs="Aptos"/>
        </w:rPr>
        <w:t>I.10 Narrative Completion Checklist</w:t>
      </w:r>
    </w:p>
    <w:p>
      <w:pPr>
        <w:pStyle w:val="ListBullet"/>
      </w:pPr>
      <w:r>
        <w:rPr>
          <w:rFonts w:ascii="Aptos" w:hAnsi="Aptos" w:eastAsia="FangSong" w:cs="Aptos"/>
        </w:rPr>
        <w:t>☐ 每项都有 what/who/where/when/time/money/exempt purpose。</w:t>
      </w:r>
    </w:p>
    <w:p>
      <w:pPr>
        <w:pStyle w:val="ListBullet"/>
      </w:pPr>
      <w:r>
        <w:rPr>
          <w:rFonts w:ascii="Aptos" w:hAnsi="Aptos" w:eastAsia="FangSong" w:cs="Aptos"/>
        </w:rPr>
        <w:t>☐ 时间百分比合计 100%，支出百分比合计 100%，并与 Part VI 预算一致。</w:t>
      </w:r>
    </w:p>
    <w:p>
      <w:pPr>
        <w:pStyle w:val="ListBullet"/>
      </w:pPr>
      <w:r>
        <w:rPr>
          <w:rFonts w:ascii="Aptos" w:hAnsi="Aptos" w:eastAsia="FangSong" w:cs="Aptos"/>
        </w:rPr>
        <w:t>☐ 已写已开展、正在开展、计划开展；没有把计划写成既成事实。</w:t>
      </w:r>
    </w:p>
    <w:p>
      <w:pPr>
        <w:pStyle w:val="ListBullet"/>
      </w:pPr>
      <w:r>
        <w:rPr>
          <w:rFonts w:ascii="Aptos" w:hAnsi="Aptos" w:eastAsia="FangSong" w:cs="Aptos"/>
        </w:rPr>
        <w:t>☐ 每个关联方、商业品牌、IP、共享人员/地址、赞助权益和数据流已披露。</w:t>
      </w:r>
    </w:p>
    <w:p>
      <w:pPr>
        <w:pStyle w:val="ListBullet"/>
      </w:pPr>
      <w:r>
        <w:rPr>
          <w:rFonts w:ascii="Aptos" w:hAnsi="Aptos" w:eastAsia="FangSong" w:cs="Aptos"/>
        </w:rPr>
        <w:t>☐ 境外国家、付款、合作方、本地许可、OFAC 和监督已披露。</w:t>
      </w:r>
    </w:p>
    <w:p>
      <w:pPr>
        <w:pStyle w:val="ListBullet"/>
      </w:pPr>
      <w:r>
        <w:rPr>
          <w:rFonts w:ascii="Aptos" w:hAnsi="Aptos" w:eastAsia="FangSong" w:cs="Aptos"/>
        </w:rPr>
        <w:t>☐ 收费、低收入可及性、公众分发和选择标准已量化。</w:t>
      </w:r>
    </w:p>
    <w:p>
      <w:pPr>
        <w:pStyle w:val="ListBullet"/>
      </w:pPr>
      <w:r>
        <w:rPr>
          <w:rFonts w:ascii="Aptos" w:hAnsi="Aptos" w:eastAsia="FangSong" w:cs="Aptos"/>
        </w:rPr>
        <w:t>☐ 政治竞选绝对禁止；真实游说不隐瞒。</w:t>
      </w:r>
    </w:p>
    <w:p>
      <w:pPr>
        <w:pStyle w:val="ListBullet"/>
      </w:pPr>
      <w:r>
        <w:rPr>
          <w:rFonts w:ascii="Aptos" w:hAnsi="Aptos" w:eastAsia="FangSong" w:cs="Aptos"/>
        </w:rPr>
        <w:t>☐ 没有个人敏感信息或不必要商业秘密；公开版本仍足够完整。</w:t>
      </w:r>
    </w:p>
    <w:p>
      <w:r>
        <w:br w:type="page"/>
      </w:r>
    </w:p>
    <w:p>
      <w:pPr>
        <w:spacing w:after="40"/>
      </w:pPr>
      <w:r>
        <w:rPr>
          <w:rFonts w:ascii="Aptos" w:hAnsi="Aptos" w:eastAsia="Microsoft YaHei" w:cs="Aptos"/>
          <w:b/>
          <w:color w:val="6A6A6A"/>
          <w:sz w:val="16"/>
        </w:rPr>
        <w:t>MODULE J</w:t>
      </w:r>
    </w:p>
    <w:p>
      <w:pPr>
        <w:pStyle w:val="Heading1"/>
      </w:pPr>
      <w:r>
        <w:rPr>
          <w:rFonts w:ascii="Aptos" w:hAnsi="Aptos" w:eastAsia="FangSong" w:cs="Aptos"/>
        </w:rPr>
        <w:t>附录 J｜主合规日历与证据索引</w:t>
      </w:r>
    </w:p>
    <w:p>
      <w:pPr>
        <w:keepLines/>
      </w:pPr>
      <w:r>
        <w:rPr>
          <w:rFonts w:ascii="Aptos" w:hAnsi="Aptos" w:eastAsia="FangSong" w:cs="Aptos"/>
          <w:color w:val="6A6A6A"/>
          <w:sz w:val="21"/>
        </w:rPr>
        <w:t>由 Secretary 维护一个 master calendar；每项都写 owner、backup、提前提醒、提交日、确认编号和文件链接。</w:t>
      </w:r>
    </w:p>
    <w:p>
      <w:pPr>
        <w:spacing w:after="180"/>
        <w:pBdr>
          <w:bottom w:val="single" w:sz="10" w:space="1" w:color="111111"/>
        </w:pBdr>
      </w:pPr>
    </w:p>
    <w:p>
      <w:pPr>
        <w:pStyle w:val="Heading2"/>
      </w:pPr>
      <w:r>
        <w:rPr>
          <w:rFonts w:ascii="Aptos" w:hAnsi="Aptos" w:eastAsia="FangSong" w:cs="Aptos"/>
        </w:rPr>
        <w:t>J.1 Master Calendar 字段</w:t>
      </w:r>
    </w:p>
    <w:tbl>
      <w:tblPr>
        <w:tblW w:type="dxa" w:w="9360"/>
        <w:tblLayout w:type="fixed"/>
        <w:tblLook w:firstColumn="1" w:firstRow="1" w:lastColumn="0" w:lastRow="0" w:noHBand="0" w:noVBand="1" w:val="04A0"/>
        <w:jc w:val="center"/>
        <w:tblInd w:w="120" w:type="dxa"/>
      </w:tblPr>
      <w:tblGrid>
        <w:gridCol w:w="4853"/>
        <w:gridCol w:w="4853"/>
      </w:tblGrid>
      <w:tr>
        <w:trPr>
          <w:tblHeader w:val="true"/>
          <w:cantSplit/>
        </w:trPr>
        <w:tc>
          <w:tcPr>
            <w:tcW w:type="dxa" w:w="2736"/>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字段</w:t>
            </w:r>
          </w:p>
        </w:tc>
        <w:tc>
          <w:tcPr>
            <w:tcW w:type="dxa" w:w="6840"/>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示例</w:t>
            </w:r>
          </w:p>
        </w:tc>
      </w:tr>
      <w:tr>
        <w:trPr>
          <w:cantSplit/>
        </w:trPr>
        <w:tc>
          <w:tcPr>
            <w:tcW w:type="dxa" w:w="273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Requirement</w:t>
            </w:r>
          </w:p>
        </w:tc>
        <w:tc>
          <w:tcPr>
            <w:tcW w:type="dxa" w:w="68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Colorado Periodic Report</w:t>
            </w:r>
          </w:p>
        </w:tc>
      </w:tr>
      <w:tr>
        <w:trPr>
          <w:cantSplit/>
        </w:trPr>
        <w:tc>
          <w:tcPr>
            <w:tcW w:type="dxa" w:w="273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Trigger/period</w:t>
            </w:r>
          </w:p>
        </w:tc>
        <w:tc>
          <w:tcPr>
            <w:tcW w:type="dxa" w:w="68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Entity filing month / annual</w:t>
            </w:r>
          </w:p>
        </w:tc>
      </w:tr>
      <w:tr>
        <w:trPr>
          <w:cantSplit/>
        </w:trPr>
        <w:tc>
          <w:tcPr>
            <w:tcW w:type="dxa" w:w="273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Legal due date</w:t>
            </w:r>
          </w:p>
        </w:tc>
        <w:tc>
          <w:tcPr>
            <w:tcW w:type="dxa" w:w="68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[portal current date]</w:t>
            </w:r>
          </w:p>
        </w:tc>
      </w:tr>
      <w:tr>
        <w:trPr>
          <w:cantSplit/>
        </w:trPr>
        <w:tc>
          <w:tcPr>
            <w:tcW w:type="dxa" w:w="273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Internal due date</w:t>
            </w:r>
          </w:p>
        </w:tc>
        <w:tc>
          <w:tcPr>
            <w:tcW w:type="dxa" w:w="68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法定日前 30 日</w:t>
            </w:r>
          </w:p>
        </w:tc>
      </w:tr>
      <w:tr>
        <w:trPr>
          <w:cantSplit/>
        </w:trPr>
        <w:tc>
          <w:tcPr>
            <w:tcW w:type="dxa" w:w="273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Owner / backup</w:t>
            </w:r>
          </w:p>
        </w:tc>
        <w:tc>
          <w:tcPr>
            <w:tcW w:type="dxa" w:w="68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Secretary / Treasurer</w:t>
            </w:r>
          </w:p>
        </w:tc>
      </w:tr>
      <w:tr>
        <w:trPr>
          <w:cantSplit/>
        </w:trPr>
        <w:tc>
          <w:tcPr>
            <w:tcW w:type="dxa" w:w="273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Inputs</w:t>
            </w:r>
          </w:p>
        </w:tc>
        <w:tc>
          <w:tcPr>
            <w:tcW w:type="dxa" w:w="68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Entity record, RA/address confirmation</w:t>
            </w:r>
          </w:p>
        </w:tc>
      </w:tr>
      <w:tr>
        <w:trPr>
          <w:cantSplit/>
        </w:trPr>
        <w:tc>
          <w:tcPr>
            <w:tcW w:type="dxa" w:w="273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Reviewer/approver</w:t>
            </w:r>
          </w:p>
        </w:tc>
        <w:tc>
          <w:tcPr>
            <w:tcW w:type="dxa" w:w="68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Board Chair</w:t>
            </w:r>
          </w:p>
        </w:tc>
      </w:tr>
      <w:tr>
        <w:trPr>
          <w:cantSplit/>
        </w:trPr>
        <w:tc>
          <w:tcPr>
            <w:tcW w:type="dxa" w:w="273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Submission route</w:t>
            </w:r>
          </w:p>
        </w:tc>
        <w:tc>
          <w:tcPr>
            <w:tcW w:type="dxa" w:w="68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Colorado SOS online</w:t>
            </w:r>
          </w:p>
        </w:tc>
      </w:tr>
      <w:tr>
        <w:trPr>
          <w:cantSplit/>
        </w:trPr>
        <w:tc>
          <w:tcPr>
            <w:tcW w:type="dxa" w:w="2736"/>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Confirmation</w:t>
            </w:r>
          </w:p>
        </w:tc>
        <w:tc>
          <w:tcPr>
            <w:tcW w:type="dxa" w:w="68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receipt / ID / screenshot / filed PDF</w:t>
            </w:r>
          </w:p>
        </w:tc>
      </w:tr>
      <w:tr>
        <w:trPr>
          <w:cantSplit/>
        </w:trPr>
        <w:tc>
          <w:tcPr>
            <w:tcW w:type="dxa" w:w="2736"/>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Next due</w:t>
            </w:r>
          </w:p>
        </w:tc>
        <w:tc>
          <w:tcPr>
            <w:tcW w:type="dxa" w:w="68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[auto-calculated]</w:t>
            </w:r>
          </w:p>
        </w:tc>
      </w:tr>
    </w:tbl>
    <w:p>
      <w:pPr>
        <w:spacing w:after="0"/>
      </w:pPr>
    </w:p>
    <w:p>
      <w:pPr>
        <w:pStyle w:val="Heading2"/>
      </w:pPr>
      <w:r>
        <w:rPr>
          <w:rFonts w:ascii="Aptos" w:hAnsi="Aptos" w:eastAsia="FangSong" w:cs="Aptos"/>
        </w:rPr>
        <w:t>J.2 绝对日期与相对日期</w:t>
      </w:r>
    </w:p>
    <w:tbl>
      <w:tblPr>
        <w:tblW w:type="dxa" w:w="9360"/>
        <w:tblLayout w:type="fixed"/>
        <w:tblLook w:firstColumn="1" w:firstRow="1" w:lastColumn="0" w:lastRow="0" w:noHBand="0" w:noVBand="1" w:val="04A0"/>
        <w:jc w:val="center"/>
        <w:tblInd w:w="120" w:type="dxa"/>
      </w:tblPr>
      <w:tblGrid>
        <w:gridCol w:w="3235"/>
        <w:gridCol w:w="3235"/>
        <w:gridCol w:w="3235"/>
      </w:tblGrid>
      <w:tr>
        <w:trPr>
          <w:tblHeader w:val="true"/>
          <w:cantSplit/>
        </w:trPr>
        <w:tc>
          <w:tcPr>
            <w:tcW w:type="dxa" w:w="2952"/>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事项</w:t>
            </w:r>
          </w:p>
        </w:tc>
        <w:tc>
          <w:tcPr>
            <w:tcW w:type="dxa" w:w="4104"/>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示例日期（成立 2026-08-12、日历年）</w:t>
            </w:r>
          </w:p>
        </w:tc>
        <w:tc>
          <w:tcPr>
            <w:tcW w:type="dxa" w:w="2520"/>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核准方法</w:t>
            </w:r>
          </w:p>
        </w:tc>
      </w:tr>
      <w:tr>
        <w:trPr>
          <w:cantSplit/>
        </w:trPr>
        <w:tc>
          <w:tcPr>
            <w:tcW w:type="dxa" w:w="29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IRS 27-month timely filing horizon</w:t>
            </w:r>
          </w:p>
        </w:tc>
        <w:tc>
          <w:tcPr>
            <w:tcW w:type="dxa" w:w="41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一般目标不晚于 2028-11-30；实际应在 Day 90 内提交。</w:t>
            </w:r>
          </w:p>
        </w:tc>
        <w:tc>
          <w:tcPr>
            <w:tcW w:type="dxa" w:w="25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由 counsel 按成立月份和 Part VIII 规则确认。</w:t>
            </w:r>
          </w:p>
        </w:tc>
      </w:tr>
      <w:tr>
        <w:trPr>
          <w:cantSplit/>
        </w:trPr>
        <w:tc>
          <w:tcPr>
            <w:tcW w:type="dxa" w:w="29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First short-year 990</w:t>
            </w:r>
          </w:p>
        </w:tc>
        <w:tc>
          <w:tcPr>
            <w:tcW w:type="dxa" w:w="410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2026 税年通常 2027-05-15 到期。</w:t>
            </w:r>
          </w:p>
        </w:tc>
        <w:tc>
          <w:tcPr>
            <w:tcW w:type="dxa" w:w="25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CPA 根据 exemption pending、规模和 IRS 系统确认。</w:t>
            </w:r>
          </w:p>
        </w:tc>
      </w:tr>
      <w:tr>
        <w:trPr>
          <w:cantSplit/>
        </w:trPr>
        <w:tc>
          <w:tcPr>
            <w:tcW w:type="dxa" w:w="29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Colorado charity renewal</w:t>
            </w:r>
          </w:p>
        </w:tc>
        <w:tc>
          <w:tcPr>
            <w:tcW w:type="dxa" w:w="41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日历年通常 5 月 15；initial estimated data 的 actual update 另跟踪。</w:t>
            </w:r>
          </w:p>
        </w:tc>
        <w:tc>
          <w:tcPr>
            <w:tcW w:type="dxa" w:w="25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Charities dashboard + current instructions。</w:t>
            </w:r>
          </w:p>
        </w:tc>
      </w:tr>
      <w:tr>
        <w:trPr>
          <w:cantSplit/>
        </w:trPr>
        <w:tc>
          <w:tcPr>
            <w:tcW w:type="dxa" w:w="29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Colorado periodic report</w:t>
            </w:r>
          </w:p>
        </w:tc>
        <w:tc>
          <w:tcPr>
            <w:tcW w:type="dxa" w:w="410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由 2026-08 filing month 决定年度窗口。</w:t>
            </w:r>
          </w:p>
        </w:tc>
        <w:tc>
          <w:tcPr>
            <w:tcW w:type="dxa" w:w="25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Entity record 显示 report month；窗口前后各 2 个月。</w:t>
            </w:r>
          </w:p>
        </w:tc>
      </w:tr>
      <w:tr>
        <w:trPr>
          <w:cantSplit/>
        </w:trPr>
        <w:tc>
          <w:tcPr>
            <w:tcW w:type="dxa" w:w="29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FBAR</w:t>
            </w:r>
          </w:p>
        </w:tc>
        <w:tc>
          <w:tcPr>
            <w:tcW w:type="dxa" w:w="41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如触发，次年 4 月 15；自动延展机制至 10 月。</w:t>
            </w:r>
          </w:p>
        </w:tc>
        <w:tc>
          <w:tcPr>
            <w:tcW w:type="dxa" w:w="25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FinCEN/IRS 当年公告。</w:t>
            </w:r>
          </w:p>
        </w:tc>
      </w:tr>
      <w:tr>
        <w:trPr>
          <w:cantSplit/>
        </w:trPr>
        <w:tc>
          <w:tcPr>
            <w:tcW w:type="dxa" w:w="29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ECOSOC two years</w:t>
            </w:r>
          </w:p>
        </w:tc>
        <w:tc>
          <w:tcPr>
            <w:tcW w:type="dxa" w:w="410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2028-08-12 满两年。</w:t>
            </w:r>
          </w:p>
        </w:tc>
        <w:tc>
          <w:tcPr>
            <w:tcW w:type="dxa" w:w="25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Filed effective date + official eligibility rule。</w:t>
            </w:r>
          </w:p>
        </w:tc>
      </w:tr>
      <w:tr>
        <w:trPr>
          <w:cantSplit/>
        </w:trPr>
        <w:tc>
          <w:tcPr>
            <w:tcW w:type="dxa" w:w="29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Earliest ECOSOC deadline</w:t>
            </w:r>
          </w:p>
        </w:tc>
        <w:tc>
          <w:tcPr>
            <w:tcW w:type="dxa" w:w="410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2029-06-01。</w:t>
            </w:r>
          </w:p>
        </w:tc>
        <w:tc>
          <w:tcPr>
            <w:tcW w:type="dxa" w:w="252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2029 公告必须重查。</w:t>
            </w:r>
          </w:p>
        </w:tc>
      </w:tr>
      <w:tr>
        <w:trPr>
          <w:cantSplit/>
        </w:trPr>
        <w:tc>
          <w:tcPr>
            <w:tcW w:type="dxa" w:w="295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Likely first review sessions</w:t>
            </w:r>
          </w:p>
        </w:tc>
        <w:tc>
          <w:tcPr>
            <w:tcW w:type="dxa" w:w="410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2030，可能 deferred。</w:t>
            </w:r>
          </w:p>
        </w:tc>
        <w:tc>
          <w:tcPr>
            <w:tcW w:type="dxa" w:w="252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Committee calendar/portal。</w:t>
            </w:r>
          </w:p>
        </w:tc>
      </w:tr>
    </w:tbl>
    <w:p>
      <w:pPr>
        <w:spacing w:after="0"/>
      </w:pPr>
    </w:p>
    <w:p>
      <w:pPr>
        <w:pStyle w:val="Heading2"/>
      </w:pPr>
      <w:r>
        <w:rPr>
          <w:rFonts w:ascii="Aptos" w:hAnsi="Aptos" w:eastAsia="FangSong" w:cs="Aptos"/>
        </w:rPr>
        <w:t>J.3 ECOSOC Evidence Index</w:t>
      </w:r>
    </w:p>
    <w:tbl>
      <w:tblPr>
        <w:tblW w:type="dxa" w:w="9360"/>
        <w:tblLayout w:type="fixed"/>
        <w:tblLook w:firstColumn="1" w:firstRow="1" w:lastColumn="0" w:lastRow="0" w:noHBand="0" w:noVBand="1" w:val="04A0"/>
        <w:jc w:val="center"/>
        <w:tblInd w:w="120" w:type="dxa"/>
      </w:tblPr>
      <w:tblGrid>
        <w:gridCol w:w="1387"/>
        <w:gridCol w:w="1387"/>
        <w:gridCol w:w="1387"/>
        <w:gridCol w:w="1387"/>
        <w:gridCol w:w="1387"/>
        <w:gridCol w:w="1387"/>
        <w:gridCol w:w="1387"/>
      </w:tblGrid>
      <w:tr>
        <w:trPr>
          <w:tblHeader w:val="true"/>
          <w:cantSplit/>
        </w:trPr>
        <w:tc>
          <w:tcPr>
            <w:tcW w:type="dxa" w:w="648"/>
            <w:shd w:fill="111111"/>
            <w:tcMar>
              <w:top w:w="80" w:type="dxa"/>
              <w:start w:w="120" w:type="dxa"/>
              <w:bottom w:w="80" w:type="dxa"/>
              <w:end w:w="120" w:type="dxa"/>
            </w:tcMar>
            <w:vAlign w:val="center"/>
          </w:tcPr>
          <w:p>
            <w:pPr>
              <w:spacing w:after="0"/>
            </w:pPr>
            <w:r>
              <w:rPr>
                <w:rFonts w:ascii="Aptos" w:hAnsi="Aptos" w:eastAsia="Microsoft YaHei" w:cs="Aptos"/>
                <w:b/>
                <w:color w:val="FFFFFF"/>
                <w:sz w:val="14"/>
              </w:rPr>
              <w:t>ID</w:t>
            </w:r>
          </w:p>
        </w:tc>
        <w:tc>
          <w:tcPr>
            <w:tcW w:type="dxa" w:w="1008"/>
            <w:shd w:fill="111111"/>
            <w:tcMar>
              <w:top w:w="80" w:type="dxa"/>
              <w:start w:w="120" w:type="dxa"/>
              <w:bottom w:w="80" w:type="dxa"/>
              <w:end w:w="120" w:type="dxa"/>
            </w:tcMar>
            <w:vAlign w:val="center"/>
          </w:tcPr>
          <w:p>
            <w:pPr>
              <w:spacing w:after="0"/>
            </w:pPr>
            <w:r>
              <w:rPr>
                <w:rFonts w:ascii="Aptos" w:hAnsi="Aptos" w:eastAsia="Microsoft YaHei" w:cs="Aptos"/>
                <w:b/>
                <w:color w:val="FFFFFF"/>
                <w:sz w:val="14"/>
              </w:rPr>
              <w:t>Date</w:t>
            </w:r>
          </w:p>
        </w:tc>
        <w:tc>
          <w:tcPr>
            <w:tcW w:type="dxa" w:w="1224"/>
            <w:shd w:fill="111111"/>
            <w:tcMar>
              <w:top w:w="80" w:type="dxa"/>
              <w:start w:w="120" w:type="dxa"/>
              <w:bottom w:w="80" w:type="dxa"/>
              <w:end w:w="120" w:type="dxa"/>
            </w:tcMar>
            <w:vAlign w:val="center"/>
          </w:tcPr>
          <w:p>
            <w:pPr>
              <w:spacing w:after="0"/>
            </w:pPr>
            <w:r>
              <w:rPr>
                <w:rFonts w:ascii="Aptos" w:hAnsi="Aptos" w:eastAsia="Microsoft YaHei" w:cs="Aptos"/>
                <w:b/>
                <w:color w:val="FFFFFF"/>
                <w:sz w:val="14"/>
              </w:rPr>
              <w:t>Category</w:t>
            </w:r>
          </w:p>
        </w:tc>
        <w:tc>
          <w:tcPr>
            <w:tcW w:type="dxa" w:w="1800"/>
            <w:shd w:fill="111111"/>
            <w:tcMar>
              <w:top w:w="80" w:type="dxa"/>
              <w:start w:w="120" w:type="dxa"/>
              <w:bottom w:w="80" w:type="dxa"/>
              <w:end w:w="120" w:type="dxa"/>
            </w:tcMar>
            <w:vAlign w:val="center"/>
          </w:tcPr>
          <w:p>
            <w:pPr>
              <w:spacing w:after="0"/>
            </w:pPr>
            <w:r>
              <w:rPr>
                <w:rFonts w:ascii="Aptos" w:hAnsi="Aptos" w:eastAsia="Microsoft YaHei" w:cs="Aptos"/>
                <w:b/>
                <w:color w:val="FFFFFF"/>
                <w:sz w:val="14"/>
              </w:rPr>
              <w:t>Title/output</w:t>
            </w:r>
          </w:p>
        </w:tc>
        <w:tc>
          <w:tcPr>
            <w:tcW w:type="dxa" w:w="1944"/>
            <w:shd w:fill="111111"/>
            <w:tcMar>
              <w:top w:w="80" w:type="dxa"/>
              <w:start w:w="120" w:type="dxa"/>
              <w:bottom w:w="80" w:type="dxa"/>
              <w:end w:w="120" w:type="dxa"/>
            </w:tcMar>
            <w:vAlign w:val="center"/>
          </w:tcPr>
          <w:p>
            <w:pPr>
              <w:spacing w:after="0"/>
            </w:pPr>
            <w:r>
              <w:rPr>
                <w:rFonts w:ascii="Aptos" w:hAnsi="Aptos" w:eastAsia="Microsoft YaHei" w:cs="Aptos"/>
                <w:b/>
                <w:color w:val="FFFFFF"/>
                <w:sz w:val="14"/>
              </w:rPr>
              <w:t>ECOSOC/SDG relevance</w:t>
            </w:r>
          </w:p>
        </w:tc>
        <w:tc>
          <w:tcPr>
            <w:tcW w:type="dxa" w:w="1440"/>
            <w:shd w:fill="111111"/>
            <w:tcMar>
              <w:top w:w="80" w:type="dxa"/>
              <w:start w:w="120" w:type="dxa"/>
              <w:bottom w:w="80" w:type="dxa"/>
              <w:end w:w="120" w:type="dxa"/>
            </w:tcMar>
            <w:vAlign w:val="center"/>
          </w:tcPr>
          <w:p>
            <w:pPr>
              <w:spacing w:after="0"/>
            </w:pPr>
            <w:r>
              <w:rPr>
                <w:rFonts w:ascii="Aptos" w:hAnsi="Aptos" w:eastAsia="Microsoft YaHei" w:cs="Aptos"/>
                <w:b/>
                <w:color w:val="FFFFFF"/>
                <w:sz w:val="14"/>
              </w:rPr>
              <w:t>Public URL</w:t>
            </w:r>
          </w:p>
        </w:tc>
        <w:tc>
          <w:tcPr>
            <w:tcW w:type="dxa" w:w="1512"/>
            <w:shd w:fill="111111"/>
            <w:tcMar>
              <w:top w:w="80" w:type="dxa"/>
              <w:start w:w="120" w:type="dxa"/>
              <w:bottom w:w="80" w:type="dxa"/>
              <w:end w:w="120" w:type="dxa"/>
            </w:tcMar>
            <w:vAlign w:val="center"/>
          </w:tcPr>
          <w:p>
            <w:pPr>
              <w:spacing w:after="0"/>
            </w:pPr>
            <w:r>
              <w:rPr>
                <w:rFonts w:ascii="Aptos" w:hAnsi="Aptos" w:eastAsia="Microsoft YaHei" w:cs="Aptos"/>
                <w:b/>
                <w:color w:val="FFFFFF"/>
                <w:sz w:val="14"/>
              </w:rPr>
              <w:t>Source file</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[001]</w:t>
            </w:r>
          </w:p>
        </w:tc>
        <w:tc>
          <w:tcPr>
            <w:tcW w:type="dxa" w:w="10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 ]</w:t>
            </w:r>
          </w:p>
        </w:tc>
        <w:tc>
          <w:tcPr>
            <w:tcW w:type="dxa" w:w="12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Governance</w:t>
            </w:r>
          </w:p>
        </w:tc>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[Board meeting]</w:t>
            </w:r>
          </w:p>
        </w:tc>
        <w:tc>
          <w:tcPr>
            <w:tcW w:type="dxa" w:w="194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 ]</w:t>
            </w:r>
          </w:p>
        </w:tc>
        <w:tc>
          <w:tcPr>
            <w:tcW w:type="dxa" w:w="14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 ]</w:t>
            </w:r>
          </w:p>
        </w:tc>
        <w:tc>
          <w:tcPr>
            <w:tcW w:type="dxa" w:w="15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 ]</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[002]</w:t>
            </w:r>
          </w:p>
        </w:tc>
        <w:tc>
          <w:tcPr>
            <w:tcW w:type="dxa" w:w="10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 ]</w:t>
            </w:r>
          </w:p>
        </w:tc>
        <w:tc>
          <w:tcPr>
            <w:tcW w:type="dxa" w:w="12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Program</w:t>
            </w:r>
          </w:p>
        </w:tc>
        <w:tc>
          <w:tcPr>
            <w:tcW w:type="dxa" w:w="18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[Report/event]</w:t>
            </w:r>
          </w:p>
        </w:tc>
        <w:tc>
          <w:tcPr>
            <w:tcW w:type="dxa" w:w="194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 ]</w:t>
            </w:r>
          </w:p>
        </w:tc>
        <w:tc>
          <w:tcPr>
            <w:tcW w:type="dxa" w:w="14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 ]</w:t>
            </w:r>
          </w:p>
        </w:tc>
        <w:tc>
          <w:tcPr>
            <w:tcW w:type="dxa" w:w="15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 ]</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[003]</w:t>
            </w:r>
          </w:p>
        </w:tc>
        <w:tc>
          <w:tcPr>
            <w:tcW w:type="dxa" w:w="10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 ]</w:t>
            </w:r>
          </w:p>
        </w:tc>
        <w:tc>
          <w:tcPr>
            <w:tcW w:type="dxa" w:w="12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Finance</w:t>
            </w:r>
          </w:p>
        </w:tc>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[Statement/990]</w:t>
            </w:r>
          </w:p>
        </w:tc>
        <w:tc>
          <w:tcPr>
            <w:tcW w:type="dxa" w:w="194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 ]</w:t>
            </w:r>
          </w:p>
        </w:tc>
        <w:tc>
          <w:tcPr>
            <w:tcW w:type="dxa" w:w="14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 ]</w:t>
            </w:r>
          </w:p>
        </w:tc>
        <w:tc>
          <w:tcPr>
            <w:tcW w:type="dxa" w:w="15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 ]</w:t>
            </w:r>
          </w:p>
        </w:tc>
      </w:tr>
      <w:tr>
        <w:trPr>
          <w:cantSplit/>
        </w:trPr>
        <w:tc>
          <w:tcPr>
            <w:tcW w:type="dxa" w:w="64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[004]</w:t>
            </w:r>
          </w:p>
        </w:tc>
        <w:tc>
          <w:tcPr>
            <w:tcW w:type="dxa" w:w="100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 ]</w:t>
            </w:r>
          </w:p>
        </w:tc>
        <w:tc>
          <w:tcPr>
            <w:tcW w:type="dxa" w:w="122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International</w:t>
            </w:r>
          </w:p>
        </w:tc>
        <w:tc>
          <w:tcPr>
            <w:tcW w:type="dxa" w:w="18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[PRC filing/project]</w:t>
            </w:r>
          </w:p>
        </w:tc>
        <w:tc>
          <w:tcPr>
            <w:tcW w:type="dxa" w:w="194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 ]</w:t>
            </w:r>
          </w:p>
        </w:tc>
        <w:tc>
          <w:tcPr>
            <w:tcW w:type="dxa" w:w="144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 ]</w:t>
            </w:r>
          </w:p>
        </w:tc>
        <w:tc>
          <w:tcPr>
            <w:tcW w:type="dxa" w:w="151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 ]</w:t>
            </w:r>
          </w:p>
        </w:tc>
      </w:tr>
      <w:tr>
        <w:trPr>
          <w:cantSplit/>
        </w:trPr>
        <w:tc>
          <w:tcPr>
            <w:tcW w:type="dxa" w:w="64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[005]</w:t>
            </w:r>
          </w:p>
        </w:tc>
        <w:tc>
          <w:tcPr>
            <w:tcW w:type="dxa" w:w="100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 ]</w:t>
            </w:r>
          </w:p>
        </w:tc>
        <w:tc>
          <w:tcPr>
            <w:tcW w:type="dxa" w:w="122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Publication</w:t>
            </w:r>
          </w:p>
        </w:tc>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[White paper]</w:t>
            </w:r>
          </w:p>
        </w:tc>
        <w:tc>
          <w:tcPr>
            <w:tcW w:type="dxa" w:w="194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 ]</w:t>
            </w:r>
          </w:p>
        </w:tc>
        <w:tc>
          <w:tcPr>
            <w:tcW w:type="dxa" w:w="144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 ]</w:t>
            </w:r>
          </w:p>
        </w:tc>
        <w:tc>
          <w:tcPr>
            <w:tcW w:type="dxa" w:w="151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4"/>
              </w:rPr>
              <w:t>[ ]</w:t>
            </w:r>
          </w:p>
        </w:tc>
      </w:tr>
    </w:tbl>
    <w:p>
      <w:pPr>
        <w:spacing w:after="0"/>
      </w:pPr>
    </w:p>
    <w:p>
      <w:pPr>
        <w:pStyle w:val="Heading2"/>
      </w:pPr>
      <w:r>
        <w:rPr>
          <w:rFonts w:ascii="Aptos" w:hAnsi="Aptos" w:eastAsia="FangSong" w:cs="Aptos"/>
        </w:rPr>
        <w:t>J.4 提交前签字页</w:t>
      </w:r>
    </w:p>
    <w:tbl>
      <w:tblPr>
        <w:tblW w:type="dxa" w:w="9360"/>
        <w:tblLayout w:type="fixed"/>
        <w:tblLook w:firstColumn="1" w:firstRow="1" w:lastColumn="0" w:lastRow="0" w:noHBand="0" w:noVBand="1" w:val="04A0"/>
        <w:jc w:val="center"/>
        <w:tblInd w:w="120" w:type="dxa"/>
      </w:tblPr>
      <w:tblGrid>
        <w:gridCol w:w="1941"/>
        <w:gridCol w:w="1941"/>
        <w:gridCol w:w="1941"/>
        <w:gridCol w:w="1941"/>
        <w:gridCol w:w="1941"/>
      </w:tblGrid>
      <w:tr>
        <w:trPr>
          <w:tblHeader w:val="true"/>
          <w:cantSplit/>
        </w:trPr>
        <w:tc>
          <w:tcPr>
            <w:tcW w:type="dxa" w:w="2088"/>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Submission</w:t>
            </w:r>
          </w:p>
        </w:tc>
        <w:tc>
          <w:tcPr>
            <w:tcW w:type="dxa" w:w="1872"/>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Prepared by</w:t>
            </w:r>
          </w:p>
        </w:tc>
        <w:tc>
          <w:tcPr>
            <w:tcW w:type="dxa" w:w="2232"/>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Reviewed by</w:t>
            </w:r>
          </w:p>
        </w:tc>
        <w:tc>
          <w:tcPr>
            <w:tcW w:type="dxa" w:w="1800"/>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Approved by</w:t>
            </w:r>
          </w:p>
        </w:tc>
        <w:tc>
          <w:tcPr>
            <w:tcW w:type="dxa" w:w="1584"/>
            <w:shd w:fill="111111"/>
            <w:tcMar>
              <w:top w:w="80" w:type="dxa"/>
              <w:start w:w="120" w:type="dxa"/>
              <w:bottom w:w="80" w:type="dxa"/>
              <w:end w:w="120" w:type="dxa"/>
            </w:tcMar>
            <w:vAlign w:val="center"/>
          </w:tcPr>
          <w:p>
            <w:pPr>
              <w:spacing w:after="0"/>
            </w:pPr>
            <w:r>
              <w:rPr>
                <w:rFonts w:ascii="Aptos" w:hAnsi="Aptos" w:eastAsia="Microsoft YaHei" w:cs="Aptos"/>
                <w:b/>
                <w:color w:val="FFFFFF"/>
                <w:sz w:val="15"/>
              </w:rPr>
              <w:t>Date/version</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Colorado Articles</w:t>
            </w:r>
          </w:p>
        </w:tc>
        <w:tc>
          <w:tcPr>
            <w:tcW w:type="dxa" w:w="18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w:t>
            </w:r>
          </w:p>
        </w:tc>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U.S. counsel [ ]</w:t>
            </w:r>
          </w:p>
        </w:tc>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Incorporator [ ]</w:t>
            </w:r>
          </w:p>
        </w:tc>
        <w:tc>
          <w:tcPr>
            <w:tcW w:type="dxa" w:w="15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w:t>
            </w:r>
          </w:p>
        </w:tc>
      </w:tr>
      <w:tr>
        <w:trPr>
          <w:cantSplit/>
        </w:trPr>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EIN / SS-4</w:t>
            </w:r>
          </w:p>
        </w:tc>
        <w:tc>
          <w:tcPr>
            <w:tcW w:type="dxa" w:w="18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CEO [ ]</w:t>
            </w:r>
          </w:p>
        </w:tc>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CPA [ ]</w:t>
            </w:r>
          </w:p>
        </w:tc>
        <w:tc>
          <w:tcPr>
            <w:tcW w:type="dxa" w:w="18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Authorized officer [ ]</w:t>
            </w:r>
          </w:p>
        </w:tc>
        <w:tc>
          <w:tcPr>
            <w:tcW w:type="dxa" w:w="15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Charity registration</w:t>
            </w:r>
          </w:p>
        </w:tc>
        <w:tc>
          <w:tcPr>
            <w:tcW w:type="dxa" w:w="18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w:t>
            </w:r>
          </w:p>
        </w:tc>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Counsel/CPA [ ]</w:t>
            </w:r>
          </w:p>
        </w:tc>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Officer [ ]</w:t>
            </w:r>
          </w:p>
        </w:tc>
        <w:tc>
          <w:tcPr>
            <w:tcW w:type="dxa" w:w="15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w:t>
            </w:r>
          </w:p>
        </w:tc>
      </w:tr>
      <w:tr>
        <w:trPr>
          <w:cantSplit/>
        </w:trPr>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Form 1023</w:t>
            </w:r>
          </w:p>
        </w:tc>
        <w:tc>
          <w:tcPr>
            <w:tcW w:type="dxa" w:w="18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CEO/Treasurer [ ]</w:t>
            </w:r>
          </w:p>
        </w:tc>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Counsel + CPA [ ]</w:t>
            </w:r>
          </w:p>
        </w:tc>
        <w:tc>
          <w:tcPr>
            <w:tcW w:type="dxa" w:w="18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Board [ ]</w:t>
            </w:r>
          </w:p>
        </w:tc>
        <w:tc>
          <w:tcPr>
            <w:tcW w:type="dxa" w:w="15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PRC temporary activity</w:t>
            </w:r>
          </w:p>
        </w:tc>
        <w:tc>
          <w:tcPr>
            <w:tcW w:type="dxa" w:w="18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Program [ ]</w:t>
            </w:r>
          </w:p>
        </w:tc>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PRC counsel + partner [ ]</w:t>
            </w:r>
          </w:p>
        </w:tc>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Board [ ]</w:t>
            </w:r>
          </w:p>
        </w:tc>
        <w:tc>
          <w:tcPr>
            <w:tcW w:type="dxa" w:w="15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w:t>
            </w:r>
          </w:p>
        </w:tc>
      </w:tr>
      <w:tr>
        <w:trPr>
          <w:cantSplit/>
        </w:trPr>
        <w:tc>
          <w:tcPr>
            <w:tcW w:type="dxa" w:w="2088"/>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Form 990 / FBAR</w:t>
            </w:r>
          </w:p>
        </w:tc>
        <w:tc>
          <w:tcPr>
            <w:tcW w:type="dxa" w:w="187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Bookkeeper [ ]</w:t>
            </w:r>
          </w:p>
        </w:tc>
        <w:tc>
          <w:tcPr>
            <w:tcW w:type="dxa" w:w="2232"/>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CPA [ ]</w:t>
            </w:r>
          </w:p>
        </w:tc>
        <w:tc>
          <w:tcPr>
            <w:tcW w:type="dxa" w:w="1800"/>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Officer/Board [ ]</w:t>
            </w:r>
          </w:p>
        </w:tc>
        <w:tc>
          <w:tcPr>
            <w:tcW w:type="dxa" w:w="1584"/>
            <w:shd w:fill="F7F7F7"/>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w:t>
            </w:r>
          </w:p>
        </w:tc>
      </w:tr>
      <w:tr>
        <w:trPr>
          <w:cantSplit/>
        </w:trPr>
        <w:tc>
          <w:tcPr>
            <w:tcW w:type="dxa" w:w="208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ECOSOC application</w:t>
            </w:r>
          </w:p>
        </w:tc>
        <w:tc>
          <w:tcPr>
            <w:tcW w:type="dxa" w:w="187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Working group [ ]</w:t>
            </w:r>
          </w:p>
        </w:tc>
        <w:tc>
          <w:tcPr>
            <w:tcW w:type="dxa" w:w="22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Counsel/finance [ ]</w:t>
            </w:r>
          </w:p>
        </w:tc>
        <w:tc>
          <w:tcPr>
            <w:tcW w:type="dxa" w:w="1800"/>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Board [ ]</w:t>
            </w:r>
          </w:p>
        </w:tc>
        <w:tc>
          <w:tcPr>
            <w:tcW w:type="dxa" w:w="158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5"/>
              </w:rPr>
              <w:t>[ ]</w:t>
            </w:r>
          </w:p>
        </w:tc>
      </w:tr>
    </w:tbl>
    <w:p>
      <w:pPr>
        <w:spacing w:after="0"/>
      </w:pPr>
    </w:p>
    <w:p>
      <w:r>
        <w:br w:type="page"/>
      </w:r>
    </w:p>
    <w:p>
      <w:pPr>
        <w:spacing w:after="40"/>
      </w:pPr>
      <w:r>
        <w:rPr>
          <w:rFonts w:ascii="Aptos" w:hAnsi="Aptos" w:eastAsia="Microsoft YaHei" w:cs="Aptos"/>
          <w:b/>
          <w:color w:val="6A6A6A"/>
          <w:sz w:val="16"/>
        </w:rPr>
        <w:t>MODULE K</w:t>
      </w:r>
    </w:p>
    <w:p>
      <w:pPr>
        <w:pStyle w:val="Heading1"/>
      </w:pPr>
      <w:r>
        <w:rPr>
          <w:rFonts w:ascii="Aptos" w:hAnsi="Aptos" w:eastAsia="FangSong" w:cs="Aptos"/>
        </w:rPr>
        <w:t>附录 K｜官方来源索引</w:t>
      </w:r>
    </w:p>
    <w:p>
      <w:pPr>
        <w:keepLines/>
      </w:pPr>
      <w:r>
        <w:rPr>
          <w:rFonts w:ascii="Aptos" w:hAnsi="Aptos" w:eastAsia="FangSong" w:cs="Aptos"/>
          <w:color w:val="6A6A6A"/>
          <w:sz w:val="21"/>
        </w:rPr>
        <w:t>最后核验：2026-08-12。政府费用、门户字段、开放时间、表格版本和联合国截止日会变化；每次提交当天重开官方页面。</w:t>
      </w:r>
    </w:p>
    <w:p>
      <w:pPr>
        <w:spacing w:after="180"/>
        <w:pBdr>
          <w:bottom w:val="single" w:sz="10" w:space="1" w:color="111111"/>
        </w:pBdr>
      </w:pPr>
    </w:p>
    <w:p>
      <w:pPr>
        <w:pStyle w:val="Heading2"/>
      </w:pPr>
      <w:r>
        <w:rPr>
          <w:rFonts w:ascii="Aptos" w:hAnsi="Aptos" w:eastAsia="FangSong" w:cs="Aptos"/>
        </w:rPr>
        <w:t>K.1 Colorado</w:t>
      </w:r>
    </w:p>
    <w:p>
      <w:pPr>
        <w:pStyle w:val="ListBullet"/>
        <w:spacing w:after="40"/>
      </w:pPr>
      <w:hyperlink r:id="rId16">
        <w:r>
          <w:rPr>
            <w:rFonts w:ascii="Aptos" w:hAnsi="Aptos" w:eastAsia="FangSong"/>
            <w:color w:val="303030"/>
            <w:u w:val="single"/>
          </w:rPr>
          <w:t>Colorado SOS — Nonprofit Articles filing instructions</w:t>
        </w:r>
      </w:hyperlink>
      <w:r>
        <w:rPr>
          <w:rFonts w:ascii="Aptos" w:hAnsi="Aptos" w:eastAsia="FangSong" w:cs="Aptos"/>
          <w:b w:val="0"/>
          <w:color w:val="6A6A6A"/>
          <w:sz w:val="19"/>
        </w:rPr>
        <w:t xml:space="preserve"> — 字段、地址、agent、voting members、dissolution、additional information</w:t>
      </w:r>
    </w:p>
    <w:p>
      <w:pPr>
        <w:pStyle w:val="ListBullet"/>
        <w:spacing w:after="40"/>
      </w:pPr>
      <w:hyperlink r:id="rId42">
        <w:r>
          <w:rPr>
            <w:rFonts w:ascii="Aptos" w:hAnsi="Aptos" w:eastAsia="FangSong"/>
            <w:color w:val="303030"/>
            <w:u w:val="single"/>
          </w:rPr>
          <w:t>Colorado SOS — Business fee schedule</w:t>
        </w:r>
      </w:hyperlink>
      <w:r>
        <w:rPr>
          <w:rFonts w:ascii="Aptos" w:hAnsi="Aptos" w:eastAsia="FangSong" w:cs="Aptos"/>
          <w:b w:val="0"/>
          <w:color w:val="6A6A6A"/>
          <w:sz w:val="19"/>
        </w:rPr>
        <w:t xml:space="preserve"> — Articles、periodic report、trade name、late penalty</w:t>
      </w:r>
    </w:p>
    <w:p>
      <w:pPr>
        <w:pStyle w:val="ListBullet"/>
        <w:spacing w:after="40"/>
      </w:pPr>
      <w:hyperlink r:id="rId43">
        <w:r>
          <w:rPr>
            <w:rFonts w:ascii="Aptos" w:hAnsi="Aptos" w:eastAsia="FangSong"/>
            <w:color w:val="303030"/>
            <w:u w:val="single"/>
          </w:rPr>
          <w:t>Colorado SOS — Registered agent changes effective July 1, 2025</w:t>
        </w:r>
      </w:hyperlink>
      <w:r>
        <w:rPr>
          <w:rFonts w:ascii="Aptos" w:hAnsi="Aptos" w:eastAsia="FangSong" w:cs="Aptos"/>
          <w:b w:val="0"/>
          <w:color w:val="6A6A6A"/>
          <w:sz w:val="19"/>
        </w:rPr>
        <w:t xml:space="preserve"> — 实体/个人 agent、实体街道和营业时间</w:t>
      </w:r>
    </w:p>
    <w:p>
      <w:pPr>
        <w:pStyle w:val="ListBullet"/>
        <w:spacing w:after="40"/>
      </w:pPr>
      <w:hyperlink r:id="rId44">
        <w:r>
          <w:rPr>
            <w:rFonts w:ascii="Aptos" w:hAnsi="Aptos" w:eastAsia="FangSong"/>
            <w:color w:val="303030"/>
            <w:u w:val="single"/>
          </w:rPr>
          <w:t>Colorado SOS — Periodic Report FAQ</w:t>
        </w:r>
      </w:hyperlink>
      <w:r>
        <w:rPr>
          <w:rFonts w:ascii="Aptos" w:hAnsi="Aptos" w:eastAsia="FangSong" w:cs="Aptos"/>
          <w:b w:val="0"/>
          <w:color w:val="6A6A6A"/>
          <w:sz w:val="19"/>
        </w:rPr>
        <w:t xml:space="preserve"> — 年度窗口和状态</w:t>
      </w:r>
    </w:p>
    <w:p>
      <w:pPr>
        <w:pStyle w:val="ListBullet"/>
        <w:spacing w:after="40"/>
      </w:pPr>
      <w:hyperlink r:id="rId19">
        <w:r>
          <w:rPr>
            <w:rFonts w:ascii="Aptos" w:hAnsi="Aptos" w:eastAsia="FangSong"/>
            <w:color w:val="303030"/>
            <w:u w:val="single"/>
          </w:rPr>
          <w:t>Colorado SOS — Trade Name FAQ</w:t>
        </w:r>
      </w:hyperlink>
      <w:r>
        <w:rPr>
          <w:rFonts w:ascii="Aptos" w:hAnsi="Aptos" w:eastAsia="FangSong" w:cs="Aptos"/>
          <w:b w:val="0"/>
          <w:color w:val="6A6A6A"/>
          <w:sz w:val="19"/>
        </w:rPr>
        <w:t xml:space="preserve"> — 非排他、非商标、reporting entity 规则</w:t>
      </w:r>
    </w:p>
    <w:p>
      <w:pPr>
        <w:pStyle w:val="ListBullet"/>
        <w:spacing w:after="40"/>
      </w:pPr>
      <w:hyperlink r:id="rId45">
        <w:r>
          <w:rPr>
            <w:rFonts w:ascii="Aptos" w:hAnsi="Aptos" w:eastAsia="FangSong"/>
            <w:color w:val="303030"/>
            <w:u w:val="single"/>
          </w:rPr>
          <w:t>Colorado SOS — Certificate of Good Standing</w:t>
        </w:r>
      </w:hyperlink>
      <w:r>
        <w:rPr>
          <w:rFonts w:ascii="Aptos" w:hAnsi="Aptos" w:eastAsia="FangSong" w:cs="Aptos"/>
          <w:b w:val="0"/>
          <w:color w:val="6A6A6A"/>
          <w:sz w:val="19"/>
        </w:rPr>
        <w:t xml:space="preserve"> — 在线免费证书</w:t>
      </w:r>
    </w:p>
    <w:p>
      <w:pPr>
        <w:pStyle w:val="ListBullet"/>
        <w:spacing w:after="40"/>
      </w:pPr>
      <w:hyperlink r:id="rId21">
        <w:r>
          <w:rPr>
            <w:rFonts w:ascii="Aptos" w:hAnsi="Aptos" w:eastAsia="FangSong"/>
            <w:color w:val="303030"/>
            <w:u w:val="single"/>
          </w:rPr>
          <w:t>Colorado SOS — Charitable organization registration</w:t>
        </w:r>
      </w:hyperlink>
      <w:r>
        <w:rPr>
          <w:rFonts w:ascii="Aptos" w:hAnsi="Aptos" w:eastAsia="FangSong" w:cs="Aptos"/>
          <w:b w:val="0"/>
          <w:color w:val="6A6A6A"/>
          <w:sz w:val="19"/>
        </w:rPr>
        <w:t xml:space="preserve"> — 募资前登记和新机构估算</w:t>
      </w:r>
    </w:p>
    <w:p>
      <w:pPr>
        <w:pStyle w:val="ListBullet"/>
        <w:spacing w:after="40"/>
      </w:pPr>
      <w:hyperlink r:id="rId46">
        <w:r>
          <w:rPr>
            <w:rFonts w:ascii="Aptos" w:hAnsi="Aptos" w:eastAsia="FangSong"/>
            <w:color w:val="303030"/>
            <w:u w:val="single"/>
          </w:rPr>
          <w:t>Colorado SOS — Charities registration line instructions</w:t>
        </w:r>
      </w:hyperlink>
      <w:r>
        <w:rPr>
          <w:rFonts w:ascii="Aptos" w:hAnsi="Aptos" w:eastAsia="FangSong" w:cs="Aptos"/>
          <w:b w:val="0"/>
          <w:color w:val="6A6A6A"/>
          <w:sz w:val="19"/>
        </w:rPr>
        <w:t xml:space="preserve"> — 逐项登记说明</w:t>
      </w:r>
    </w:p>
    <w:p>
      <w:pPr>
        <w:pStyle w:val="ListBullet"/>
        <w:spacing w:after="40"/>
      </w:pPr>
      <w:hyperlink r:id="rId22">
        <w:r>
          <w:rPr>
            <w:rFonts w:ascii="Aptos" w:hAnsi="Aptos" w:eastAsia="FangSong"/>
            <w:color w:val="303030"/>
            <w:u w:val="single"/>
          </w:rPr>
          <w:t>Colorado SOS — Charities common mistakes</w:t>
        </w:r>
      </w:hyperlink>
      <w:r>
        <w:rPr>
          <w:rFonts w:ascii="Aptos" w:hAnsi="Aptos" w:eastAsia="FangSong" w:cs="Aptos"/>
          <w:b w:val="0"/>
          <w:color w:val="6A6A6A"/>
          <w:sz w:val="19"/>
        </w:rPr>
        <w:t xml:space="preserve"> — principal place of business 等退件点</w:t>
      </w:r>
    </w:p>
    <w:p>
      <w:pPr>
        <w:pStyle w:val="ListBullet"/>
        <w:spacing w:after="40"/>
      </w:pPr>
      <w:hyperlink r:id="rId47">
        <w:r>
          <w:rPr>
            <w:rFonts w:ascii="Aptos" w:hAnsi="Aptos" w:eastAsia="FangSong"/>
            <w:color w:val="303030"/>
            <w:u w:val="single"/>
          </w:rPr>
          <w:t>Colorado SOS — Charities filing FAQ</w:t>
        </w:r>
      </w:hyperlink>
      <w:r>
        <w:rPr>
          <w:rFonts w:ascii="Aptos" w:hAnsi="Aptos" w:eastAsia="FangSong" w:cs="Aptos"/>
          <w:b w:val="0"/>
          <w:color w:val="6A6A6A"/>
          <w:sz w:val="19"/>
        </w:rPr>
        <w:t xml:space="preserve"> — 续报和延期</w:t>
      </w:r>
    </w:p>
    <w:p>
      <w:pPr>
        <w:pStyle w:val="ListBullet"/>
        <w:spacing w:after="40"/>
      </w:pPr>
      <w:hyperlink r:id="rId48">
        <w:r>
          <w:rPr>
            <w:rFonts w:ascii="Aptos" w:hAnsi="Aptos" w:eastAsia="FangSong"/>
            <w:color w:val="303030"/>
            <w:u w:val="single"/>
          </w:rPr>
          <w:t>Colorado SOS — Board fiduciary training</w:t>
        </w:r>
      </w:hyperlink>
      <w:r>
        <w:rPr>
          <w:rFonts w:ascii="Aptos" w:hAnsi="Aptos" w:eastAsia="FangSong" w:cs="Aptos"/>
          <w:b w:val="0"/>
          <w:color w:val="6A6A6A"/>
          <w:sz w:val="19"/>
        </w:rPr>
        <w:t xml:space="preserve"> — 董事治理资源</w:t>
      </w:r>
    </w:p>
    <w:p>
      <w:pPr>
        <w:pStyle w:val="ListBullet"/>
        <w:spacing w:after="40"/>
      </w:pPr>
      <w:hyperlink r:id="rId26">
        <w:r>
          <w:rPr>
            <w:rFonts w:ascii="Aptos" w:hAnsi="Aptos" w:eastAsia="FangSong"/>
            <w:color w:val="303030"/>
            <w:u w:val="single"/>
          </w:rPr>
          <w:t>Colorado DOR — Certificates of exemption</w:t>
        </w:r>
      </w:hyperlink>
      <w:r>
        <w:rPr>
          <w:rFonts w:ascii="Aptos" w:hAnsi="Aptos" w:eastAsia="FangSong" w:cs="Aptos"/>
          <w:b w:val="0"/>
          <w:color w:val="6A6A6A"/>
          <w:sz w:val="19"/>
        </w:rPr>
        <w:t xml:space="preserve"> — 州销售税豁免单独申请</w:t>
      </w:r>
    </w:p>
    <w:p>
      <w:pPr>
        <w:pStyle w:val="ListBullet"/>
        <w:spacing w:after="40"/>
      </w:pPr>
      <w:hyperlink r:id="rId27">
        <w:r>
          <w:rPr>
            <w:rFonts w:ascii="Aptos" w:hAnsi="Aptos" w:eastAsia="FangSong"/>
            <w:color w:val="303030"/>
            <w:u w:val="single"/>
          </w:rPr>
          <w:t>Colorado DOR — DR 0715</w:t>
        </w:r>
      </w:hyperlink>
      <w:r>
        <w:rPr>
          <w:rFonts w:ascii="Aptos" w:hAnsi="Aptos" w:eastAsia="FangSong" w:cs="Aptos"/>
          <w:b w:val="0"/>
          <w:color w:val="6A6A6A"/>
          <w:sz w:val="19"/>
        </w:rPr>
        <w:t xml:space="preserve"> — 销售税豁免申请表</w:t>
      </w:r>
    </w:p>
    <w:p>
      <w:pPr>
        <w:pStyle w:val="ListBullet"/>
        <w:spacing w:after="40"/>
      </w:pPr>
      <w:hyperlink r:id="rId49">
        <w:r>
          <w:rPr>
            <w:rFonts w:ascii="Aptos" w:hAnsi="Aptos" w:eastAsia="FangSong"/>
            <w:color w:val="303030"/>
            <w:u w:val="single"/>
          </w:rPr>
          <w:t>Colorado Revised Statutes official access</w:t>
        </w:r>
      </w:hyperlink>
      <w:r>
        <w:rPr>
          <w:rFonts w:ascii="Aptos" w:hAnsi="Aptos" w:eastAsia="FangSong" w:cs="Aptos"/>
          <w:b w:val="0"/>
          <w:color w:val="6A6A6A"/>
          <w:sz w:val="19"/>
        </w:rPr>
        <w:t xml:space="preserve"> — 现行 Colorado statutes</w:t>
      </w:r>
    </w:p>
    <w:p>
      <w:pPr>
        <w:pStyle w:val="Heading2"/>
      </w:pPr>
      <w:r>
        <w:rPr>
          <w:rFonts w:ascii="Aptos" w:hAnsi="Aptos" w:eastAsia="FangSong" w:cs="Aptos"/>
        </w:rPr>
        <w:t>K.2 地址服务商与银行</w:t>
      </w:r>
    </w:p>
    <w:p>
      <w:pPr>
        <w:pStyle w:val="ListBullet"/>
        <w:spacing w:after="40"/>
      </w:pPr>
      <w:hyperlink r:id="rId11">
        <w:r>
          <w:rPr>
            <w:rFonts w:ascii="Aptos" w:hAnsi="Aptos" w:eastAsia="FangSong"/>
            <w:color w:val="303030"/>
            <w:u w:val="single"/>
          </w:rPr>
          <w:t>Colorado Registered Agent — Registered Agent Service</w:t>
        </w:r>
      </w:hyperlink>
      <w:r>
        <w:rPr>
          <w:rFonts w:ascii="Aptos" w:hAnsi="Aptos" w:eastAsia="FangSong" w:cs="Aptos"/>
          <w:b w:val="0"/>
          <w:color w:val="6A6A6A"/>
          <w:sz w:val="19"/>
        </w:rPr>
        <w:t xml:space="preserve"> — 当前服务内容、价格和续费</w:t>
      </w:r>
    </w:p>
    <w:p>
      <w:pPr>
        <w:pStyle w:val="ListBullet"/>
        <w:spacing w:after="40"/>
      </w:pPr>
      <w:hyperlink r:id="rId12">
        <w:r>
          <w:rPr>
            <w:rFonts w:ascii="Aptos" w:hAnsi="Aptos" w:eastAsia="FangSong"/>
            <w:color w:val="303030"/>
            <w:u w:val="single"/>
          </w:rPr>
          <w:t>Colorado Registered Agent — Virtual Office</w:t>
        </w:r>
      </w:hyperlink>
      <w:r>
        <w:rPr>
          <w:rFonts w:ascii="Aptos" w:hAnsi="Aptos" w:eastAsia="FangSong" w:cs="Aptos"/>
          <w:b w:val="0"/>
          <w:color w:val="6A6A6A"/>
          <w:sz w:val="19"/>
        </w:rPr>
        <w:t xml:space="preserve"> — CMRA、租约、USPS 1583、邮件和费用</w:t>
      </w:r>
    </w:p>
    <w:p>
      <w:pPr>
        <w:pStyle w:val="ListBullet"/>
        <w:spacing w:after="40"/>
      </w:pPr>
      <w:hyperlink r:id="rId20">
        <w:r>
          <w:rPr>
            <w:rFonts w:ascii="Aptos" w:hAnsi="Aptos" w:eastAsia="FangSong"/>
            <w:color w:val="303030"/>
            <w:u w:val="single"/>
          </w:rPr>
          <w:t>East West Bank — Nonprofit Organizations</w:t>
        </w:r>
      </w:hyperlink>
      <w:r>
        <w:rPr>
          <w:rFonts w:ascii="Aptos" w:hAnsi="Aptos" w:eastAsia="FangSong" w:cs="Aptos"/>
          <w:b w:val="0"/>
          <w:color w:val="6A6A6A"/>
          <w:sz w:val="19"/>
        </w:rPr>
        <w:t xml:space="preserve"> — 非营利银行服务；开户仍需 KYC</w:t>
      </w:r>
    </w:p>
    <w:p>
      <w:pPr>
        <w:pStyle w:val="Heading2"/>
      </w:pPr>
      <w:r>
        <w:rPr>
          <w:rFonts w:ascii="Aptos" w:hAnsi="Aptos" w:eastAsia="FangSong" w:cs="Aptos"/>
        </w:rPr>
        <w:t>K.3 IRS：EIN 与 501(c)(3)</w:t>
      </w:r>
    </w:p>
    <w:p>
      <w:pPr>
        <w:pStyle w:val="ListBullet"/>
        <w:spacing w:after="40"/>
      </w:pPr>
      <w:hyperlink r:id="rId17">
        <w:r>
          <w:rPr>
            <w:rFonts w:ascii="Aptos" w:hAnsi="Aptos" w:eastAsia="FangSong"/>
            <w:color w:val="303030"/>
            <w:u w:val="single"/>
          </w:rPr>
          <w:t>IRS — Get an Employer Identification Number</w:t>
        </w:r>
      </w:hyperlink>
      <w:r>
        <w:rPr>
          <w:rFonts w:ascii="Aptos" w:hAnsi="Aptos" w:eastAsia="FangSong" w:cs="Aptos"/>
          <w:b w:val="0"/>
          <w:color w:val="6A6A6A"/>
          <w:sz w:val="19"/>
        </w:rPr>
        <w:t xml:space="preserve"> — 在线资格、时段、国际渠道</w:t>
      </w:r>
    </w:p>
    <w:p>
      <w:pPr>
        <w:pStyle w:val="ListBullet"/>
        <w:spacing w:after="40"/>
      </w:pPr>
      <w:hyperlink r:id="rId18">
        <w:r>
          <w:rPr>
            <w:rFonts w:ascii="Aptos" w:hAnsi="Aptos" w:eastAsia="FangSong"/>
            <w:color w:val="303030"/>
            <w:u w:val="single"/>
          </w:rPr>
          <w:t>IRS — Instructions for Form SS-4</w:t>
        </w:r>
      </w:hyperlink>
      <w:r>
        <w:rPr>
          <w:rFonts w:ascii="Aptos" w:hAnsi="Aptos" w:eastAsia="FangSong" w:cs="Aptos"/>
          <w:b w:val="0"/>
          <w:color w:val="6A6A6A"/>
          <w:sz w:val="19"/>
        </w:rPr>
        <w:t xml:space="preserve"> — 当前逐行说明与国际提交</w:t>
      </w:r>
    </w:p>
    <w:p>
      <w:pPr>
        <w:pStyle w:val="ListBullet"/>
        <w:spacing w:after="40"/>
      </w:pPr>
      <w:hyperlink r:id="rId50">
        <w:r>
          <w:rPr>
            <w:rFonts w:ascii="Aptos" w:hAnsi="Aptos" w:eastAsia="FangSong"/>
            <w:color w:val="303030"/>
            <w:u w:val="single"/>
          </w:rPr>
          <w:t>IRS — Responsible parties and nominees</w:t>
        </w:r>
      </w:hyperlink>
      <w:r>
        <w:rPr>
          <w:rFonts w:ascii="Aptos" w:hAnsi="Aptos" w:eastAsia="FangSong" w:cs="Aptos"/>
          <w:b w:val="0"/>
          <w:color w:val="6A6A6A"/>
          <w:sz w:val="19"/>
        </w:rPr>
        <w:t xml:space="preserve"> — 必须为实际控制个人</w:t>
      </w:r>
    </w:p>
    <w:p>
      <w:pPr>
        <w:pStyle w:val="ListBullet"/>
        <w:spacing w:after="40"/>
      </w:pPr>
      <w:hyperlink r:id="rId51">
        <w:r>
          <w:rPr>
            <w:rFonts w:ascii="Aptos" w:hAnsi="Aptos" w:eastAsia="FangSong"/>
            <w:color w:val="303030"/>
            <w:u w:val="single"/>
          </w:rPr>
          <w:t>IRS — Form 8822-B</w:t>
        </w:r>
      </w:hyperlink>
      <w:r>
        <w:rPr>
          <w:rFonts w:ascii="Aptos" w:hAnsi="Aptos" w:eastAsia="FangSong" w:cs="Aptos"/>
          <w:b w:val="0"/>
          <w:color w:val="6A6A6A"/>
          <w:sz w:val="19"/>
        </w:rPr>
        <w:t xml:space="preserve"> — 地址/负责方变更</w:t>
      </w:r>
    </w:p>
    <w:p>
      <w:pPr>
        <w:pStyle w:val="ListBullet"/>
        <w:spacing w:after="40"/>
      </w:pPr>
      <w:hyperlink r:id="rId24">
        <w:r>
          <w:rPr>
            <w:rFonts w:ascii="Aptos" w:hAnsi="Aptos" w:eastAsia="FangSong"/>
            <w:color w:val="303030"/>
            <w:u w:val="single"/>
          </w:rPr>
          <w:t>IRS — Instructions for Form 1023</w:t>
        </w:r>
      </w:hyperlink>
      <w:r>
        <w:rPr>
          <w:rFonts w:ascii="Aptos" w:hAnsi="Aptos" w:eastAsia="FangSong" w:cs="Aptos"/>
          <w:b w:val="0"/>
          <w:color w:val="6A6A6A"/>
          <w:sz w:val="19"/>
        </w:rPr>
        <w:t xml:space="preserve"> — 现行 Part I–X、活动、财务、分类</w:t>
      </w:r>
    </w:p>
    <w:p>
      <w:pPr>
        <w:pStyle w:val="ListBullet"/>
        <w:spacing w:after="40"/>
      </w:pPr>
      <w:hyperlink r:id="rId52">
        <w:r>
          <w:rPr>
            <w:rFonts w:ascii="Aptos" w:hAnsi="Aptos" w:eastAsia="FangSong"/>
            <w:color w:val="303030"/>
            <w:u w:val="single"/>
          </w:rPr>
          <w:t>IRS — Form 1023 required attachment</w:t>
        </w:r>
      </w:hyperlink>
      <w:r>
        <w:rPr>
          <w:rFonts w:ascii="Aptos" w:hAnsi="Aptos" w:eastAsia="FangSong" w:cs="Aptos"/>
          <w:b w:val="0"/>
          <w:color w:val="6A6A6A"/>
          <w:sz w:val="19"/>
        </w:rPr>
        <w:t xml:space="preserve"> — 附件顺序和 15 MB PDF</w:t>
      </w:r>
    </w:p>
    <w:p>
      <w:pPr>
        <w:pStyle w:val="ListBullet"/>
        <w:spacing w:after="40"/>
      </w:pPr>
      <w:hyperlink r:id="rId53">
        <w:r>
          <w:rPr>
            <w:rFonts w:ascii="Aptos" w:hAnsi="Aptos" w:eastAsia="FangSong"/>
            <w:color w:val="303030"/>
            <w:u w:val="single"/>
          </w:rPr>
          <w:t>IRS — Form 1023 and 1023-EZ user fees</w:t>
        </w:r>
      </w:hyperlink>
      <w:r>
        <w:rPr>
          <w:rFonts w:ascii="Aptos" w:hAnsi="Aptos" w:eastAsia="FangSong" w:cs="Aptos"/>
          <w:b w:val="0"/>
          <w:color w:val="6A6A6A"/>
          <w:sz w:val="19"/>
        </w:rPr>
        <w:t xml:space="preserve"> — 当前 $600 / $275</w:t>
      </w:r>
    </w:p>
    <w:p>
      <w:pPr>
        <w:pStyle w:val="ListBullet"/>
        <w:spacing w:after="40"/>
      </w:pPr>
      <w:hyperlink r:id="rId54">
        <w:r>
          <w:rPr>
            <w:rFonts w:ascii="Aptos" w:hAnsi="Aptos" w:eastAsia="FangSong"/>
            <w:color w:val="303030"/>
            <w:u w:val="single"/>
          </w:rPr>
          <w:t>IRS — More than 27 months after formation</w:t>
        </w:r>
      </w:hyperlink>
      <w:r>
        <w:rPr>
          <w:rFonts w:ascii="Aptos" w:hAnsi="Aptos" w:eastAsia="FangSong" w:cs="Aptos"/>
          <w:b w:val="0"/>
          <w:color w:val="6A6A6A"/>
          <w:sz w:val="19"/>
        </w:rPr>
        <w:t xml:space="preserve"> — 有效日期和迟报</w:t>
      </w:r>
    </w:p>
    <w:p>
      <w:pPr>
        <w:pStyle w:val="ListBullet"/>
        <w:spacing w:after="40"/>
      </w:pPr>
      <w:hyperlink r:id="rId25">
        <w:r>
          <w:rPr>
            <w:rFonts w:ascii="Aptos" w:hAnsi="Aptos" w:eastAsia="FangSong"/>
            <w:color w:val="303030"/>
            <w:u w:val="single"/>
          </w:rPr>
          <w:t>IRS — Where’s My Application?</w:t>
        </w:r>
      </w:hyperlink>
      <w:r>
        <w:rPr>
          <w:rFonts w:ascii="Aptos" w:hAnsi="Aptos" w:eastAsia="FangSong" w:cs="Aptos"/>
          <w:b w:val="0"/>
          <w:color w:val="6A6A6A"/>
          <w:sz w:val="19"/>
        </w:rPr>
        <w:t xml:space="preserve"> — 当前处理进度和查询条件</w:t>
      </w:r>
    </w:p>
    <w:p>
      <w:pPr>
        <w:pStyle w:val="ListBullet"/>
        <w:spacing w:after="40"/>
      </w:pPr>
      <w:hyperlink r:id="rId55">
        <w:r>
          <w:rPr>
            <w:rFonts w:ascii="Aptos" w:hAnsi="Aptos" w:eastAsia="FangSong"/>
            <w:color w:val="303030"/>
            <w:u w:val="single"/>
          </w:rPr>
          <w:t>IRS — Private inurement/private benefit</w:t>
        </w:r>
      </w:hyperlink>
      <w:r>
        <w:rPr>
          <w:rFonts w:ascii="Aptos" w:hAnsi="Aptos" w:eastAsia="FangSong" w:cs="Aptos"/>
          <w:b w:val="0"/>
          <w:color w:val="6A6A6A"/>
          <w:sz w:val="19"/>
        </w:rPr>
        <w:t xml:space="preserve"> — 创始人和商业关联风险</w:t>
      </w:r>
    </w:p>
    <w:p>
      <w:pPr>
        <w:pStyle w:val="ListBullet"/>
        <w:spacing w:after="40"/>
      </w:pPr>
      <w:hyperlink r:id="rId56">
        <w:r>
          <w:rPr>
            <w:rFonts w:ascii="Aptos" w:hAnsi="Aptos" w:eastAsia="FangSong"/>
            <w:color w:val="303030"/>
            <w:u w:val="single"/>
          </w:rPr>
          <w:t>IRS — Intermediate sanctions</w:t>
        </w:r>
      </w:hyperlink>
      <w:r>
        <w:rPr>
          <w:rFonts w:ascii="Aptos" w:hAnsi="Aptos" w:eastAsia="FangSong" w:cs="Aptos"/>
          <w:b w:val="0"/>
          <w:color w:val="6A6A6A"/>
          <w:sz w:val="19"/>
        </w:rPr>
        <w:t xml:space="preserve"> — excess benefit transactions</w:t>
      </w:r>
    </w:p>
    <w:p>
      <w:pPr>
        <w:pStyle w:val="ListBullet"/>
        <w:spacing w:after="40"/>
      </w:pPr>
      <w:hyperlink r:id="rId57">
        <w:r>
          <w:rPr>
            <w:rFonts w:ascii="Aptos" w:hAnsi="Aptos" w:eastAsia="FangSong"/>
            <w:color w:val="303030"/>
            <w:u w:val="single"/>
          </w:rPr>
          <w:t>IRS — Rebuttable presumption</w:t>
        </w:r>
      </w:hyperlink>
      <w:r>
        <w:rPr>
          <w:rFonts w:ascii="Aptos" w:hAnsi="Aptos" w:eastAsia="FangSong" w:cs="Aptos"/>
          <w:b w:val="0"/>
          <w:color w:val="6A6A6A"/>
          <w:sz w:val="19"/>
        </w:rPr>
        <w:t xml:space="preserve"> — 独立批准、可比数据、及时记录</w:t>
      </w:r>
    </w:p>
    <w:p>
      <w:pPr>
        <w:pStyle w:val="ListBullet"/>
        <w:spacing w:after="40"/>
      </w:pPr>
      <w:hyperlink r:id="rId58">
        <w:r>
          <w:rPr>
            <w:rFonts w:ascii="Aptos" w:hAnsi="Aptos" w:eastAsia="FangSong"/>
            <w:color w:val="303030"/>
            <w:u w:val="single"/>
          </w:rPr>
          <w:t>IRS — Lobbying</w:t>
        </w:r>
      </w:hyperlink>
      <w:r>
        <w:rPr>
          <w:rFonts w:ascii="Aptos" w:hAnsi="Aptos" w:eastAsia="FangSong" w:cs="Aptos"/>
          <w:b w:val="0"/>
          <w:color w:val="6A6A6A"/>
          <w:sz w:val="19"/>
        </w:rPr>
        <w:t xml:space="preserve"> — 有限游说与 501(h)</w:t>
      </w:r>
    </w:p>
    <w:p>
      <w:pPr>
        <w:pStyle w:val="ListBullet"/>
        <w:spacing w:after="40"/>
      </w:pPr>
      <w:hyperlink r:id="rId59">
        <w:r>
          <w:rPr>
            <w:rFonts w:ascii="Aptos" w:hAnsi="Aptos" w:eastAsia="FangSong"/>
            <w:color w:val="303030"/>
            <w:u w:val="single"/>
          </w:rPr>
          <w:t>IRS — Political campaign intervention</w:t>
        </w:r>
      </w:hyperlink>
      <w:r>
        <w:rPr>
          <w:rFonts w:ascii="Aptos" w:hAnsi="Aptos" w:eastAsia="FangSong" w:cs="Aptos"/>
          <w:b w:val="0"/>
          <w:color w:val="6A6A6A"/>
          <w:sz w:val="19"/>
        </w:rPr>
        <w:t xml:space="preserve"> — 竞选介入绝对禁止</w:t>
      </w:r>
    </w:p>
    <w:p>
      <w:pPr>
        <w:pStyle w:val="ListBullet"/>
        <w:spacing w:after="40"/>
      </w:pPr>
      <w:hyperlink r:id="rId28">
        <w:r>
          <w:rPr>
            <w:rFonts w:ascii="Aptos" w:hAnsi="Aptos" w:eastAsia="FangSong"/>
            <w:color w:val="303030"/>
            <w:u w:val="single"/>
          </w:rPr>
          <w:t>IRS — Advertising or qualified sponsorship</w:t>
        </w:r>
      </w:hyperlink>
      <w:r>
        <w:rPr>
          <w:rFonts w:ascii="Aptos" w:hAnsi="Aptos" w:eastAsia="FangSong" w:cs="Aptos"/>
          <w:b w:val="0"/>
          <w:color w:val="6A6A6A"/>
          <w:sz w:val="19"/>
        </w:rPr>
        <w:t xml:space="preserve"> — 赞助致谢与广告分界</w:t>
      </w:r>
    </w:p>
    <w:p>
      <w:pPr>
        <w:pStyle w:val="ListBullet"/>
        <w:spacing w:after="40"/>
      </w:pPr>
      <w:hyperlink r:id="rId60">
        <w:r>
          <w:rPr>
            <w:rFonts w:ascii="Aptos" w:hAnsi="Aptos" w:eastAsia="FangSong"/>
            <w:color w:val="303030"/>
            <w:u w:val="single"/>
          </w:rPr>
          <w:t>IRS — Foundation classification</w:t>
        </w:r>
      </w:hyperlink>
      <w:r>
        <w:rPr>
          <w:rFonts w:ascii="Aptos" w:hAnsi="Aptos" w:eastAsia="FangSong" w:cs="Aptos"/>
          <w:b w:val="0"/>
          <w:color w:val="6A6A6A"/>
          <w:sz w:val="19"/>
        </w:rPr>
        <w:t xml:space="preserve"> — public charity / private foundation</w:t>
      </w:r>
    </w:p>
    <w:p>
      <w:pPr>
        <w:pStyle w:val="ListBullet"/>
        <w:spacing w:after="40"/>
      </w:pPr>
      <w:hyperlink r:id="rId61">
        <w:r>
          <w:rPr>
            <w:rFonts w:ascii="Aptos" w:hAnsi="Aptos" w:eastAsia="FangSong"/>
            <w:color w:val="303030"/>
            <w:u w:val="single"/>
          </w:rPr>
          <w:t>IRS — Public charity support test</w:t>
        </w:r>
      </w:hyperlink>
      <w:r>
        <w:rPr>
          <w:rFonts w:ascii="Aptos" w:hAnsi="Aptos" w:eastAsia="FangSong" w:cs="Aptos"/>
          <w:b w:val="0"/>
          <w:color w:val="6A6A6A"/>
          <w:sz w:val="19"/>
        </w:rPr>
        <w:t xml:space="preserve"> — Schedule A 和公众支持</w:t>
      </w:r>
    </w:p>
    <w:p>
      <w:pPr>
        <w:pStyle w:val="ListBullet"/>
        <w:spacing w:after="40"/>
      </w:pPr>
      <w:hyperlink r:id="rId62">
        <w:r>
          <w:rPr>
            <w:rFonts w:ascii="Aptos" w:hAnsi="Aptos" w:eastAsia="FangSong"/>
            <w:color w:val="303030"/>
            <w:u w:val="single"/>
          </w:rPr>
          <w:t>IRS — Processing of exemption applications</w:t>
        </w:r>
      </w:hyperlink>
      <w:r>
        <w:rPr>
          <w:rFonts w:ascii="Aptos" w:hAnsi="Aptos" w:eastAsia="FangSong" w:cs="Aptos"/>
          <w:b w:val="0"/>
          <w:color w:val="6A6A6A"/>
          <w:sz w:val="19"/>
        </w:rPr>
        <w:t xml:space="preserve"> — pending 时仍需 annual return</w:t>
      </w:r>
    </w:p>
    <w:p>
      <w:pPr>
        <w:pStyle w:val="ListBullet"/>
        <w:spacing w:after="40"/>
      </w:pPr>
      <w:hyperlink r:id="rId63">
        <w:r>
          <w:rPr>
            <w:rFonts w:ascii="Aptos" w:hAnsi="Aptos" w:eastAsia="FangSong"/>
            <w:color w:val="303030"/>
            <w:u w:val="single"/>
          </w:rPr>
          <w:t>IRS — Form 990-N FAQ</w:t>
        </w:r>
      </w:hyperlink>
      <w:r>
        <w:rPr>
          <w:rFonts w:ascii="Aptos" w:hAnsi="Aptos" w:eastAsia="FangSong" w:cs="Aptos"/>
          <w:b w:val="0"/>
          <w:color w:val="6A6A6A"/>
          <w:sz w:val="19"/>
        </w:rPr>
        <w:t xml:space="preserve"> — 小型机构和 pending 系统</w:t>
      </w:r>
    </w:p>
    <w:p>
      <w:pPr>
        <w:pStyle w:val="ListBullet"/>
        <w:spacing w:after="40"/>
      </w:pPr>
      <w:hyperlink r:id="rId64">
        <w:r>
          <w:rPr>
            <w:rFonts w:ascii="Aptos" w:hAnsi="Aptos" w:eastAsia="FangSong"/>
            <w:color w:val="303030"/>
            <w:u w:val="single"/>
          </w:rPr>
          <w:t>IRS — Form 990 Schedule F foreign activities</w:t>
        </w:r>
      </w:hyperlink>
      <w:r>
        <w:rPr>
          <w:rFonts w:ascii="Aptos" w:hAnsi="Aptos" w:eastAsia="FangSong" w:cs="Aptos"/>
          <w:b w:val="0"/>
          <w:color w:val="6A6A6A"/>
          <w:sz w:val="19"/>
        </w:rPr>
        <w:t xml:space="preserve"> — 年度海外报告</w:t>
      </w:r>
    </w:p>
    <w:p>
      <w:pPr>
        <w:pStyle w:val="ListBullet"/>
        <w:spacing w:after="40"/>
      </w:pPr>
      <w:hyperlink r:id="rId65">
        <w:r>
          <w:rPr>
            <w:rFonts w:ascii="Aptos" w:hAnsi="Aptos" w:eastAsia="FangSong"/>
            <w:color w:val="303030"/>
            <w:u w:val="single"/>
          </w:rPr>
          <w:t>IRS — Private-foundation grants to foreign organizations</w:t>
        </w:r>
      </w:hyperlink>
      <w:r>
        <w:rPr>
          <w:rFonts w:ascii="Aptos" w:hAnsi="Aptos" w:eastAsia="FangSong" w:cs="Aptos"/>
          <w:b w:val="0"/>
          <w:color w:val="6A6A6A"/>
          <w:sz w:val="19"/>
        </w:rPr>
        <w:t xml:space="preserve"> — 区分 private foundation ER 与 public charity</w:t>
      </w:r>
    </w:p>
    <w:p>
      <w:pPr>
        <w:pStyle w:val="Heading2"/>
      </w:pPr>
      <w:r>
        <w:rPr>
          <w:rFonts w:ascii="Aptos" w:hAnsi="Aptos" w:eastAsia="FangSong" w:cs="Aptos"/>
        </w:rPr>
        <w:t>K.4 FinCEN、OFAC 与数据</w:t>
      </w:r>
    </w:p>
    <w:p>
      <w:pPr>
        <w:pStyle w:val="ListBullet"/>
        <w:spacing w:after="40"/>
      </w:pPr>
      <w:hyperlink r:id="rId38">
        <w:r>
          <w:rPr>
            <w:rFonts w:ascii="Aptos" w:hAnsi="Aptos" w:eastAsia="FangSong"/>
            <w:color w:val="303030"/>
            <w:u w:val="single"/>
          </w:rPr>
          <w:t>FinCEN — Beneficial Ownership Information</w:t>
        </w:r>
      </w:hyperlink>
      <w:r>
        <w:rPr>
          <w:rFonts w:ascii="Aptos" w:hAnsi="Aptos" w:eastAsia="FangSong" w:cs="Aptos"/>
          <w:b w:val="0"/>
          <w:color w:val="6A6A6A"/>
          <w:sz w:val="19"/>
        </w:rPr>
        <w:t xml:space="preserve"> — 当前 domestic entities BOI 规则</w:t>
      </w:r>
    </w:p>
    <w:p>
      <w:pPr>
        <w:pStyle w:val="ListBullet"/>
        <w:spacing w:after="40"/>
      </w:pPr>
      <w:hyperlink r:id="rId37">
        <w:r>
          <w:rPr>
            <w:rFonts w:ascii="Aptos" w:hAnsi="Aptos" w:eastAsia="FangSong"/>
            <w:color w:val="303030"/>
            <w:u w:val="single"/>
          </w:rPr>
          <w:t>FinCEN — FBAR</w:t>
        </w:r>
      </w:hyperlink>
      <w:r>
        <w:rPr>
          <w:rFonts w:ascii="Aptos" w:hAnsi="Aptos" w:eastAsia="FangSong" w:cs="Aptos"/>
          <w:b w:val="0"/>
          <w:color w:val="6A6A6A"/>
          <w:sz w:val="19"/>
        </w:rPr>
        <w:t xml:space="preserve"> — 境外金融账户</w:t>
      </w:r>
    </w:p>
    <w:p>
      <w:pPr>
        <w:pStyle w:val="ListBullet"/>
        <w:spacing w:after="40"/>
      </w:pPr>
      <w:hyperlink r:id="rId29">
        <w:r>
          <w:rPr>
            <w:rFonts w:ascii="Aptos" w:hAnsi="Aptos" w:eastAsia="FangSong"/>
            <w:color w:val="303030"/>
            <w:u w:val="single"/>
          </w:rPr>
          <w:t>OFAC — Charity Sector Risk Matrix</w:t>
        </w:r>
      </w:hyperlink>
      <w:r>
        <w:rPr>
          <w:rFonts w:ascii="Aptos" w:hAnsi="Aptos" w:eastAsia="FangSong" w:cs="Aptos"/>
          <w:b w:val="0"/>
          <w:color w:val="6A6A6A"/>
          <w:sz w:val="19"/>
        </w:rPr>
        <w:t xml:space="preserve"> — 风险导向筛查</w:t>
      </w:r>
    </w:p>
    <w:p>
      <w:pPr>
        <w:pStyle w:val="ListBullet"/>
        <w:spacing w:after="40"/>
      </w:pPr>
      <w:hyperlink r:id="rId34">
        <w:r>
          <w:rPr>
            <w:rFonts w:ascii="Aptos" w:hAnsi="Aptos" w:eastAsia="FangSong"/>
            <w:color w:val="303030"/>
            <w:u w:val="single"/>
          </w:rPr>
          <w:t>FTC — COPPA Rule</w:t>
        </w:r>
      </w:hyperlink>
      <w:r>
        <w:rPr>
          <w:rFonts w:ascii="Aptos" w:hAnsi="Aptos" w:eastAsia="FangSong" w:cs="Aptos"/>
          <w:b w:val="0"/>
          <w:color w:val="6A6A6A"/>
          <w:sz w:val="19"/>
        </w:rPr>
        <w:t xml:space="preserve"> — 13 岁以下线上数据</w:t>
      </w:r>
    </w:p>
    <w:p>
      <w:pPr>
        <w:pStyle w:val="ListBullet"/>
        <w:spacing w:after="40"/>
      </w:pPr>
      <w:hyperlink r:id="rId66">
        <w:r>
          <w:rPr>
            <w:rFonts w:ascii="Aptos" w:hAnsi="Aptos" w:eastAsia="FangSong"/>
            <w:color w:val="303030"/>
            <w:u w:val="single"/>
          </w:rPr>
          <w:t>Federal Register — 2025 COPPA final rule</w:t>
        </w:r>
      </w:hyperlink>
      <w:r>
        <w:rPr>
          <w:rFonts w:ascii="Aptos" w:hAnsi="Aptos" w:eastAsia="FangSong" w:cs="Aptos"/>
          <w:b w:val="0"/>
          <w:color w:val="6A6A6A"/>
          <w:sz w:val="19"/>
        </w:rPr>
        <w:t xml:space="preserve"> — 2026 合规日期</w:t>
      </w:r>
    </w:p>
    <w:p>
      <w:pPr>
        <w:pStyle w:val="Heading2"/>
      </w:pPr>
      <w:r>
        <w:rPr>
          <w:rFonts w:ascii="Aptos" w:hAnsi="Aptos" w:eastAsia="FangSong" w:cs="Aptos"/>
        </w:rPr>
        <w:t>K.5 中国境外 NGO 与个人信息</w:t>
      </w:r>
    </w:p>
    <w:p>
      <w:pPr>
        <w:pStyle w:val="ListBullet"/>
        <w:spacing w:after="40"/>
      </w:pPr>
      <w:hyperlink r:id="rId31">
        <w:r>
          <w:rPr>
            <w:rFonts w:ascii="Aptos" w:hAnsi="Aptos" w:eastAsia="FangSong"/>
            <w:color w:val="303030"/>
            <w:u w:val="single"/>
          </w:rPr>
          <w:t>公安部 —《境外非政府组织境内活动管理法》</w:t>
        </w:r>
      </w:hyperlink>
      <w:r>
        <w:rPr>
          <w:rFonts w:ascii="Aptos" w:hAnsi="Aptos" w:eastAsia="FangSong" w:cs="Aptos"/>
          <w:b w:val="0"/>
          <w:color w:val="6A6A6A"/>
          <w:sz w:val="19"/>
        </w:rPr>
        <w:t xml:space="preserve"> — 代表机构、临时活动、资金和禁止事项</w:t>
      </w:r>
    </w:p>
    <w:p>
      <w:pPr>
        <w:pStyle w:val="ListBullet"/>
        <w:spacing w:after="40"/>
      </w:pPr>
      <w:hyperlink r:id="rId32">
        <w:r>
          <w:rPr>
            <w:rFonts w:ascii="Aptos" w:hAnsi="Aptos" w:eastAsia="FangSong"/>
            <w:color w:val="303030"/>
            <w:u w:val="single"/>
          </w:rPr>
          <w:t>公安部 — 境外 NGO 临时活动办事指南</w:t>
        </w:r>
      </w:hyperlink>
      <w:r>
        <w:rPr>
          <w:rFonts w:ascii="Aptos" w:hAnsi="Aptos" w:eastAsia="FangSong" w:cs="Aptos"/>
          <w:b w:val="0"/>
          <w:color w:val="6A6A6A"/>
          <w:sz w:val="19"/>
        </w:rPr>
        <w:t xml:space="preserve"> — 材料、合作单位、至少 15 日和结项</w:t>
      </w:r>
    </w:p>
    <w:p>
      <w:pPr>
        <w:pStyle w:val="ListBullet"/>
        <w:spacing w:after="40"/>
      </w:pPr>
      <w:hyperlink r:id="rId33">
        <w:r>
          <w:rPr>
            <w:rFonts w:ascii="Aptos" w:hAnsi="Aptos" w:eastAsia="FangSong"/>
            <w:color w:val="303030"/>
            <w:u w:val="single"/>
          </w:rPr>
          <w:t>上海公安 — 境外 NGO 办事信息</w:t>
        </w:r>
      </w:hyperlink>
      <w:r>
        <w:rPr>
          <w:rFonts w:ascii="Aptos" w:hAnsi="Aptos" w:eastAsia="FangSong" w:cs="Aptos"/>
          <w:b w:val="0"/>
          <w:color w:val="6A6A6A"/>
          <w:sz w:val="19"/>
        </w:rPr>
        <w:t xml:space="preserve"> — 上海咨询和办理路径</w:t>
      </w:r>
    </w:p>
    <w:p>
      <w:pPr>
        <w:pStyle w:val="ListBullet"/>
        <w:spacing w:after="40"/>
      </w:pPr>
      <w:hyperlink r:id="rId35">
        <w:r>
          <w:rPr>
            <w:rFonts w:ascii="Aptos" w:hAnsi="Aptos" w:eastAsia="FangSong"/>
            <w:color w:val="303030"/>
            <w:u w:val="single"/>
          </w:rPr>
          <w:t>国家网信办 —《个人信息保护法》</w:t>
        </w:r>
      </w:hyperlink>
      <w:r>
        <w:rPr>
          <w:rFonts w:ascii="Aptos" w:hAnsi="Aptos" w:eastAsia="FangSong" w:cs="Aptos"/>
          <w:b w:val="0"/>
          <w:color w:val="6A6A6A"/>
          <w:sz w:val="19"/>
        </w:rPr>
        <w:t xml:space="preserve"> — 14 岁以下敏感个人信息与跨境</w:t>
      </w:r>
    </w:p>
    <w:p>
      <w:pPr>
        <w:pStyle w:val="ListBullet"/>
        <w:spacing w:after="40"/>
      </w:pPr>
      <w:hyperlink r:id="rId36">
        <w:r>
          <w:rPr>
            <w:rFonts w:ascii="Aptos" w:hAnsi="Aptos" w:eastAsia="FangSong"/>
            <w:color w:val="303030"/>
            <w:u w:val="single"/>
          </w:rPr>
          <w:t>国家网信办 — 促进和规范数据跨境流动规定</w:t>
        </w:r>
      </w:hyperlink>
      <w:r>
        <w:rPr>
          <w:rFonts w:ascii="Aptos" w:hAnsi="Aptos" w:eastAsia="FangSong" w:cs="Aptos"/>
          <w:b w:val="0"/>
          <w:color w:val="6A6A6A"/>
          <w:sz w:val="19"/>
        </w:rPr>
        <w:t xml:space="preserve"> — 跨境机制与豁免</w:t>
      </w:r>
    </w:p>
    <w:p>
      <w:pPr>
        <w:pStyle w:val="ListBullet"/>
        <w:spacing w:after="40"/>
      </w:pPr>
      <w:hyperlink r:id="rId67">
        <w:r>
          <w:rPr>
            <w:rFonts w:ascii="Aptos" w:hAnsi="Aptos" w:eastAsia="FangSong"/>
            <w:color w:val="303030"/>
            <w:u w:val="single"/>
          </w:rPr>
          <w:t>国家网信办 —《未成年人网络保护条例》</w:t>
        </w:r>
      </w:hyperlink>
      <w:r>
        <w:rPr>
          <w:rFonts w:ascii="Aptos" w:hAnsi="Aptos" w:eastAsia="FangSong" w:cs="Aptos"/>
          <w:b w:val="0"/>
          <w:color w:val="6A6A6A"/>
          <w:sz w:val="19"/>
        </w:rPr>
        <w:t xml:space="preserve"> — 未成年人网络保护</w:t>
      </w:r>
    </w:p>
    <w:p>
      <w:pPr>
        <w:pStyle w:val="Heading2"/>
      </w:pPr>
      <w:r>
        <w:rPr>
          <w:rFonts w:ascii="Aptos" w:hAnsi="Aptos" w:eastAsia="FangSong" w:cs="Aptos"/>
        </w:rPr>
        <w:t>K.6 联合国 ECOSOC</w:t>
      </w:r>
    </w:p>
    <w:p>
      <w:pPr>
        <w:pStyle w:val="ListBullet"/>
        <w:spacing w:after="40"/>
      </w:pPr>
      <w:hyperlink r:id="rId40">
        <w:r>
          <w:rPr>
            <w:rFonts w:ascii="Aptos" w:hAnsi="Aptos" w:eastAsia="FangSong"/>
            <w:color w:val="303030"/>
            <w:u w:val="single"/>
          </w:rPr>
          <w:t>UN ECOSOC — Apply for consultative status</w:t>
        </w:r>
      </w:hyperlink>
      <w:r>
        <w:rPr>
          <w:rFonts w:ascii="Aptos" w:hAnsi="Aptos" w:eastAsia="FangSong" w:cs="Aptos"/>
          <w:b w:val="0"/>
          <w:color w:val="6A6A6A"/>
          <w:sz w:val="19"/>
        </w:rPr>
        <w:t xml:space="preserve"> — 两年、文件和申请流程</w:t>
      </w:r>
    </w:p>
    <w:p>
      <w:pPr>
        <w:pStyle w:val="ListBullet"/>
        <w:spacing w:after="40"/>
      </w:pPr>
      <w:hyperlink r:id="rId68">
        <w:r>
          <w:rPr>
            <w:rFonts w:ascii="Aptos" w:hAnsi="Aptos" w:eastAsia="FangSong"/>
            <w:color w:val="303030"/>
            <w:u w:val="single"/>
          </w:rPr>
          <w:t>UN ECOSOC — Application questionnaire</w:t>
        </w:r>
      </w:hyperlink>
      <w:r>
        <w:rPr>
          <w:rFonts w:ascii="Aptos" w:hAnsi="Aptos" w:eastAsia="FangSong" w:cs="Aptos"/>
          <w:b w:val="0"/>
          <w:color w:val="6A6A6A"/>
          <w:sz w:val="19"/>
        </w:rPr>
        <w:t xml:space="preserve"> — 使用当年在线问题</w:t>
      </w:r>
    </w:p>
    <w:p>
      <w:pPr>
        <w:pStyle w:val="ListBullet"/>
        <w:spacing w:after="40"/>
      </w:pPr>
      <w:hyperlink r:id="rId41">
        <w:r>
          <w:rPr>
            <w:rFonts w:ascii="Aptos" w:hAnsi="Aptos" w:eastAsia="FangSong"/>
            <w:color w:val="303030"/>
            <w:u w:val="single"/>
          </w:rPr>
          <w:t>ECOSOC Resolution 1996/31</w:t>
        </w:r>
      </w:hyperlink>
      <w:r>
        <w:rPr>
          <w:rFonts w:ascii="Aptos" w:hAnsi="Aptos" w:eastAsia="FangSong" w:cs="Aptos"/>
          <w:b w:val="0"/>
          <w:color w:val="6A6A6A"/>
          <w:sz w:val="19"/>
        </w:rPr>
        <w:t xml:space="preserve"> — 咨商关系框架</w:t>
      </w:r>
    </w:p>
    <w:p>
      <w:pPr>
        <w:pStyle w:val="ListBullet"/>
        <w:spacing w:after="40"/>
      </w:pPr>
      <w:hyperlink r:id="rId69">
        <w:r>
          <w:rPr>
            <w:rFonts w:ascii="Aptos" w:hAnsi="Aptos" w:eastAsia="FangSong"/>
            <w:color w:val="303030"/>
            <w:u w:val="single"/>
          </w:rPr>
          <w:t>UN ECOSOC — Grounds passes</w:t>
        </w:r>
      </w:hyperlink>
      <w:r>
        <w:rPr>
          <w:rFonts w:ascii="Aptos" w:hAnsi="Aptos" w:eastAsia="FangSong" w:cs="Aptos"/>
          <w:b w:val="0"/>
          <w:color w:val="6A6A6A"/>
          <w:sz w:val="19"/>
        </w:rPr>
        <w:t xml:space="preserve"> — 代表和证件限制</w:t>
      </w:r>
    </w:p>
    <w:p>
      <w:pPr>
        <w:pStyle w:val="ListBullet"/>
        <w:spacing w:after="40"/>
      </w:pPr>
      <w:hyperlink r:id="rId70">
        <w:r>
          <w:rPr>
            <w:rFonts w:ascii="Aptos" w:hAnsi="Aptos" w:eastAsia="FangSong"/>
            <w:color w:val="303030"/>
            <w:u w:val="single"/>
          </w:rPr>
          <w:t>UN ECOSOC — Quadrennial reports</w:t>
        </w:r>
      </w:hyperlink>
      <w:r>
        <w:rPr>
          <w:rFonts w:ascii="Aptos" w:hAnsi="Aptos" w:eastAsia="FangSong" w:cs="Aptos"/>
          <w:b w:val="0"/>
          <w:color w:val="6A6A6A"/>
          <w:sz w:val="19"/>
        </w:rPr>
        <w:t xml:space="preserve"> — 获批后的四年报告</w:t>
      </w:r>
    </w:p>
    <w:p>
      <w:pPr>
        <w:pStyle w:val="Heading2"/>
      </w:pPr>
      <w:r>
        <w:rPr>
          <w:rFonts w:ascii="Aptos" w:hAnsi="Aptos" w:eastAsia="FangSong" w:cs="Aptos"/>
        </w:rPr>
        <w:t>版本控制</w:t>
      </w:r>
    </w:p>
    <w:tbl>
      <w:tblPr>
        <w:tblW w:type="dxa" w:w="9360"/>
        <w:tblLayout w:type="fixed"/>
        <w:tblLook w:firstColumn="1" w:firstRow="1" w:lastColumn="0" w:lastRow="0" w:noHBand="0" w:noVBand="1" w:val="04A0"/>
        <w:jc w:val="center"/>
        <w:tblInd w:w="120" w:type="dxa"/>
      </w:tblPr>
      <w:tblGrid>
        <w:gridCol w:w="2426"/>
        <w:gridCol w:w="2426"/>
        <w:gridCol w:w="2426"/>
        <w:gridCol w:w="2426"/>
      </w:tblGrid>
      <w:tr>
        <w:trPr>
          <w:tblHeader w:val="true"/>
          <w:cantSplit/>
        </w:trPr>
        <w:tc>
          <w:tcPr>
            <w:tcW w:type="dxa" w:w="115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Version</w:t>
            </w:r>
          </w:p>
        </w:tc>
        <w:tc>
          <w:tcPr>
            <w:tcW w:type="dxa" w:w="1728"/>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Date</w:t>
            </w:r>
          </w:p>
        </w:tc>
        <w:tc>
          <w:tcPr>
            <w:tcW w:type="dxa" w:w="4032"/>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Scope</w:t>
            </w:r>
          </w:p>
        </w:tc>
        <w:tc>
          <w:tcPr>
            <w:tcW w:type="dxa" w:w="2664"/>
            <w:shd w:fill="111111"/>
            <w:tcMar>
              <w:top w:w="80" w:type="dxa"/>
              <w:start w:w="120" w:type="dxa"/>
              <w:bottom w:w="80" w:type="dxa"/>
              <w:end w:w="120" w:type="dxa"/>
            </w:tcMar>
            <w:vAlign w:val="center"/>
          </w:tcPr>
          <w:p>
            <w:pPr>
              <w:spacing w:after="0"/>
            </w:pPr>
            <w:r>
              <w:rPr>
                <w:rFonts w:ascii="Aptos" w:hAnsi="Aptos" w:eastAsia="Microsoft YaHei" w:cs="Aptos"/>
                <w:b/>
                <w:color w:val="FFFFFF"/>
                <w:sz w:val="16"/>
              </w:rPr>
              <w:t>Next mandatory review</w:t>
            </w:r>
          </w:p>
        </w:tc>
      </w:tr>
      <w:tr>
        <w:trPr>
          <w:cantSplit/>
        </w:trPr>
        <w:tc>
          <w:tcPr>
            <w:tcW w:type="dxa" w:w="115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1.0</w:t>
            </w:r>
          </w:p>
        </w:tc>
        <w:tc>
          <w:tcPr>
            <w:tcW w:type="dxa" w:w="1728"/>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2026-08-12</w:t>
            </w:r>
          </w:p>
        </w:tc>
        <w:tc>
          <w:tcPr>
            <w:tcW w:type="dxa" w:w="4032"/>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Official-source legal/operational audit; templates and timeline</w:t>
            </w:r>
          </w:p>
        </w:tc>
        <w:tc>
          <w:tcPr>
            <w:tcW w:type="dxa" w:w="2664"/>
            <w:vAlign w:val="top"/>
            <w:tcMar>
              <w:top w:w="80" w:type="dxa"/>
              <w:start w:w="120" w:type="dxa"/>
              <w:bottom w:w="80" w:type="dxa"/>
              <w:end w:w="120" w:type="dxa"/>
            </w:tcMar>
            <w:tcBorders>
              <w:top w:val="single" w:sz="3" w:color="D7D7D7"/>
              <w:bottom w:val="single" w:sz="3" w:color="D7D7D7"/>
              <w:start w:val="single" w:sz="3" w:color="D7D7D7"/>
              <w:end w:val="single" w:sz="3" w:color="D7D7D7"/>
            </w:tcBorders>
          </w:tcPr>
          <w:p>
            <w:pPr>
              <w:spacing w:after="0" w:line="276" w:lineRule="auto"/>
            </w:pPr>
            <w:r>
              <w:rPr>
                <w:rFonts w:ascii="Aptos" w:hAnsi="Aptos" w:eastAsia="FangSong" w:cs="Aptos"/>
                <w:b w:val="0"/>
                <w:color w:val="303030"/>
                <w:sz w:val="16"/>
              </w:rPr>
              <w:t>Before Articles filing; before EIN; before Form 1023; before any PRC activity; 2029 ECOSOC deadline</w:t>
            </w:r>
          </w:p>
        </w:tc>
      </w:tr>
    </w:tbl>
    <w:p>
      <w:pPr>
        <w:spacing w:after="0"/>
      </w:pPr>
    </w:p>
    <w:tbl>
      <w:tblPr>
        <w:tblW w:type="dxa" w:w="9360"/>
        <w:jc w:val="center"/>
        <w:tblLayout w:type="fixed"/>
        <w:tblLook w:firstColumn="1" w:firstRow="1" w:lastColumn="0" w:lastRow="0" w:noHBand="0" w:noVBand="1" w:val="04A0"/>
        <w:tblInd w:w="120" w:type="dxa"/>
      </w:tblPr>
      <w:tblGrid>
        <w:gridCol w:w="9706"/>
      </w:tblGrid>
      <w:tr>
        <w:tc>
          <w:tcPr>
            <w:tcW w:type="dxa" w:w="9706"/>
            <w:shd w:fill="EDEDED"/>
            <w:tcMar>
              <w:top w:w="120" w:type="dxa"/>
              <w:start w:w="180" w:type="dxa"/>
              <w:bottom w:w="120" w:type="dxa"/>
              <w:end w:w="180" w:type="dxa"/>
            </w:tcMar>
            <w:tcBorders>
              <w:start w:val="single" w:sz="18" w:color="111111"/>
            </w:tcBorders>
          </w:tcPr>
          <w:p>
            <w:pPr>
              <w:spacing w:after="40"/>
            </w:pPr>
            <w:r>
              <w:rPr>
                <w:rFonts w:ascii="Aptos" w:hAnsi="Aptos" w:eastAsia="Microsoft YaHei" w:cs="Aptos"/>
                <w:b/>
                <w:color w:val="111111"/>
                <w:sz w:val="17"/>
              </w:rPr>
              <w:t xml:space="preserve">最后原则  </w:t>
            </w:r>
            <w:r>
              <w:rPr>
                <w:rFonts w:ascii="Aptos" w:hAnsi="Aptos" w:eastAsia="FangSong" w:cs="Aptos"/>
                <w:b w:val="0"/>
                <w:color w:val="303030"/>
                <w:sz w:val="19"/>
              </w:rPr>
              <w:t>如官方表单、费用、门户字段或本手册不一致，以提交日官方文件和个案专业意见为准；但不得通过虚假地址、名义董事、遗漏关联方或改写商业事实来适应表单。</w:t>
            </w:r>
          </w:p>
        </w:tc>
      </w:tr>
    </w:tbl>
    <w:p>
      <w:pPr>
        <w:spacing w:after="0"/>
      </w:pPr>
    </w:p>
    <w:sectPr w:rsidR="00FC693F" w:rsidRPr="0006063C" w:rsidSect="00034616">
      <w:headerReference w:type="default" r:id="rId9"/>
      <w:footerReference w:type="default" r:id="rId10"/>
      <w:pgSz w:w="12240" w:h="15840"/>
      <w:pgMar w:top="1181" w:right="1267" w:bottom="1123" w:left="1267" w:header="490"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FangSong" w:cs="Aptos"/>
        <w:b w:val="0"/>
        <w:color w:val="6A6A6A"/>
        <w:sz w:val="15"/>
      </w:rPr>
      <w:t xml:space="preserve">WORKING MANUAL  ·  12 AUG 2026     </w:t>
    </w:r>
    <w:r>
      <w:rPr>
        <w:rFonts w:ascii="Aptos" w:hAnsi="Aptos" w:eastAsia="FangSong" w:cs="Aptos"/>
        <w:b/>
        <w:color w:val="303030"/>
        <w:sz w:val="15"/>
      </w:rPr>
      <w:fldChar w:fldCharType="begin"/>
      <w:instrText xml:space="preserve">PAGE</w:instrText>
      <w:fldChar w:fldCharType="separate"/>
      <w:fldChar w:fldCharType="end"/>
    </w:r>
    <w:r>
      <w:rPr>
        <w:rFonts w:ascii="Aptos" w:hAnsi="Aptos" w:eastAsia="FangSong" w:cs="Aptos"/>
        <w:b w:val="0"/>
        <w:color w:val="6A6A6A"/>
        <w:sz w:val="15"/>
      </w:rPr>
      <w:t xml:space="preserve"> / </w:t>
    </w:r>
    <w:r>
      <w:rPr>
        <w:rFonts w:ascii="Aptos" w:hAnsi="Aptos" w:eastAsia="FangSong" w:cs="Aptos"/>
        <w:b w:val="0"/>
        <w:color w:val="6A6A6A"/>
        <w:sz w:val="15"/>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5" w:space="5" w:color="BFBFBF"/>
      </w:pBdr>
    </w:pPr>
    <w:r>
      <w:rPr>
        <w:rFonts w:ascii="Aptos" w:hAnsi="Aptos" w:eastAsia="Microsoft YaHei" w:cs="Aptos"/>
        <w:b/>
        <w:color w:val="6A6A6A"/>
        <w:sz w:val="15"/>
      </w:rPr>
      <w:t>GPTI  /  U.S. FORMATION · 501(c)(3) · ECOSOC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00"/>
    </w:pPr>
    <w:rPr>
      <w:rFonts w:ascii="Aptos" w:hAnsi="Aptos" w:eastAsia="FangSong" w:cs="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w:hAnsi="Aptos" w:eastAsia="Microsoft YaHei" w:cs="Aptos"/>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eastAsia="Microsoft YaHei" w:cs="Aptos"/>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Microsoft YaHei" w:cs="Aptos"/>
      <w:b/>
      <w:bCs/>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w:hAnsi="Aptos" w:eastAsia="Microsoft YaHei" w:cs="Aptos"/>
      <w:b/>
      <w:color w:val="11111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eastAsia="Microsoft YaHei" w:cs="Aptos"/>
      <w:b w:val="0"/>
      <w:i/>
      <w:iCs/>
      <w:color w:val="6A6A6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contextualSpacing/>
    </w:pPr>
    <w:rPr>
      <w:rFonts w:ascii="Aptos" w:hAnsi="Aptos" w:eastAsia="FangSong" w:cs="Aptos"/>
      <w:b w:val="0"/>
      <w:sz w:val="21"/>
    </w:rPr>
  </w:style>
  <w:style w:type="paragraph" w:styleId="ListBullet2">
    <w:name w:val="List Bullet 2"/>
    <w:basedOn w:val="Normal"/>
    <w:uiPriority w:val="99"/>
    <w:unhideWhenUsed/>
    <w:rsid w:val="00326F90"/>
    <w:pPr>
      <w:numPr>
        <w:numId w:val="2"/>
      </w:numPr>
      <w:spacing w:after="60" w:line="288" w:lineRule="auto"/>
      <w:contextualSpacing/>
    </w:pPr>
    <w:rPr>
      <w:rFonts w:ascii="Aptos" w:hAnsi="Aptos" w:eastAsia="FangSong" w:cs="Aptos"/>
      <w:b w:val="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8" w:lineRule="auto"/>
      <w:contextualSpacing/>
    </w:pPr>
    <w:rPr>
      <w:rFonts w:ascii="Aptos" w:hAnsi="Aptos" w:eastAsia="FangSong" w:cs="Aptos"/>
      <w:b w:val="0"/>
      <w:sz w:val="21"/>
    </w:rPr>
  </w:style>
  <w:style w:type="paragraph" w:styleId="ListNumber2">
    <w:name w:val="List Number 2"/>
    <w:basedOn w:val="Normal"/>
    <w:uiPriority w:val="99"/>
    <w:unhideWhenUsed/>
    <w:rsid w:val="0029639D"/>
    <w:pPr>
      <w:numPr>
        <w:numId w:val="6"/>
      </w:numPr>
      <w:spacing w:after="60" w:line="288" w:lineRule="auto"/>
      <w:contextualSpacing/>
    </w:pPr>
    <w:rPr>
      <w:rFonts w:ascii="Aptos" w:hAnsi="Aptos" w:eastAsia="FangSong" w:cs="Aptos"/>
      <w:b w:val="0"/>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00"/>
    </w:pPr>
    <w:rPr>
      <w:rFonts w:ascii="Aptos" w:hAnsi="Aptos" w:eastAsia="FangSong" w:cs="Aptos"/>
      <w:b w:val="0"/>
      <w:bCs/>
      <w:color w:val="6A6A6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oloradoregisteredagent.com/registered-agent-service/" TargetMode="External"/><Relationship Id="rId12" Type="http://schemas.openxmlformats.org/officeDocument/2006/relationships/hyperlink" Target="https://www.coloradoregisteredagent.com/colorado-business-address/virtual-office/" TargetMode="External"/><Relationship Id="rId13" Type="http://schemas.openxmlformats.org/officeDocument/2006/relationships/hyperlink" Target="https://www.sos.state.co.us/biz/BusinessEntityCriteriaExt.do" TargetMode="External"/><Relationship Id="rId14" Type="http://schemas.openxmlformats.org/officeDocument/2006/relationships/hyperlink" Target="https://www.uspto.gov/trademarks/search" TargetMode="External"/><Relationship Id="rId15" Type="http://schemas.openxmlformats.org/officeDocument/2006/relationships/hyperlink" Target="https://www.sos.state.co.us/pubs/business/businessHome.html" TargetMode="External"/><Relationship Id="rId16" Type="http://schemas.openxmlformats.org/officeDocument/2006/relationships/hyperlink" Target="https://www.sos.state.co.us/pubs/business/helpFiles/ARTINC_NPC_HELP.html" TargetMode="External"/><Relationship Id="rId17" Type="http://schemas.openxmlformats.org/officeDocument/2006/relationships/hyperlink" Target="https://www.irs.gov/businesses/small-businesses-self-employed/get-an-employer-identification-number" TargetMode="External"/><Relationship Id="rId18" Type="http://schemas.openxmlformats.org/officeDocument/2006/relationships/hyperlink" Target="https://www.irs.gov/instructions/iss4" TargetMode="External"/><Relationship Id="rId19" Type="http://schemas.openxmlformats.org/officeDocument/2006/relationships/hyperlink" Target="https://www.sos.state.co.us/pubs/business/FAQs/tradeNames.html" TargetMode="External"/><Relationship Id="rId20" Type="http://schemas.openxmlformats.org/officeDocument/2006/relationships/hyperlink" Target="https://www.eastwestbank.com/en/commercial-banking/nonprofit-organizations" TargetMode="External"/><Relationship Id="rId21" Type="http://schemas.openxmlformats.org/officeDocument/2006/relationships/hyperlink" Target="https://www.sos.state.co.us/pubs/charities/instructions/charity/registration.html" TargetMode="External"/><Relationship Id="rId22" Type="http://schemas.openxmlformats.org/officeDocument/2006/relationships/hyperlink" Target="https://www.sos.state.co.us/pubs/charities/mistakesToAvoid.html" TargetMode="External"/><Relationship Id="rId23" Type="http://schemas.openxmlformats.org/officeDocument/2006/relationships/hyperlink" Target="https://www.pay.gov/public/form/start/704509645" TargetMode="External"/><Relationship Id="rId24" Type="http://schemas.openxmlformats.org/officeDocument/2006/relationships/hyperlink" Target="https://www.irs.gov/instructions/i1023" TargetMode="External"/><Relationship Id="rId25" Type="http://schemas.openxmlformats.org/officeDocument/2006/relationships/hyperlink" Target="https://www.irs.gov/charities-non-profits/charitable-organizations/wheres-my-application-for-tax-exempt-status" TargetMode="External"/><Relationship Id="rId26" Type="http://schemas.openxmlformats.org/officeDocument/2006/relationships/hyperlink" Target="https://tax.colorado.gov/certificates-of-exemption" TargetMode="External"/><Relationship Id="rId27" Type="http://schemas.openxmlformats.org/officeDocument/2006/relationships/hyperlink" Target="https://tax.colorado.gov/DR0715" TargetMode="External"/><Relationship Id="rId28" Type="http://schemas.openxmlformats.org/officeDocument/2006/relationships/hyperlink" Target="https://www.irs.gov/charities-non-profits/advertising-or-qualified-sponsorship-payments" TargetMode="External"/><Relationship Id="rId29" Type="http://schemas.openxmlformats.org/officeDocument/2006/relationships/hyperlink" Target="https://ofac.treasury.gov/system/files/126/charity_risk_matrix.pdf" TargetMode="External"/><Relationship Id="rId30" Type="http://schemas.openxmlformats.org/officeDocument/2006/relationships/hyperlink" Target="https://ofac.treasury.gov/additional-ofac-resources/ofac-information-for-industry-groups" TargetMode="External"/><Relationship Id="rId31" Type="http://schemas.openxmlformats.org/officeDocument/2006/relationships/hyperlink" Target="https://ngo.mps.gov.cn/ngo/portal/view.do?p_articleId=270012&amp;p_leftmenu=4&amp;p_topmenu=2" TargetMode="External"/><Relationship Id="rId32" Type="http://schemas.openxmlformats.org/officeDocument/2006/relationships/hyperlink" Target="https://ngo.mps.gov.cn/ngo/portal/view.do?p_articleId=21612&amp;p_leftmenu=1&amp;p_topmenu=2" TargetMode="External"/><Relationship Id="rId33" Type="http://schemas.openxmlformats.org/officeDocument/2006/relationships/hyperlink" Target="https://gaj.sh.gov.cn/ngo/xxfb/f/view-30-30176.html" TargetMode="External"/><Relationship Id="rId34" Type="http://schemas.openxmlformats.org/officeDocument/2006/relationships/hyperlink" Target="https://www.ftc.gov/legal-library/browse/rules/childrens-online-privacy-protection-rule-coppa" TargetMode="External"/><Relationship Id="rId35" Type="http://schemas.openxmlformats.org/officeDocument/2006/relationships/hyperlink" Target="https://www.cac.gov.cn/2021-08/20/c_1631050028355286.htm" TargetMode="External"/><Relationship Id="rId36" Type="http://schemas.openxmlformats.org/officeDocument/2006/relationships/hyperlink" Target="https://www.cac.gov.cn/2024-03/22/c_1712776611649184.htm" TargetMode="External"/><Relationship Id="rId37" Type="http://schemas.openxmlformats.org/officeDocument/2006/relationships/hyperlink" Target="https://www.fincen.gov/report-foreign-bank-and-financial-accounts" TargetMode="External"/><Relationship Id="rId38" Type="http://schemas.openxmlformats.org/officeDocument/2006/relationships/hyperlink" Target="https://www.fincen.gov/boi" TargetMode="External"/><Relationship Id="rId39" Type="http://schemas.openxmlformats.org/officeDocument/2006/relationships/hyperlink" Target="https://esango.un.org/civilsociety/" TargetMode="External"/><Relationship Id="rId40" Type="http://schemas.openxmlformats.org/officeDocument/2006/relationships/hyperlink" Target="https://ecosoc.un.org/en/ngo/apply-for-consultative-status" TargetMode="External"/><Relationship Id="rId41" Type="http://schemas.openxmlformats.org/officeDocument/2006/relationships/hyperlink" Target="https://www.un.org/esa/coordination/ngo/pdf/res96-31.pdf" TargetMode="External"/><Relationship Id="rId42" Type="http://schemas.openxmlformats.org/officeDocument/2006/relationships/hyperlink" Target="https://www.sos.state.co.us/pubs/info_center/fees/business.html" TargetMode="External"/><Relationship Id="rId43" Type="http://schemas.openxmlformats.org/officeDocument/2006/relationships/hyperlink" Target="https://www.sos.state.co.us/pubs/business/RAchanges.html" TargetMode="External"/><Relationship Id="rId44" Type="http://schemas.openxmlformats.org/officeDocument/2006/relationships/hyperlink" Target="https://www.sos.state.co.us/pubs/business/FAQs/reports.html" TargetMode="External"/><Relationship Id="rId45" Type="http://schemas.openxmlformats.org/officeDocument/2006/relationships/hyperlink" Target="https://www.sos.state.co.us/pubs/business/FAQs/certGoodStanding.html" TargetMode="External"/><Relationship Id="rId46" Type="http://schemas.openxmlformats.org/officeDocument/2006/relationships/hyperlink" Target="https://www.sos.state.co.us/pubs/charities/CCSARegInstr.html" TargetMode="External"/><Relationship Id="rId47" Type="http://schemas.openxmlformats.org/officeDocument/2006/relationships/hyperlink" Target="https://www.sos.state.co.us/pubs/charities/FAQ/filing.html" TargetMode="External"/><Relationship Id="rId48" Type="http://schemas.openxmlformats.org/officeDocument/2006/relationships/hyperlink" Target="https://www.sos.state.co.us/pubs/charities/boardTraining.html" TargetMode="External"/><Relationship Id="rId49" Type="http://schemas.openxmlformats.org/officeDocument/2006/relationships/hyperlink" Target="https://content.leg.colorado.gov/agencies/office-legislative-legal-services/colorado-revised-statutes" TargetMode="External"/><Relationship Id="rId50" Type="http://schemas.openxmlformats.org/officeDocument/2006/relationships/hyperlink" Target="https://www.irs.gov/businesses/small-businesses-self-employed/responsible-parties-and-nominees" TargetMode="External"/><Relationship Id="rId51" Type="http://schemas.openxmlformats.org/officeDocument/2006/relationships/hyperlink" Target="https://www.irs.gov/forms-pubs/about-form-8822-b" TargetMode="External"/><Relationship Id="rId52" Type="http://schemas.openxmlformats.org/officeDocument/2006/relationships/hyperlink" Target="https://www.irs.gov/charities-non-profits/form-1023-required-attachment-to-form-1023" TargetMode="External"/><Relationship Id="rId53" Type="http://schemas.openxmlformats.org/officeDocument/2006/relationships/hyperlink" Target="https://www.irs.gov/charities-non-profits/form-1023-and-1023-ez-amount-of-user-fee" TargetMode="External"/><Relationship Id="rId54" Type="http://schemas.openxmlformats.org/officeDocument/2006/relationships/hyperlink" Target="https://www.irs.gov/charities-non-profits/form-1023-purpose-of-questions-about-organization-applying-more-than-27-months-after-date-of-formation" TargetMode="External"/><Relationship Id="rId55" Type="http://schemas.openxmlformats.org/officeDocument/2006/relationships/hyperlink" Target="https://www.irs.gov/charities-non-profits/charitable-organizations/inurement-private-benefit-charitable-organizations" TargetMode="External"/><Relationship Id="rId56" Type="http://schemas.openxmlformats.org/officeDocument/2006/relationships/hyperlink" Target="https://www.irs.gov/charities-non-profits/charitable-organizations/intermediate-sanctions-excess-benefit-transactions" TargetMode="External"/><Relationship Id="rId57" Type="http://schemas.openxmlformats.org/officeDocument/2006/relationships/hyperlink" Target="https://www.irs.gov/charities-non-profits/charitable-organizations/rebuttable-presumption-intermediate-sanctions" TargetMode="External"/><Relationship Id="rId58" Type="http://schemas.openxmlformats.org/officeDocument/2006/relationships/hyperlink" Target="https://www.irs.gov/charities-non-profits/lobbying" TargetMode="External"/><Relationship Id="rId59" Type="http://schemas.openxmlformats.org/officeDocument/2006/relationships/hyperlink" Target="https://www.irs.gov/charities-non-profits/charitable-organizations/restriction-of-political-campaign-intervention-by-section-501c3-tax-exempt-organizations" TargetMode="External"/><Relationship Id="rId60" Type="http://schemas.openxmlformats.org/officeDocument/2006/relationships/hyperlink" Target="https://www.irs.gov/charities-non-profits/determine-your-foundation-classification" TargetMode="External"/><Relationship Id="rId61" Type="http://schemas.openxmlformats.org/officeDocument/2006/relationships/hyperlink" Target="https://www.irs.gov/charities-non-profits/exempt-organizations-annual-reporting-requirements-form-990-schedules-a-and-b-public-charity-support-test" TargetMode="External"/><Relationship Id="rId62" Type="http://schemas.openxmlformats.org/officeDocument/2006/relationships/hyperlink" Target="https://www.irs.gov/charities-non-profits/other-non-profits/irs-processing-of-exemption-applications" TargetMode="External"/><Relationship Id="rId63" Type="http://schemas.openxmlformats.org/officeDocument/2006/relationships/hyperlink" Target="https://www.irs.gov/charities-non-profits/annual-electronic-notice-form-990-n-for-small-organizations-faqs-who-must-file" TargetMode="External"/><Relationship Id="rId64" Type="http://schemas.openxmlformats.org/officeDocument/2006/relationships/hyperlink" Target="https://www.irs.gov/charities-non-profits/exempt-organizations-annual-reporting-requirements-foreign-activities-form-990-schedule-f-activities-reported" TargetMode="External"/><Relationship Id="rId65" Type="http://schemas.openxmlformats.org/officeDocument/2006/relationships/hyperlink" Target="https://www.irs.gov/charities-non-profits/grants-to-foreign-organizations-by-private-foundations" TargetMode="External"/><Relationship Id="rId66" Type="http://schemas.openxmlformats.org/officeDocument/2006/relationships/hyperlink" Target="https://www.federalregister.gov/documents/2025/04/22/2025-05904/childrens-online-privacy-protection-rule" TargetMode="External"/><Relationship Id="rId67" Type="http://schemas.openxmlformats.org/officeDocument/2006/relationships/hyperlink" Target="https://www.cac.gov.cn/2023-10/24/c_1699806932316206.htm" TargetMode="External"/><Relationship Id="rId68" Type="http://schemas.openxmlformats.org/officeDocument/2006/relationships/hyperlink" Target="https://ecosoc.un.org/en/ngo/questionnaire-application-consultative-status-ecosoc" TargetMode="External"/><Relationship Id="rId69" Type="http://schemas.openxmlformats.org/officeDocument/2006/relationships/hyperlink" Target="https://ecosoc.un.org/en/ngo/grounds-pass" TargetMode="External"/><Relationship Id="rId70" Type="http://schemas.openxmlformats.org/officeDocument/2006/relationships/hyperlink" Target="https://ecosoc.un.org/en/ngo/submit-quadrennial-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GPTI 美国 501(c)(3) 与联合国 ECOSOC 咨商身份全流程操作手册</dc:title>
  <dc:subject>Colorado nonprofit formation, IRS exemption, cross-border compliance, ECOSOC</dc:subject>
  <dc:creator>Global Prosperity and Transition Initiative, Inc. — working draft</dc:creator>
  <cp:keywords>Colorado, 501(c)(3), Form 1023, ECOSOC, nonprofit, China, Climate Passport</cp:keywords>
  <dc:description>generated by python-docx</dc:description>
  <cp:lastModifiedBy/>
  <cp:revision>1</cp:revision>
  <dcterms:created xsi:type="dcterms:W3CDTF">2013-12-23T23:15:00Z</dcterms:created>
  <dcterms:modified xsi:type="dcterms:W3CDTF">2013-12-23T23:15:00Z</dcterms:modified>
  <cp:category/>
</cp:coreProperties>
</file>