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widowControl w:val="1"/>
      </w:pPr>
    </w:p>
    <w:p>
      <w:pPr>
        <w:spacing w:after="160"/>
        <w:widowControl w:val="1"/>
      </w:pPr>
      <w:r>
        <w:rPr>
          <w:rFonts w:ascii="Aptos" w:hAnsi="Aptos" w:eastAsia="FangSong" w:cs="Aptos"/>
          <w:b/>
          <w:color w:val="000000"/>
          <w:sz w:val="54"/>
        </w:rPr>
        <w:t>MarketPilot</w:t>
      </w:r>
    </w:p>
    <w:p>
      <w:pPr>
        <w:spacing w:after="160"/>
        <w:widowControl w:val="1"/>
      </w:pPr>
      <w:r>
        <w:rPr>
          <w:rFonts w:ascii="Aptos" w:hAnsi="Aptos" w:eastAsia="FangSong" w:cs="Aptos"/>
          <w:b w:val="0"/>
          <w:color w:val="666666"/>
          <w:sz w:val="32"/>
        </w:rPr>
        <w:t>跨市场决策智能平台</w:t>
      </w:r>
    </w:p>
    <w:p>
      <w:pPr>
        <w:spacing w:after="160"/>
        <w:widowControl w:val="1"/>
      </w:pPr>
      <w:r>
        <w:rPr>
          <w:rFonts w:ascii="Aptos" w:hAnsi="Aptos" w:eastAsia="FangSong" w:cs="Aptos"/>
          <w:b/>
          <w:color w:val="000000"/>
          <w:sz w:val="24"/>
        </w:rPr>
        <w:t>Model 01 · StrikePilot — SPXW 0DTE 铁鹰决策模型</w:t>
      </w:r>
    </w:p>
    <w:p>
      <w:pPr>
        <w:spacing w:after="480"/>
        <w:widowControl w:val="1"/>
      </w:pPr>
      <w:r>
        <w:rPr>
          <w:rFonts w:ascii="Aptos" w:hAnsi="Aptos" w:eastAsia="FangSong" w:cs="Aptos"/>
          <w:b w:val="0"/>
          <w:color w:val="666666"/>
          <w:sz w:val="24"/>
        </w:rPr>
        <w:t>技术设计与 Codex 开发说明书</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00"/>
        <w:gridCol w:w="7060"/>
      </w:tblGrid>
      <w:tr>
        <w:trPr>
          <w:tblHeader w:val="true"/>
        </w:trPr>
        <w:tc>
          <w:tcPr>
            <w:tcW w:type="dxa" w:w="23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9"/>
              </w:rPr>
              <w:t>字段</w:t>
            </w:r>
          </w:p>
        </w:tc>
        <w:tc>
          <w:tcPr>
            <w:tcW w:type="dxa" w:w="70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9"/>
              </w:rPr>
              <w:t>内容</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9"/>
              </w:rPr>
              <w:t>文档版本</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9"/>
              </w:rPr>
              <w:t>v1.1</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9"/>
              </w:rPr>
              <w:t>发布日期</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9"/>
              </w:rPr>
              <w:t>2026-08-15</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9"/>
              </w:rPr>
              <w:t>总平台</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9"/>
              </w:rPr>
              <w:t>MarketPilot — Cross-Market Decision Intelligence</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9"/>
              </w:rPr>
              <w:t>首个模型</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9"/>
              </w:rPr>
              <w:t>Model 01 · StrikePilot — SPXW 0DTE Iron Condor Decision Model</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9"/>
              </w:rPr>
              <w:t>当前交易平台</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9"/>
              </w:rPr>
              <w:t>Webull</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9"/>
              </w:rPr>
              <w:t>首期边界</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9"/>
              </w:rPr>
              <w:t>决策支持、事件后重算、历史回测与影子运行；不自动下单</w:t>
            </w:r>
          </w:p>
        </w:tc>
      </w:tr>
    </w:tbl>
    <w:p>
      <w:pPr>
        <w:spacing w:after="40"/>
        <w:widowControl w:val="1"/>
      </w:pP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360"/>
      </w:tblGrid>
      <w:tr>
        <w:trPr>
          <w:tblHeader w:val="true"/>
        </w:trPr>
        <w:tc>
          <w:tcPr>
            <w:tcW w:type="dxa" w:w="9360"/>
            <w:tcMar>
              <w:top w:w="90" w:type="dxa"/>
              <w:start w:w="120" w:type="dxa"/>
              <w:bottom w:w="90" w:type="dxa"/>
              <w:end w:w="120" w:type="dxa"/>
            </w:tcMar>
            <w:vAlign w:val="center"/>
            <w:shd w:fill="FAFAFA"/>
          </w:tcPr>
          <w:p>
            <w:pPr>
              <w:spacing w:after="0"/>
            </w:pPr>
            <w:r>
              <w:rPr>
                <w:rFonts w:ascii="Aptos" w:hAnsi="Aptos" w:eastAsia="FangSong" w:cs="Aptos"/>
                <w:b/>
                <w:color w:val="000000"/>
                <w:sz w:val="21"/>
              </w:rPr>
              <w:t xml:space="preserve">核心结论  </w:t>
            </w:r>
            <w:r>
              <w:rPr>
                <w:rFonts w:ascii="Aptos" w:hAnsi="Aptos" w:eastAsia="FangSong" w:cs="Aptos"/>
                <w:color w:val="000000"/>
                <w:sz w:val="21"/>
              </w:rPr>
              <w:t>MarketPilot 是可扩展的跨市场决策智能平台；StrikePilot 是其第一个决策模型。当前模型不是寻找一个“明天开盘涨跌点数”，而是在每个实际建仓时点，分别估计到收盘之前的上行与下行最大不利移动，并将该尾部区间、事件状态、期权链可执行价格和数据质量共同转化为短 Put 与短 Call 的距离。若安全距离与可执行信用无法同时满足，正确输出是 No Trade。本文档同时作为 Codex 开发合同：所有公式、阈值和事件规则必须版本化，任何实盘可执行输出必须能追溯到冻结的数据快照、模型版本与行情时间戳。</w:t>
            </w:r>
          </w:p>
        </w:tc>
      </w:tr>
    </w:tbl>
    <w:p>
      <w:pPr>
        <w:spacing w:after="40"/>
        <w:widowControl w:val="1"/>
      </w:pPr>
    </w:p>
    <w:p>
      <w:pPr>
        <w:widowControl w:val="1"/>
      </w:pPr>
      <w:r>
        <w:br w:type="page"/>
      </w:r>
    </w:p>
    <w:p>
      <w:pPr>
        <w:pStyle w:val="Heading1"/>
        <w:keepNext/>
        <w:widowControl w:val="1"/>
      </w:pPr>
      <w:r>
        <w:rPr>
          <w:rFonts w:ascii="Aptos" w:hAnsi="Aptos" w:eastAsia="FangSong" w:cs="Aptos"/>
          <w:b/>
          <w:color w:val="000000"/>
          <w:sz w:val="32"/>
        </w:rPr>
        <w:t>文档导航</w:t>
      </w:r>
    </w:p>
    <w:p>
      <w:pPr>
        <w:numPr>
          <w:ilvl w:val="0"/>
          <w:numId w:val="10"/>
        </w:numPr>
        <w:widowControl w:val="1"/>
      </w:pPr>
      <w:r>
        <w:rPr>
          <w:rFonts w:ascii="Aptos" w:hAnsi="Aptos" w:eastAsia="FangSong" w:cs="Aptos"/>
          <w:color w:val="000000"/>
          <w:sz w:val="21"/>
        </w:rPr>
        <w:t>1. 项目目标、范围与非目标</w:t>
      </w:r>
    </w:p>
    <w:p>
      <w:pPr>
        <w:numPr>
          <w:ilvl w:val="0"/>
          <w:numId w:val="10"/>
        </w:numPr>
        <w:widowControl w:val="1"/>
      </w:pPr>
      <w:r>
        <w:rPr>
          <w:rFonts w:ascii="Aptos" w:hAnsi="Aptos" w:eastAsia="FangSong" w:cs="Aptos"/>
          <w:color w:val="000000"/>
          <w:sz w:val="21"/>
        </w:rPr>
        <w:t>2. 核心市场关系：SPX 现货与 ES 期货</w:t>
      </w:r>
    </w:p>
    <w:p>
      <w:pPr>
        <w:numPr>
          <w:ilvl w:val="0"/>
          <w:numId w:val="10"/>
        </w:numPr>
        <w:widowControl w:val="1"/>
      </w:pPr>
      <w:r>
        <w:rPr>
          <w:rFonts w:ascii="Aptos" w:hAnsi="Aptos" w:eastAsia="FangSong" w:cs="Aptos"/>
          <w:color w:val="000000"/>
          <w:sz w:val="21"/>
        </w:rPr>
        <w:t>3. 决策问题与短腿距离定义</w:t>
      </w:r>
    </w:p>
    <w:p>
      <w:pPr>
        <w:numPr>
          <w:ilvl w:val="0"/>
          <w:numId w:val="10"/>
        </w:numPr>
        <w:widowControl w:val="1"/>
      </w:pPr>
      <w:r>
        <w:rPr>
          <w:rFonts w:ascii="Aptos" w:hAnsi="Aptos" w:eastAsia="FangSong" w:cs="Aptos"/>
          <w:color w:val="000000"/>
          <w:sz w:val="21"/>
        </w:rPr>
        <w:t>4. 总体系统架构</w:t>
      </w:r>
    </w:p>
    <w:p>
      <w:pPr>
        <w:numPr>
          <w:ilvl w:val="0"/>
          <w:numId w:val="10"/>
        </w:numPr>
        <w:widowControl w:val="1"/>
      </w:pPr>
      <w:r>
        <w:rPr>
          <w:rFonts w:ascii="Aptos" w:hAnsi="Aptos" w:eastAsia="FangSong" w:cs="Aptos"/>
          <w:color w:val="000000"/>
          <w:sz w:val="21"/>
        </w:rPr>
        <w:t>5. Webull 接入策略与数据源组合</w:t>
      </w:r>
    </w:p>
    <w:p>
      <w:pPr>
        <w:numPr>
          <w:ilvl w:val="0"/>
          <w:numId w:val="10"/>
        </w:numPr>
        <w:widowControl w:val="1"/>
      </w:pPr>
      <w:r>
        <w:rPr>
          <w:rFonts w:ascii="Aptos" w:hAnsi="Aptos" w:eastAsia="FangSong" w:cs="Aptos"/>
          <w:color w:val="000000"/>
          <w:sz w:val="21"/>
        </w:rPr>
        <w:t>6. 时间、合约、交易时段与换月规则</w:t>
      </w:r>
    </w:p>
    <w:p>
      <w:pPr>
        <w:numPr>
          <w:ilvl w:val="0"/>
          <w:numId w:val="10"/>
        </w:numPr>
        <w:widowControl w:val="1"/>
      </w:pPr>
      <w:r>
        <w:rPr>
          <w:rFonts w:ascii="Aptos" w:hAnsi="Aptos" w:eastAsia="FangSong" w:cs="Aptos"/>
          <w:color w:val="000000"/>
          <w:sz w:val="21"/>
        </w:rPr>
        <w:t>7. 数据模型与质量门</w:t>
      </w:r>
    </w:p>
    <w:p>
      <w:pPr>
        <w:numPr>
          <w:ilvl w:val="0"/>
          <w:numId w:val="10"/>
        </w:numPr>
        <w:widowControl w:val="1"/>
      </w:pPr>
      <w:r>
        <w:rPr>
          <w:rFonts w:ascii="Aptos" w:hAnsi="Aptos" w:eastAsia="FangSong" w:cs="Aptos"/>
          <w:color w:val="000000"/>
          <w:sz w:val="21"/>
        </w:rPr>
        <w:t>8. 特征工程与盘面状态识别</w:t>
      </w:r>
    </w:p>
    <w:p>
      <w:pPr>
        <w:numPr>
          <w:ilvl w:val="0"/>
          <w:numId w:val="10"/>
        </w:numPr>
        <w:widowControl w:val="1"/>
      </w:pPr>
      <w:r>
        <w:rPr>
          <w:rFonts w:ascii="Aptos" w:hAnsi="Aptos" w:eastAsia="FangSong" w:cs="Aptos"/>
          <w:color w:val="000000"/>
          <w:sz w:val="21"/>
        </w:rPr>
        <w:t>9. 事件引擎与事件后重跑</w:t>
      </w:r>
    </w:p>
    <w:p>
      <w:pPr>
        <w:numPr>
          <w:ilvl w:val="0"/>
          <w:numId w:val="10"/>
        </w:numPr>
        <w:widowControl w:val="1"/>
      </w:pPr>
      <w:r>
        <w:rPr>
          <w:rFonts w:ascii="Aptos" w:hAnsi="Aptos" w:eastAsia="FangSong" w:cs="Aptos"/>
          <w:color w:val="000000"/>
          <w:sz w:val="21"/>
        </w:rPr>
        <w:t>10. 尾部风险模型、联合校准与执行价选择</w:t>
      </w:r>
    </w:p>
    <w:p>
      <w:pPr>
        <w:numPr>
          <w:ilvl w:val="0"/>
          <w:numId w:val="10"/>
        </w:numPr>
        <w:widowControl w:val="1"/>
      </w:pPr>
      <w:r>
        <w:rPr>
          <w:rFonts w:ascii="Aptos" w:hAnsi="Aptos" w:eastAsia="FangSong" w:cs="Aptos"/>
          <w:color w:val="000000"/>
          <w:sz w:val="21"/>
        </w:rPr>
        <w:t>11. 建仓机会与 No Trade 引擎</w:t>
      </w:r>
    </w:p>
    <w:p>
      <w:pPr>
        <w:numPr>
          <w:ilvl w:val="0"/>
          <w:numId w:val="10"/>
        </w:numPr>
        <w:widowControl w:val="1"/>
      </w:pPr>
      <w:r>
        <w:rPr>
          <w:rFonts w:ascii="Aptos" w:hAnsi="Aptos" w:eastAsia="FangSong" w:cs="Aptos"/>
          <w:color w:val="000000"/>
          <w:sz w:val="21"/>
        </w:rPr>
        <w:t>12. 决策简报与服务接口</w:t>
      </w:r>
    </w:p>
    <w:p>
      <w:pPr>
        <w:numPr>
          <w:ilvl w:val="0"/>
          <w:numId w:val="10"/>
        </w:numPr>
        <w:widowControl w:val="1"/>
      </w:pPr>
      <w:r>
        <w:rPr>
          <w:rFonts w:ascii="Aptos" w:hAnsi="Aptos" w:eastAsia="FangSong" w:cs="Aptos"/>
          <w:color w:val="000000"/>
          <w:sz w:val="21"/>
        </w:rPr>
        <w:t>13. 回测、验证与模型验收</w:t>
      </w:r>
    </w:p>
    <w:p>
      <w:pPr>
        <w:numPr>
          <w:ilvl w:val="0"/>
          <w:numId w:val="10"/>
        </w:numPr>
        <w:widowControl w:val="1"/>
      </w:pPr>
      <w:r>
        <w:rPr>
          <w:rFonts w:ascii="Aptos" w:hAnsi="Aptos" w:eastAsia="FangSong" w:cs="Aptos"/>
          <w:color w:val="000000"/>
          <w:sz w:val="21"/>
        </w:rPr>
        <w:t>14. 部署、安全、可观测性与故障降级</w:t>
      </w:r>
    </w:p>
    <w:p>
      <w:pPr>
        <w:numPr>
          <w:ilvl w:val="0"/>
          <w:numId w:val="10"/>
        </w:numPr>
        <w:widowControl w:val="1"/>
      </w:pPr>
      <w:r>
        <w:rPr>
          <w:rFonts w:ascii="Aptos" w:hAnsi="Aptos" w:eastAsia="FangSong" w:cs="Aptos"/>
          <w:color w:val="000000"/>
          <w:sz w:val="21"/>
        </w:rPr>
        <w:t>15. Codex 开发阶段与工作包</w:t>
      </w:r>
    </w:p>
    <w:p>
      <w:pPr>
        <w:numPr>
          <w:ilvl w:val="0"/>
          <w:numId w:val="10"/>
        </w:numPr>
        <w:widowControl w:val="1"/>
      </w:pPr>
      <w:r>
        <w:rPr>
          <w:rFonts w:ascii="Aptos" w:hAnsi="Aptos" w:eastAsia="FangSong" w:cs="Aptos"/>
          <w:color w:val="000000"/>
          <w:sz w:val="21"/>
        </w:rPr>
        <w:t>16. 测试矩阵与最终验收标准</w:t>
      </w:r>
    </w:p>
    <w:p>
      <w:pPr>
        <w:numPr>
          <w:ilvl w:val="0"/>
          <w:numId w:val="10"/>
        </w:numPr>
        <w:widowControl w:val="1"/>
      </w:pPr>
      <w:r>
        <w:rPr>
          <w:rFonts w:ascii="Aptos" w:hAnsi="Aptos" w:eastAsia="FangSong" w:cs="Aptos"/>
          <w:color w:val="000000"/>
          <w:sz w:val="21"/>
        </w:rPr>
        <w:t>附录 A-D：示例简报、字段字典、公式与来源</w:t>
      </w:r>
    </w:p>
    <w:p>
      <w:pPr>
        <w:pStyle w:val="Heading1"/>
        <w:keepNext/>
        <w:widowControl w:val="1"/>
      </w:pPr>
      <w:r>
        <w:rPr>
          <w:rFonts w:ascii="Aptos" w:hAnsi="Aptos" w:eastAsia="FangSong" w:cs="Aptos"/>
          <w:b/>
          <w:color w:val="000000"/>
          <w:sz w:val="32"/>
        </w:rPr>
        <w:t>0. 执行摘要</w:t>
      </w:r>
    </w:p>
    <w:p>
      <w:pPr>
        <w:widowControl w:val="1"/>
      </w:pPr>
      <w:r>
        <w:rPr>
          <w:rFonts w:ascii="Aptos" w:hAnsi="Aptos" w:eastAsia="FangSong" w:cs="Aptos"/>
          <w:i w:val="0"/>
          <w:color w:val="000000"/>
          <w:sz w:val="21"/>
        </w:rPr>
        <w:t>MarketPilot 面向现货、期权与期货的跨市场决策场景，统一承载行情、事件、特征、模型、回测、风险门与决策简报。平台的第一个模型 StrikePilot 服务于使用 Webull 交易 SPXW 0DTE 铁鹰的决策过程，把“SPX 当前坐标”“从当前时点到收盘的双侧尾部风险”“重大事件是否已完成定价”“期权链是否仍有足够信用”拆成独立模块，再通过硬门槛合成一个可审计的建仓建议。</w:t>
      </w:r>
    </w:p>
    <w:p>
      <w:pPr>
        <w:widowControl w:val="1"/>
      </w:pPr>
      <w:r>
        <w:rPr>
          <w:rFonts w:ascii="Aptos" w:hAnsi="Aptos" w:eastAsia="FangSong" w:cs="Aptos"/>
          <w:i w:val="0"/>
          <w:color w:val="000000"/>
          <w:sz w:val="21"/>
        </w:rPr>
        <w:t>SPX 与 ES 的关系公式只负责建立坐标。ES 的绝对价不等于 SPX；正确做法是使用同一张明确到期的 ES 合约，在前一现金收盘时点建立同步锚点，再利用期货相对变动推算现金指数坐标。换月、结算时点与连续合约污染都必须在数据层被阻断。</w:t>
      </w:r>
    </w:p>
    <w:p>
      <w:pPr>
        <w:widowControl w:val="1"/>
      </w:pPr>
      <w:r>
        <w:rPr>
          <w:rFonts w:ascii="Aptos" w:hAnsi="Aptos" w:eastAsia="FangSong" w:cs="Aptos"/>
          <w:i w:val="0"/>
          <w:color w:val="000000"/>
          <w:sz w:val="21"/>
        </w:rPr>
        <w:t>模型主任务是估计剩余交易时段内的上行最大不利移动和下行最大不利移动，而不是预测收盘方向。短 Call 与短 Put 可非对称：缺口被接受时风险向缺口方向倾斜；缺口被拒绝时风险可能转向另一侧；重大事件后若区间仍扩张、VIX/利率反应不稳定或下一事件尚未释放，则不允许开仓。</w:t>
      </w:r>
    </w:p>
    <w:p>
      <w:pPr>
        <w:pStyle w:val="Heading1"/>
        <w:keepNext/>
        <w:widowControl w:val="1"/>
      </w:pPr>
      <w:r>
        <w:rPr>
          <w:rFonts w:ascii="Aptos" w:hAnsi="Aptos" w:eastAsia="FangSong" w:cs="Aptos"/>
          <w:b/>
          <w:color w:val="000000"/>
          <w:sz w:val="32"/>
        </w:rPr>
        <w:t>1. 项目目标、范围与非目标</w:t>
      </w:r>
    </w:p>
    <w:p>
      <w:pPr>
        <w:pStyle w:val="Heading2"/>
        <w:keepNext/>
        <w:widowControl w:val="1"/>
      </w:pPr>
      <w:r>
        <w:rPr>
          <w:rFonts w:ascii="Aptos" w:hAnsi="Aptos" w:eastAsia="FangSong" w:cs="Aptos"/>
          <w:b/>
          <w:color w:val="000000"/>
          <w:sz w:val="26"/>
        </w:rPr>
        <w:t>1.1 平台定位与命名体系</w:t>
      </w:r>
    </w:p>
    <w:p>
      <w:pPr>
        <w:widowControl w:val="1"/>
      </w:pPr>
      <w:r>
        <w:rPr>
          <w:rFonts w:ascii="Aptos" w:hAnsi="Aptos" w:eastAsia="FangSong" w:cs="Aptos"/>
          <w:i w:val="0"/>
          <w:color w:val="000000"/>
          <w:sz w:val="21"/>
        </w:rPr>
        <w:t>MarketPilot 的长期定位不是单一 SPXW 工具，而是连接现货、期权与期货数据，利用市场关系、波动率、重大事件与历史统计生成可解释决策的跨市场智能平台。平台输出不仅包括方向，还包括风险边界、建仓条件、执行价格、仓位约束、失效条件和 No Trade。</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00"/>
        <w:gridCol w:w="4680"/>
        <w:gridCol w:w="2780"/>
      </w:tblGrid>
      <w:tr>
        <w:trPr>
          <w:tblHeader w:val="true"/>
        </w:trPr>
        <w:tc>
          <w:tcPr>
            <w:tcW w:type="dxa" w:w="19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层级/模块</w:t>
            </w:r>
          </w:p>
        </w:tc>
        <w:tc>
          <w:tcPr>
            <w:tcW w:type="dxa" w:w="468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定位</w:t>
            </w:r>
          </w:p>
        </w:tc>
        <w:tc>
          <w:tcPr>
            <w:tcW w:type="dxa" w:w="278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主要输出</w:t>
            </w:r>
          </w:p>
        </w:tc>
      </w:tr>
      <w:tr>
        <w:tc>
          <w:tcPr>
            <w:tcW w:type="dxa" w:w="19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MarketPilot</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总平台：统一数据、事件、模型注册、回测、风险控制与审计</w:t>
            </w:r>
          </w:p>
        </w:tc>
        <w:tc>
          <w:tcPr>
            <w:tcW w:type="dxa" w:w="27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MarketPilot Brief / Decision Map</w:t>
            </w:r>
          </w:p>
        </w:tc>
      </w:tr>
      <w:tr>
        <w:tc>
          <w:tcPr>
            <w:tcW w:type="dxa" w:w="19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StrikePilot</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期权执行价与多腿结构决策；首期实现 SPXW 0DTE 铁鹰</w:t>
            </w:r>
          </w:p>
        </w:tc>
        <w:tc>
          <w:tcPr>
            <w:tcW w:type="dxa" w:w="27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Strike Map</w:t>
            </w:r>
          </w:p>
        </w:tc>
      </w:tr>
      <w:tr>
        <w:tc>
          <w:tcPr>
            <w:tcW w:type="dxa" w:w="19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BasisPilot</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现货—期货基差、隐含现货、carry 与换月关系</w:t>
            </w:r>
          </w:p>
        </w:tc>
        <w:tc>
          <w:tcPr>
            <w:tcW w:type="dxa" w:w="27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Basis Map</w:t>
            </w:r>
          </w:p>
        </w:tc>
      </w:tr>
      <w:tr>
        <w:tc>
          <w:tcPr>
            <w:tcW w:type="dxa" w:w="19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FuturesPilot</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期货趋势、入场、止损、仓位与持有期决策</w:t>
            </w:r>
          </w:p>
        </w:tc>
        <w:tc>
          <w:tcPr>
            <w:tcW w:type="dxa" w:w="27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Entry Map</w:t>
            </w:r>
          </w:p>
        </w:tc>
      </w:tr>
      <w:tr>
        <w:tc>
          <w:tcPr>
            <w:tcW w:type="dxa" w:w="19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EventPilot</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宏观、财报、拍卖与突发事件状态和事件后重算</w:t>
            </w:r>
          </w:p>
        </w:tc>
        <w:tc>
          <w:tcPr>
            <w:tcW w:type="dxa" w:w="27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Event State</w:t>
            </w:r>
          </w:p>
        </w:tc>
      </w:tr>
      <w:tr>
        <w:tc>
          <w:tcPr>
            <w:tcW w:type="dxa" w:w="19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VolPilot</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隐含/实现波动、期限结构、skew 与相对价值</w:t>
            </w:r>
          </w:p>
        </w:tc>
        <w:tc>
          <w:tcPr>
            <w:tcW w:type="dxa" w:w="27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Volatility Map</w:t>
            </w:r>
          </w:p>
        </w:tc>
      </w:tr>
      <w:tr>
        <w:tc>
          <w:tcPr>
            <w:tcW w:type="dxa" w:w="19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RiskPilot</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跨模型风险预算、Risk Lock、No Trade 与组合限制</w:t>
            </w:r>
          </w:p>
        </w:tc>
        <w:tc>
          <w:tcPr>
            <w:tcW w:type="dxa" w:w="27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Risk Boundary</w:t>
            </w:r>
          </w:p>
        </w:tc>
      </w:tr>
    </w:tbl>
    <w:p>
      <w:pPr>
        <w:spacing w:after="40"/>
        <w:widowControl w:val="1"/>
      </w:pPr>
    </w:p>
    <w:p>
      <w:pPr>
        <w:widowControl w:val="1"/>
      </w:pPr>
      <w:r>
        <w:rPr>
          <w:rFonts w:ascii="Aptos" w:hAnsi="Aptos" w:eastAsia="FangSong" w:cs="Aptos"/>
          <w:i/>
          <w:color w:val="000000"/>
          <w:sz w:val="21"/>
        </w:rPr>
        <w:t>首期只实现 Model 01 · StrikePilot。其他名称代表后续可插拔模型域，不表示当前版本已经实现。公共数据层、事件层、模型注册、决策运行与审计接口从第一天起必须保持资产类别和策略无关。</w:t>
      </w:r>
    </w:p>
    <w:p>
      <w:pPr>
        <w:pStyle w:val="Heading2"/>
        <w:keepNext/>
        <w:widowControl w:val="1"/>
      </w:pPr>
      <w:r>
        <w:rPr>
          <w:rFonts w:ascii="Aptos" w:hAnsi="Aptos" w:eastAsia="FangSong" w:cs="Aptos"/>
          <w:b/>
          <w:color w:val="000000"/>
          <w:sz w:val="26"/>
        </w:rPr>
        <w:t>1.2 业务目标</w:t>
      </w:r>
    </w:p>
    <w:p>
      <w:pPr>
        <w:widowControl w:val="1"/>
      </w:pPr>
      <w:r>
        <w:rPr>
          <w:rFonts w:ascii="Aptos" w:hAnsi="Aptos" w:eastAsia="FangSong" w:cs="Aptos"/>
          <w:i w:val="0"/>
          <w:color w:val="000000"/>
          <w:sz w:val="21"/>
        </w:rPr>
        <w:t>在任何候选建仓时点 t，系统必须回答四个问题：</w:t>
      </w:r>
    </w:p>
    <w:p>
      <w:pPr>
        <w:numPr>
          <w:ilvl w:val="0"/>
          <w:numId w:val="10"/>
        </w:numPr>
        <w:widowControl w:val="1"/>
      </w:pPr>
      <w:r>
        <w:rPr>
          <w:rFonts w:ascii="Aptos" w:hAnsi="Aptos" w:eastAsia="FangSong" w:cs="Aptos"/>
          <w:color w:val="000000"/>
          <w:sz w:val="21"/>
        </w:rPr>
        <w:t>现在是否允许建仓；如果不允许，明确指出阻断原因与下一次重跑条件。</w:t>
      </w:r>
    </w:p>
    <w:p>
      <w:pPr>
        <w:numPr>
          <w:ilvl w:val="0"/>
          <w:numId w:val="10"/>
        </w:numPr>
        <w:widowControl w:val="1"/>
      </w:pPr>
      <w:r>
        <w:rPr>
          <w:rFonts w:ascii="Aptos" w:hAnsi="Aptos" w:eastAsia="FangSong" w:cs="Aptos"/>
          <w:color w:val="000000"/>
          <w:sz w:val="21"/>
        </w:rPr>
        <w:t>若允许建仓，短 Put 和短 Call 分别放在哪里，固定 5 点保护翼如何组合。</w:t>
      </w:r>
    </w:p>
    <w:p>
      <w:pPr>
        <w:numPr>
          <w:ilvl w:val="0"/>
          <w:numId w:val="10"/>
        </w:numPr>
        <w:widowControl w:val="1"/>
      </w:pPr>
      <w:r>
        <w:rPr>
          <w:rFonts w:ascii="Aptos" w:hAnsi="Aptos" w:eastAsia="FangSong" w:cs="Aptos"/>
          <w:color w:val="000000"/>
          <w:sz w:val="21"/>
        </w:rPr>
        <w:t>推荐腿位距离当前 SPX、实际开盘价和 ES 隐含现金坐标分别有多少点。</w:t>
      </w:r>
    </w:p>
    <w:p>
      <w:pPr>
        <w:numPr>
          <w:ilvl w:val="0"/>
          <w:numId w:val="10"/>
        </w:numPr>
        <w:widowControl w:val="1"/>
      </w:pPr>
      <w:r>
        <w:rPr>
          <w:rFonts w:ascii="Aptos" w:hAnsi="Aptos" w:eastAsia="FangSong" w:cs="Aptos"/>
          <w:color w:val="000000"/>
          <w:sz w:val="21"/>
        </w:rPr>
        <w:t>该组合的触及概率、到期穿越概率、联合走廊覆盖率、可执行净信用、最大损失和条件期望值是多少。</w:t>
      </w:r>
    </w:p>
    <w:p>
      <w:pPr>
        <w:pStyle w:val="Heading2"/>
        <w:keepNext/>
        <w:widowControl w:val="1"/>
      </w:pPr>
      <w:r>
        <w:rPr>
          <w:rFonts w:ascii="Aptos" w:hAnsi="Aptos" w:eastAsia="FangSong" w:cs="Aptos"/>
          <w:b/>
          <w:color w:val="000000"/>
          <w:sz w:val="26"/>
        </w:rPr>
        <w:t>1.3 首期范围</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680"/>
        <w:gridCol w:w="4680"/>
      </w:tblGrid>
      <w:tr>
        <w:trPr>
          <w:tblHeader w:val="true"/>
        </w:trPr>
        <w:tc>
          <w:tcPr>
            <w:tcW w:type="dxa" w:w="468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8"/>
              </w:rPr>
              <w:t>包含</w:t>
            </w:r>
          </w:p>
        </w:tc>
        <w:tc>
          <w:tcPr>
            <w:tcW w:type="dxa" w:w="468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8"/>
              </w:rPr>
              <w:t>不包含</w:t>
            </w:r>
          </w:p>
        </w:tc>
      </w:tr>
      <w:tr>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Webull OpenAPI 能力探测；实时/历史数据采集；合约与时间标准化</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自动发送真实订单或自动调整仓位</w:t>
            </w:r>
          </w:p>
        </w:tc>
      </w:tr>
      <w:tr>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SPX-ES 坐标模型；事件引擎；双侧尾部分位数；短腿建议</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以聊天或网页延迟报价作为可执行行情</w:t>
            </w:r>
          </w:p>
        </w:tc>
      </w:tr>
      <w:tr>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回测、滚动校准、影子运行、纸面交易和审计日志</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保证收益、固定胜率或单一阈值长期有效</w:t>
            </w:r>
          </w:p>
        </w:tc>
      </w:tr>
      <w:tr>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人工确认后在 Webull 执行</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把 ES Main 连续合约当成真实可交易合约</w:t>
            </w:r>
          </w:p>
        </w:tc>
      </w:tr>
    </w:tbl>
    <w:p>
      <w:pPr>
        <w:spacing w:after="40"/>
        <w:widowControl w:val="1"/>
      </w:pPr>
    </w:p>
    <w:p>
      <w:pPr>
        <w:pStyle w:val="Heading2"/>
        <w:keepNext/>
        <w:widowControl w:val="1"/>
      </w:pPr>
      <w:r>
        <w:rPr>
          <w:rFonts w:ascii="Aptos" w:hAnsi="Aptos" w:eastAsia="FangSong" w:cs="Aptos"/>
          <w:b/>
          <w:color w:val="000000"/>
          <w:sz w:val="26"/>
        </w:rPr>
        <w:t>1.4 设计原则</w:t>
      </w:r>
    </w:p>
    <w:p>
      <w:pPr>
        <w:numPr>
          <w:ilvl w:val="0"/>
          <w:numId w:val="10"/>
        </w:numPr>
        <w:widowControl w:val="1"/>
      </w:pPr>
      <w:r>
        <w:rPr>
          <w:rFonts w:ascii="Aptos" w:hAnsi="Aptos" w:eastAsia="FangSong" w:cs="Aptos"/>
          <w:color w:val="000000"/>
          <w:sz w:val="21"/>
        </w:rPr>
        <w:t>No Trade 是一级输出，而不是异常或失败。</w:t>
      </w:r>
    </w:p>
    <w:p>
      <w:pPr>
        <w:numPr>
          <w:ilvl w:val="0"/>
          <w:numId w:val="10"/>
        </w:numPr>
        <w:widowControl w:val="1"/>
      </w:pPr>
      <w:r>
        <w:rPr>
          <w:rFonts w:ascii="Aptos" w:hAnsi="Aptos" w:eastAsia="FangSong" w:cs="Aptos"/>
          <w:color w:val="000000"/>
          <w:sz w:val="21"/>
        </w:rPr>
        <w:t>所有实盘建议必须基于明确合约、同步时间戳和可执行 bid/ask，不使用事后修订或回填。</w:t>
      </w:r>
    </w:p>
    <w:p>
      <w:pPr>
        <w:numPr>
          <w:ilvl w:val="0"/>
          <w:numId w:val="10"/>
        </w:numPr>
        <w:widowControl w:val="1"/>
      </w:pPr>
      <w:r>
        <w:rPr>
          <w:rFonts w:ascii="Aptos" w:hAnsi="Aptos" w:eastAsia="FangSong" w:cs="Aptos"/>
          <w:color w:val="000000"/>
          <w:sz w:val="21"/>
        </w:rPr>
        <w:t>概率先校准，再优化收益；覆盖率和尾部损失优先于平均收益。</w:t>
      </w:r>
    </w:p>
    <w:p>
      <w:pPr>
        <w:numPr>
          <w:ilvl w:val="0"/>
          <w:numId w:val="10"/>
        </w:numPr>
        <w:widowControl w:val="1"/>
      </w:pPr>
      <w:r>
        <w:rPr>
          <w:rFonts w:ascii="Aptos" w:hAnsi="Aptos" w:eastAsia="FangSong" w:cs="Aptos"/>
          <w:color w:val="000000"/>
          <w:sz w:val="21"/>
        </w:rPr>
        <w:t>事件后的真实市场反应优先于“好数据/坏数据”的标题解释。</w:t>
      </w:r>
    </w:p>
    <w:p>
      <w:pPr>
        <w:numPr>
          <w:ilvl w:val="0"/>
          <w:numId w:val="10"/>
        </w:numPr>
        <w:widowControl w:val="1"/>
      </w:pPr>
      <w:r>
        <w:rPr>
          <w:rFonts w:ascii="Aptos" w:hAnsi="Aptos" w:eastAsia="FangSong" w:cs="Aptos"/>
          <w:color w:val="000000"/>
          <w:sz w:val="21"/>
        </w:rPr>
        <w:t>同一份简报冻结 input_snapshot_id、model_version、data_asof 和质量状态。</w:t>
      </w:r>
    </w:p>
    <w:p>
      <w:pPr>
        <w:numPr>
          <w:ilvl w:val="0"/>
          <w:numId w:val="10"/>
        </w:numPr>
        <w:widowControl w:val="1"/>
      </w:pPr>
      <w:r>
        <w:rPr>
          <w:rFonts w:ascii="Aptos" w:hAnsi="Aptos" w:eastAsia="FangSong" w:cs="Aptos"/>
          <w:color w:val="000000"/>
          <w:sz w:val="21"/>
        </w:rPr>
        <w:t>数据不完整时降级，绝不静默替换为延迟网页、ES Main 或旧报价。</w:t>
      </w:r>
    </w:p>
    <w:p>
      <w:pPr>
        <w:pStyle w:val="Heading2"/>
        <w:keepNext/>
        <w:widowControl w:val="1"/>
      </w:pPr>
      <w:r>
        <w:rPr>
          <w:rFonts w:ascii="Aptos" w:hAnsi="Aptos" w:eastAsia="FangSong" w:cs="Aptos"/>
          <w:b/>
          <w:color w:val="000000"/>
          <w:sz w:val="26"/>
        </w:rPr>
        <w:t>1.5 风险与合规声明</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360"/>
      </w:tblGrid>
      <w:tr>
        <w:trPr>
          <w:tblHeader w:val="true"/>
        </w:trPr>
        <w:tc>
          <w:tcPr>
            <w:tcW w:type="dxa" w:w="9360"/>
            <w:tcMar>
              <w:top w:w="90" w:type="dxa"/>
              <w:start w:w="120" w:type="dxa"/>
              <w:bottom w:w="90" w:type="dxa"/>
              <w:end w:w="120" w:type="dxa"/>
            </w:tcMar>
            <w:vAlign w:val="center"/>
            <w:shd w:fill="FAFAFA"/>
          </w:tcPr>
          <w:p>
            <w:pPr>
              <w:spacing w:after="0"/>
            </w:pPr>
            <w:r>
              <w:rPr>
                <w:rFonts w:ascii="Aptos" w:hAnsi="Aptos" w:eastAsia="FangSong" w:cs="Aptos"/>
                <w:b/>
                <w:color w:val="000000"/>
                <w:sz w:val="21"/>
              </w:rPr>
              <w:t xml:space="preserve">重要  </w:t>
            </w:r>
            <w:r>
              <w:rPr>
                <w:rFonts w:ascii="Aptos" w:hAnsi="Aptos" w:eastAsia="FangSong" w:cs="Aptos"/>
                <w:color w:val="000000"/>
                <w:sz w:val="21"/>
              </w:rPr>
              <w:t>SPX 本身不可直接交易；SPXW 与 ES 均涉及高波动或杠杆风险。本文档是技术与研究说明，不构成收益承诺。模型输出只能作为决策输入；真实交易前必须由使用者核对账户权限、报价授权、组合保证金、费用、税务和风险承受能力。</w:t>
            </w:r>
          </w:p>
        </w:tc>
      </w:tr>
    </w:tbl>
    <w:p>
      <w:pPr>
        <w:spacing w:after="40"/>
        <w:widowControl w:val="1"/>
      </w:pPr>
    </w:p>
    <w:p>
      <w:pPr>
        <w:pStyle w:val="Heading1"/>
        <w:keepNext/>
        <w:pageBreakBefore/>
        <w:widowControl w:val="1"/>
      </w:pPr>
      <w:r>
        <w:rPr>
          <w:rFonts w:ascii="Aptos" w:hAnsi="Aptos" w:eastAsia="FangSong" w:cs="Aptos"/>
          <w:b/>
          <w:color w:val="000000"/>
          <w:sz w:val="32"/>
        </w:rPr>
        <w:t>2. 核心市场关系：SPX 现货与 ES 期货</w:t>
      </w:r>
    </w:p>
    <w:p>
      <w:pPr>
        <w:pStyle w:val="Heading2"/>
        <w:keepNext/>
        <w:widowControl w:val="1"/>
      </w:pPr>
      <w:r>
        <w:rPr>
          <w:rFonts w:ascii="Aptos" w:hAnsi="Aptos" w:eastAsia="FangSong" w:cs="Aptos"/>
          <w:b/>
          <w:color w:val="000000"/>
          <w:sz w:val="26"/>
        </w:rPr>
        <w:t>2.1 无套利关系</w:t>
      </w:r>
    </w:p>
    <w:p>
      <w:pPr>
        <w:widowControl w:val="1"/>
      </w:pPr>
      <w:r>
        <w:rPr>
          <w:rFonts w:ascii="Aptos" w:hAnsi="Aptos" w:eastAsia="FangSong" w:cs="Aptos"/>
          <w:i w:val="0"/>
          <w:color w:val="000000"/>
          <w:sz w:val="21"/>
        </w:rPr>
        <w:t>CME 的股指期货公允价值口径可以写为：</w:t>
      </w:r>
    </w:p>
    <w:p>
      <w:pPr>
        <w:spacing w:before="100" w:after="40"/>
        <w:jc w:val="center"/>
        <w:widowControl w:val="1"/>
      </w:pPr>
      <w:r>
        <w:rPr>
          <w:rFonts w:ascii="Cambria Math" w:hAnsi="Cambria Math" w:eastAsia="FangSong" w:cs="Cambria Math"/>
          <w:b/>
          <w:color w:val="000000"/>
          <w:sz w:val="22"/>
        </w:rPr>
        <w:t>F_t = S_t × [1 + r × x / 360] − D</w:t>
      </w:r>
    </w:p>
    <w:p>
      <w:pPr>
        <w:spacing w:after="160"/>
        <w:jc w:val="center"/>
        <w:widowControl w:val="1"/>
      </w:pPr>
      <w:r>
        <w:rPr>
          <w:rFonts w:ascii="Aptos" w:hAnsi="Aptos" w:eastAsia="FangSong" w:cs="Aptos"/>
          <w:i/>
          <w:color w:val="666666"/>
          <w:sz w:val="17"/>
        </w:rPr>
        <w:t>S 为 SPX 现金指数；r 为短期融资率；x 为距到期日天数；D 为到期前预期现金股息的指数点数。</w:t>
      </w:r>
    </w:p>
    <w:p>
      <w:pPr>
        <w:widowControl w:val="1"/>
      </w:pPr>
      <w:r>
        <w:rPr>
          <w:rFonts w:ascii="Aptos" w:hAnsi="Aptos" w:eastAsia="FangSong" w:cs="Aptos"/>
          <w:i w:val="0"/>
          <w:color w:val="000000"/>
          <w:sz w:val="21"/>
        </w:rPr>
        <w:t>在连续复利和连续股息率近似下：</w:t>
      </w:r>
    </w:p>
    <w:p>
      <w:pPr>
        <w:spacing w:before="100" w:after="160"/>
        <w:jc w:val="center"/>
        <w:widowControl w:val="1"/>
      </w:pPr>
      <w:r>
        <w:rPr>
          <w:rFonts w:ascii="Cambria Math" w:hAnsi="Cambria Math" w:eastAsia="FangSong" w:cs="Cambria Math"/>
          <w:b/>
          <w:color w:val="000000"/>
          <w:sz w:val="22"/>
        </w:rPr>
        <w:t>F_t ≈ S_t × exp[(r − q) × τ]</w:t>
      </w:r>
    </w:p>
    <w:p>
      <w:pPr>
        <w:widowControl w:val="1"/>
      </w:pPr>
      <w:r>
        <w:rPr>
          <w:rFonts w:ascii="Aptos" w:hAnsi="Aptos" w:eastAsia="FangSong" w:cs="Aptos"/>
          <w:i w:val="0"/>
          <w:color w:val="000000"/>
          <w:sz w:val="21"/>
        </w:rPr>
        <w:t>因此盘前可由明确 ES 合约反推隐含现金坐标：</w:t>
      </w:r>
    </w:p>
    <w:p>
      <w:pPr>
        <w:spacing w:before="100" w:after="160"/>
        <w:jc w:val="center"/>
        <w:widowControl w:val="1"/>
      </w:pPr>
      <w:r>
        <w:rPr>
          <w:rFonts w:ascii="Cambria Math" w:hAnsi="Cambria Math" w:eastAsia="FangSong" w:cs="Cambria Math"/>
          <w:b/>
          <w:color w:val="000000"/>
          <w:sz w:val="22"/>
        </w:rPr>
        <w:t>S_imp,t ≈ F_t × exp[−(r − q) × τ]</w:t>
      </w:r>
    </w:p>
    <w:p>
      <w:pPr>
        <w:widowControl w:val="1"/>
      </w:pPr>
      <w:r>
        <w:rPr>
          <w:rFonts w:ascii="Aptos" w:hAnsi="Aptos" w:eastAsia="FangSong" w:cs="Aptos"/>
          <w:i w:val="0"/>
          <w:color w:val="000000"/>
          <w:sz w:val="21"/>
        </w:rPr>
        <w:t>该式说明 ES 相对 SPX 的溢价或贴水主要是融资成本、预期股息、剩余期限和短时市场残差的组合，不能被解释为市场“预测 SPX 必须上涨或下跌相同点数”。</w:t>
      </w:r>
    </w:p>
    <w:p>
      <w:pPr>
        <w:pStyle w:val="Heading2"/>
        <w:keepNext/>
        <w:widowControl w:val="1"/>
      </w:pPr>
      <w:r>
        <w:rPr>
          <w:rFonts w:ascii="Aptos" w:hAnsi="Aptos" w:eastAsia="FangSong" w:cs="Aptos"/>
          <w:b/>
          <w:color w:val="000000"/>
          <w:sz w:val="26"/>
        </w:rPr>
        <w:t>2.2 推荐的同步锚定公式</w:t>
      </w:r>
    </w:p>
    <w:p>
      <w:pPr>
        <w:widowControl w:val="1"/>
      </w:pPr>
      <w:r>
        <w:rPr>
          <w:rFonts w:ascii="Aptos" w:hAnsi="Aptos" w:eastAsia="FangSong" w:cs="Aptos"/>
          <w:i w:val="0"/>
          <w:color w:val="000000"/>
          <w:sz w:val="21"/>
        </w:rPr>
        <w:t>生产系统不直接依赖难以实时精确估计的逐只成分股股息，而使用前一现金收盘时点的真实同步基差进行校准。设锚点 a 为前一交易日 16:00:00 ET 附近，SPX_a 为官方现金收盘，F_a 为同一张 ES 合约在同一时间窗的价格；盘前或盘中时点 t 的坐标为：</w:t>
      </w:r>
    </w:p>
    <w:p>
      <w:pPr>
        <w:spacing w:before="100" w:after="160"/>
        <w:jc w:val="center"/>
        <w:widowControl w:val="1"/>
      </w:pPr>
      <w:r>
        <w:rPr>
          <w:rFonts w:ascii="Cambria Math" w:hAnsi="Cambria Math" w:eastAsia="FangSong" w:cs="Cambria Math"/>
          <w:b/>
          <w:color w:val="000000"/>
          <w:sz w:val="22"/>
        </w:rPr>
        <w:t>Ŝ_t = SPX_a × (F_t / F_a) × exp[∫_a^t (r_u − q_u) du]</w:t>
      </w:r>
    </w:p>
    <w:p>
      <w:pPr>
        <w:widowControl w:val="1"/>
      </w:pPr>
      <w:r>
        <w:rPr>
          <w:rFonts w:ascii="Aptos" w:hAnsi="Aptos" w:eastAsia="FangSong" w:cs="Aptos"/>
          <w:i w:val="0"/>
          <w:color w:val="000000"/>
          <w:sz w:val="21"/>
        </w:rPr>
        <w:t>隔夜时间较短、carry 校正很小时，实盘近似为：</w:t>
      </w:r>
    </w:p>
    <w:p>
      <w:pPr>
        <w:spacing w:before="100" w:after="160"/>
        <w:jc w:val="center"/>
        <w:widowControl w:val="1"/>
      </w:pPr>
      <w:r>
        <w:rPr>
          <w:rFonts w:ascii="Cambria Math" w:hAnsi="Cambria Math" w:eastAsia="FangSong" w:cs="Cambria Math"/>
          <w:b/>
          <w:color w:val="000000"/>
          <w:sz w:val="22"/>
        </w:rPr>
        <w:t>Ŝ_t ≈ SPX_a × F_t / F_a</w:t>
      </w:r>
    </w:p>
    <w:p>
      <w:pPr>
        <w:widowControl w:val="1"/>
      </w:pPr>
      <w:r>
        <w:rPr>
          <w:rFonts w:ascii="Aptos" w:hAnsi="Aptos" w:eastAsia="FangSong" w:cs="Aptos"/>
          <w:i w:val="0"/>
          <w:color w:val="000000"/>
          <w:sz w:val="21"/>
        </w:rPr>
        <w:t>点数近似可写为：</w:t>
      </w:r>
    </w:p>
    <w:p>
      <w:pPr>
        <w:spacing w:before="100" w:after="160"/>
        <w:jc w:val="center"/>
        <w:widowControl w:val="1"/>
      </w:pPr>
      <w:r>
        <w:rPr>
          <w:rFonts w:ascii="Cambria Math" w:hAnsi="Cambria Math" w:eastAsia="FangSong" w:cs="Cambria Math"/>
          <w:b/>
          <w:color w:val="000000"/>
          <w:sz w:val="22"/>
        </w:rPr>
        <w:t>Ŝ_t ≈ SPX_a + (F_t − F_a)</w:t>
      </w:r>
    </w:p>
    <w:p>
      <w:pPr>
        <w:widowControl w:val="1"/>
      </w:pPr>
      <w:r>
        <w:rPr>
          <w:rFonts w:ascii="Aptos" w:hAnsi="Aptos" w:eastAsia="FangSong" w:cs="Aptos"/>
          <w:i w:val="0"/>
          <w:color w:val="000000"/>
          <w:sz w:val="21"/>
        </w:rPr>
        <w:t>比例式更符合乘法收益结构；点数式便于解释。两者在短隔夜内通常接近，但必须通过历史误差和当前基差状态决定是否增加 carry/residual buffer。</w:t>
      </w:r>
    </w:p>
    <w:p>
      <w:pPr>
        <w:pStyle w:val="Heading2"/>
        <w:keepNext/>
        <w:widowControl w:val="1"/>
      </w:pPr>
      <w:r>
        <w:rPr>
          <w:rFonts w:ascii="Aptos" w:hAnsi="Aptos" w:eastAsia="FangSong" w:cs="Aptos"/>
          <w:b/>
          <w:color w:val="000000"/>
          <w:sz w:val="26"/>
        </w:rPr>
        <w:t>2.3 不可违反的数据约束</w:t>
      </w:r>
    </w:p>
    <w:p>
      <w:pPr>
        <w:numPr>
          <w:ilvl w:val="0"/>
          <w:numId w:val="10"/>
        </w:numPr>
        <w:widowControl w:val="1"/>
      </w:pPr>
      <w:r>
        <w:rPr>
          <w:rFonts w:ascii="Aptos" w:hAnsi="Aptos" w:eastAsia="FangSong" w:cs="Aptos"/>
          <w:color w:val="000000"/>
          <w:sz w:val="21"/>
        </w:rPr>
        <w:t>F_a 与 F_t 必须来自同一张实际合约，例如 ESU6；禁止用 ES Main 连续合约跨换月。</w:t>
      </w:r>
    </w:p>
    <w:p>
      <w:pPr>
        <w:numPr>
          <w:ilvl w:val="0"/>
          <w:numId w:val="10"/>
        </w:numPr>
        <w:widowControl w:val="1"/>
      </w:pPr>
      <w:r>
        <w:rPr>
          <w:rFonts w:ascii="Aptos" w:hAnsi="Aptos" w:eastAsia="FangSong" w:cs="Aptos"/>
          <w:color w:val="000000"/>
          <w:sz w:val="21"/>
        </w:rPr>
        <w:t>锚点必须是 SPX 16:00 ET 现金收盘与 ES 同分钟/秒数据；不得混用 ES settlement、session last、17:00 session close。</w:t>
      </w:r>
    </w:p>
    <w:p>
      <w:pPr>
        <w:numPr>
          <w:ilvl w:val="0"/>
          <w:numId w:val="10"/>
        </w:numPr>
        <w:widowControl w:val="1"/>
      </w:pPr>
      <w:r>
        <w:rPr>
          <w:rFonts w:ascii="Aptos" w:hAnsi="Aptos" w:eastAsia="FangSong" w:cs="Aptos"/>
          <w:color w:val="000000"/>
          <w:sz w:val="21"/>
        </w:rPr>
        <w:t>预测 09:30 现金开盘时，F_t 必须截在 09:29:59 ET 之前，防止偷看开盘后数据。</w:t>
      </w:r>
    </w:p>
    <w:p>
      <w:pPr>
        <w:numPr>
          <w:ilvl w:val="0"/>
          <w:numId w:val="10"/>
        </w:numPr>
        <w:widowControl w:val="1"/>
      </w:pPr>
      <w:r>
        <w:rPr>
          <w:rFonts w:ascii="Aptos" w:hAnsi="Aptos" w:eastAsia="FangSong" w:cs="Aptos"/>
          <w:color w:val="000000"/>
          <w:sz w:val="21"/>
        </w:rPr>
        <w:t>若 SPX 实时流失效，隐含坐标只能标记为 implied SPX，不得伪称官方现货。</w:t>
      </w:r>
    </w:p>
    <w:p>
      <w:pPr>
        <w:pStyle w:val="Heading2"/>
        <w:keepNext/>
        <w:widowControl w:val="1"/>
      </w:pPr>
      <w:r>
        <w:rPr>
          <w:rFonts w:ascii="Aptos" w:hAnsi="Aptos" w:eastAsia="FangSong" w:cs="Aptos"/>
          <w:b/>
          <w:color w:val="000000"/>
          <w:sz w:val="26"/>
        </w:rPr>
        <w:t>2.4 2026-08-14 样本拆分</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00"/>
        <w:gridCol w:w="1700"/>
        <w:gridCol w:w="5160"/>
      </w:tblGrid>
      <w:tr>
        <w:trPr>
          <w:tblHeader w:val="true"/>
        </w:trPr>
        <w:tc>
          <w:tcPr>
            <w:tcW w:type="dxa" w:w="25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8"/>
              </w:rPr>
              <w:t>字段</w:t>
            </w:r>
          </w:p>
        </w:tc>
        <w:tc>
          <w:tcPr>
            <w:tcW w:type="dxa" w:w="17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8"/>
              </w:rPr>
              <w:t>数值</w:t>
            </w:r>
          </w:p>
        </w:tc>
        <w:tc>
          <w:tcPr>
            <w:tcW w:type="dxa" w:w="51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8"/>
              </w:rPr>
              <w:t>解释</w:t>
            </w:r>
          </w:p>
        </w:tc>
      </w:tr>
      <w:tr>
        <w:tc>
          <w:tcPr>
            <w:tcW w:type="dxa" w:w="25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SPX 官方收盘</w:t>
            </w:r>
          </w:p>
        </w:tc>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7785.76</w:t>
            </w:r>
          </w:p>
        </w:tc>
        <w:tc>
          <w:tcPr>
            <w:tcW w:type="dxa" w:w="5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现金市场 16:00 ET 坐标</w:t>
            </w:r>
          </w:p>
        </w:tc>
      </w:tr>
      <w:tr>
        <w:tc>
          <w:tcPr>
            <w:tcW w:type="dxa" w:w="25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ESU26 同步结算/基准</w:t>
            </w:r>
          </w:p>
        </w:tc>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7805.00</w:t>
            </w:r>
          </w:p>
        </w:tc>
        <w:tc>
          <w:tcPr>
            <w:tcW w:type="dxa" w:w="5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与现金收盘附近可比</w:t>
            </w:r>
          </w:p>
        </w:tc>
      </w:tr>
      <w:tr>
        <w:tc>
          <w:tcPr>
            <w:tcW w:type="dxa" w:w="25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ESU26 session last</w:t>
            </w:r>
          </w:p>
        </w:tc>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7802.50</w:t>
            </w:r>
          </w:p>
        </w:tc>
        <w:tc>
          <w:tcPr>
            <w:tcW w:type="dxa" w:w="5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相对同步基准含后续价格变化</w:t>
            </w:r>
          </w:p>
        </w:tc>
      </w:tr>
      <w:tr>
        <w:tc>
          <w:tcPr>
            <w:tcW w:type="dxa" w:w="25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同步基差</w:t>
            </w:r>
          </w:p>
        </w:tc>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+19.24</w:t>
            </w:r>
          </w:p>
        </w:tc>
        <w:tc>
          <w:tcPr>
            <w:tcW w:type="dxa" w:w="5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7805.00 − 7785.76</w:t>
            </w:r>
          </w:p>
        </w:tc>
      </w:tr>
      <w:tr>
        <w:tc>
          <w:tcPr>
            <w:tcW w:type="dxa" w:w="25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session last 表面差</w:t>
            </w:r>
          </w:p>
        </w:tc>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+16.74</w:t>
            </w:r>
          </w:p>
        </w:tc>
        <w:tc>
          <w:tcPr>
            <w:tcW w:type="dxa" w:w="5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7802.50 − 7785.76</w:t>
            </w:r>
          </w:p>
        </w:tc>
      </w:tr>
    </w:tbl>
    <w:p>
      <w:pPr>
        <w:spacing w:after="40"/>
        <w:widowControl w:val="1"/>
      </w:pPr>
    </w:p>
    <w:p>
      <w:pPr>
        <w:spacing w:before="100" w:after="40"/>
        <w:jc w:val="center"/>
        <w:widowControl w:val="1"/>
      </w:pPr>
      <w:r>
        <w:rPr>
          <w:rFonts w:ascii="Cambria Math" w:hAnsi="Cambria Math" w:eastAsia="FangSong" w:cs="Cambria Math"/>
          <w:b/>
          <w:color w:val="000000"/>
          <w:sz w:val="22"/>
        </w:rPr>
        <w:t>16.74 = 19.24 − 2.50</w:t>
      </w:r>
    </w:p>
    <w:p>
      <w:pPr>
        <w:spacing w:after="160"/>
        <w:jc w:val="center"/>
        <w:widowControl w:val="1"/>
      </w:pPr>
      <w:r>
        <w:rPr>
          <w:rFonts w:ascii="Aptos" w:hAnsi="Aptos" w:eastAsia="FangSong" w:cs="Aptos"/>
          <w:i/>
          <w:color w:val="666666"/>
          <w:sz w:val="17"/>
        </w:rPr>
        <w:t>前 19.24 点是同步期现基差；后 −2.50 点是 session last 相对 16:00 基准的后续变动。数据商字段含义必须按其时间戳定义核对。</w:t>
      </w:r>
    </w:p>
    <w:p>
      <w:pPr>
        <w:pStyle w:val="Heading2"/>
        <w:keepNext/>
        <w:widowControl w:val="1"/>
      </w:pPr>
      <w:r>
        <w:rPr>
          <w:rFonts w:ascii="Aptos" w:hAnsi="Aptos" w:eastAsia="FangSong" w:cs="Aptos"/>
          <w:b/>
          <w:color w:val="000000"/>
          <w:sz w:val="26"/>
        </w:rPr>
        <w:t>2.5 已完成的关系验证及其边界</w:t>
      </w:r>
    </w:p>
    <w:p>
      <w:pPr>
        <w:widowControl w:val="1"/>
      </w:pPr>
      <w:r>
        <w:rPr>
          <w:rFonts w:ascii="Aptos" w:hAnsi="Aptos" w:eastAsia="FangSong" w:cs="Aptos"/>
          <w:i w:val="0"/>
          <w:color w:val="000000"/>
          <w:sz w:val="21"/>
        </w:rPr>
        <w:t>对 2026-07-15 至 2026-08-14 的 23 个交易日，固定使用 ESU26，不发生合约切换：</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50"/>
        <w:gridCol w:w="2200"/>
        <w:gridCol w:w="4410"/>
      </w:tblGrid>
      <w:tr>
        <w:trPr>
          <w:tblHeader w:val="true"/>
        </w:trPr>
        <w:tc>
          <w:tcPr>
            <w:tcW w:type="dxa" w:w="27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验证项</w:t>
            </w:r>
          </w:p>
        </w:tc>
        <w:tc>
          <w:tcPr>
            <w:tcW w:type="dxa" w:w="22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结果</w:t>
            </w:r>
          </w:p>
        </w:tc>
        <w:tc>
          <w:tcPr>
            <w:tcW w:type="dxa" w:w="441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正确解释</w:t>
            </w:r>
          </w:p>
        </w:tc>
      </w:tr>
      <w:tr>
        <w:tc>
          <w:tcPr>
            <w:tcW w:type="dxa" w:w="2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ES settlement − SPX close 基差</w:t>
            </w:r>
          </w:p>
        </w:tc>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均值 31.55；中位 34.87；范围 19.24-43.98</w:t>
            </w:r>
          </w:p>
        </w:tc>
        <w:tc>
          <w:tcPr>
            <w:tcW w:type="dxa" w:w="44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水平差随期限、利率和股息动态变化</w:t>
            </w:r>
          </w:p>
        </w:tc>
      </w:tr>
      <w:tr>
        <w:tc>
          <w:tcPr>
            <w:tcW w:type="dxa" w:w="2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ΔSPX 与 ΔES 相关系数</w:t>
            </w:r>
          </w:p>
        </w:tc>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0.9991</w:t>
            </w:r>
          </w:p>
        </w:tc>
        <w:tc>
          <w:tcPr>
            <w:tcW w:type="dxa" w:w="44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同刻变动高度同步</w:t>
            </w:r>
          </w:p>
        </w:tc>
      </w:tr>
      <w:tr>
        <w:tc>
          <w:tcPr>
            <w:tcW w:type="dxa" w:w="2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比例映射 MAE / RMSE</w:t>
            </w:r>
          </w:p>
        </w:tc>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2.45 / 2.89 点</w:t>
            </w:r>
          </w:p>
        </w:tc>
        <w:tc>
          <w:tcPr>
            <w:tcW w:type="dxa" w:w="44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适合作为同步坐标映射误差基线</w:t>
            </w:r>
          </w:p>
        </w:tc>
      </w:tr>
      <w:tr>
        <w:tc>
          <w:tcPr>
            <w:tcW w:type="dxa" w:w="2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最大绝对误差</w:t>
            </w:r>
          </w:p>
        </w:tc>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5.56 点</w:t>
            </w:r>
          </w:p>
        </w:tc>
        <w:tc>
          <w:tcPr>
            <w:tcW w:type="dxa" w:w="44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应进入模型残差缓冲</w:t>
            </w:r>
          </w:p>
        </w:tc>
      </w:tr>
      <w:tr>
        <w:tc>
          <w:tcPr>
            <w:tcW w:type="dxa" w:w="2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方向一致</w:t>
            </w:r>
          </w:p>
        </w:tc>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22 / 22</w:t>
            </w:r>
          </w:p>
        </w:tc>
        <w:tc>
          <w:tcPr>
            <w:tcW w:type="dxa" w:w="44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只是同收盘复制验证，不是盘前预测胜率</w:t>
            </w:r>
          </w:p>
        </w:tc>
      </w:tr>
    </w:tbl>
    <w:p>
      <w:pPr>
        <w:spacing w:after="40"/>
        <w:widowControl w:val="1"/>
      </w:pP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360"/>
      </w:tblGrid>
      <w:tr>
        <w:trPr>
          <w:tblHeader w:val="true"/>
        </w:trPr>
        <w:tc>
          <w:tcPr>
            <w:tcW w:type="dxa" w:w="9360"/>
            <w:tcMar>
              <w:top w:w="90" w:type="dxa"/>
              <w:start w:w="120" w:type="dxa"/>
              <w:bottom w:w="90" w:type="dxa"/>
              <w:end w:w="120" w:type="dxa"/>
            </w:tcMar>
            <w:vAlign w:val="center"/>
            <w:shd w:fill="FAFAFA"/>
          </w:tcPr>
          <w:p>
            <w:pPr>
              <w:spacing w:after="0"/>
            </w:pPr>
            <w:r>
              <w:rPr>
                <w:rFonts w:ascii="Aptos" w:hAnsi="Aptos" w:eastAsia="FangSong" w:cs="Aptos"/>
                <w:b/>
                <w:color w:val="000000"/>
                <w:sz w:val="21"/>
              </w:rPr>
              <w:t xml:space="preserve">验证边界  </w:t>
            </w:r>
            <w:r>
              <w:rPr>
                <w:rFonts w:ascii="Aptos" w:hAnsi="Aptos" w:eastAsia="FangSong" w:cs="Aptos"/>
                <w:color w:val="000000"/>
                <w:sz w:val="21"/>
              </w:rPr>
              <w:t>上述结果证明“同一合约、同一时刻的变动/比例”稳定，而不是证明 ES 绝对价等于 SPX，也不是 09:29 对 09:30 或 09:45 的完整开盘回测。生产验收必须补充分钟级、无回看偏差的盘前数据。</w:t>
            </w:r>
          </w:p>
        </w:tc>
      </w:tr>
    </w:tbl>
    <w:p>
      <w:pPr>
        <w:spacing w:after="40"/>
        <w:widowControl w:val="1"/>
      </w:pPr>
    </w:p>
    <w:p>
      <w:pPr>
        <w:pStyle w:val="Heading1"/>
        <w:keepNext/>
        <w:pageBreakBefore/>
        <w:widowControl w:val="1"/>
      </w:pPr>
      <w:r>
        <w:rPr>
          <w:rFonts w:ascii="Aptos" w:hAnsi="Aptos" w:eastAsia="FangSong" w:cs="Aptos"/>
          <w:b/>
          <w:color w:val="000000"/>
          <w:sz w:val="32"/>
        </w:rPr>
        <w:t>3. 决策问题与短腿距离定义</w:t>
      </w:r>
    </w:p>
    <w:p>
      <w:pPr>
        <w:pStyle w:val="Heading2"/>
        <w:keepNext/>
        <w:widowControl w:val="1"/>
      </w:pPr>
      <w:r>
        <w:rPr>
          <w:rFonts w:ascii="Aptos" w:hAnsi="Aptos" w:eastAsia="FangSong" w:cs="Aptos"/>
          <w:b/>
          <w:color w:val="000000"/>
          <w:sz w:val="26"/>
        </w:rPr>
        <w:t>3.1 预测对象</w:t>
      </w:r>
    </w:p>
    <w:p>
      <w:pPr>
        <w:widowControl w:val="1"/>
      </w:pPr>
      <w:r>
        <w:rPr>
          <w:rFonts w:ascii="Aptos" w:hAnsi="Aptos" w:eastAsia="FangSong" w:cs="Aptos"/>
          <w:i w:val="0"/>
          <w:color w:val="000000"/>
          <w:sz w:val="21"/>
        </w:rPr>
        <w:t>在实际候选建仓时点 t，令 T 为当日 16:00 ET。模型分别预测：</w:t>
      </w:r>
    </w:p>
    <w:p>
      <w:pPr>
        <w:spacing w:before="100" w:after="160"/>
        <w:jc w:val="center"/>
        <w:widowControl w:val="1"/>
      </w:pPr>
      <w:r>
        <w:rPr>
          <w:rFonts w:ascii="Cambria Math" w:hAnsi="Cambria Math" w:eastAsia="FangSong" w:cs="Cambria Math"/>
          <w:b/>
          <w:color w:val="000000"/>
          <w:sz w:val="22"/>
        </w:rPr>
        <w:t>Y_up,t = max_{u∈[t,T]} (SPX_u − SPX_t)</w:t>
      </w:r>
    </w:p>
    <w:p>
      <w:pPr>
        <w:spacing w:before="100" w:after="160"/>
        <w:jc w:val="center"/>
        <w:widowControl w:val="1"/>
      </w:pPr>
      <w:r>
        <w:rPr>
          <w:rFonts w:ascii="Cambria Math" w:hAnsi="Cambria Math" w:eastAsia="FangSong" w:cs="Cambria Math"/>
          <w:b/>
          <w:color w:val="000000"/>
          <w:sz w:val="22"/>
        </w:rPr>
        <w:t>Y_down,t = max_{u∈[t,T]} (SPX_t − SPX_u)</w:t>
      </w:r>
    </w:p>
    <w:p>
      <w:pPr>
        <w:widowControl w:val="1"/>
      </w:pPr>
      <w:r>
        <w:rPr>
          <w:rFonts w:ascii="Aptos" w:hAnsi="Aptos" w:eastAsia="FangSong" w:cs="Aptos"/>
          <w:i w:val="0"/>
          <w:color w:val="000000"/>
          <w:sz w:val="21"/>
        </w:rPr>
        <w:t>辅助标签用于评估到期穿越，而不是取代盘中触及风险：</w:t>
      </w:r>
    </w:p>
    <w:p>
      <w:pPr>
        <w:spacing w:before="100" w:after="160"/>
        <w:jc w:val="center"/>
        <w:widowControl w:val="1"/>
      </w:pPr>
      <w:r>
        <w:rPr>
          <w:rFonts w:ascii="Cambria Math" w:hAnsi="Cambria Math" w:eastAsia="FangSong" w:cs="Cambria Math"/>
          <w:b/>
          <w:color w:val="000000"/>
          <w:sz w:val="22"/>
        </w:rPr>
        <w:t>C_up,t = max(SPX_T − SPX_t, 0)     C_down,t = max(SPX_t − SPX_T, 0)</w:t>
      </w:r>
    </w:p>
    <w:p>
      <w:pPr>
        <w:widowControl w:val="1"/>
      </w:pPr>
      <w:r>
        <w:rPr>
          <w:rFonts w:ascii="Aptos" w:hAnsi="Aptos" w:eastAsia="FangSong" w:cs="Aptos"/>
          <w:i w:val="0"/>
          <w:color w:val="000000"/>
          <w:sz w:val="21"/>
        </w:rPr>
        <w:t>若已获得 SPXW 分钟级 NBBO，应进一步记录每个 5 点价差从建仓至退出/到期的最大不利盯市变化。</w:t>
      </w:r>
    </w:p>
    <w:p>
      <w:pPr>
        <w:pStyle w:val="Heading2"/>
        <w:keepNext/>
        <w:widowControl w:val="1"/>
      </w:pPr>
      <w:r>
        <w:rPr>
          <w:rFonts w:ascii="Aptos" w:hAnsi="Aptos" w:eastAsia="FangSong" w:cs="Aptos"/>
          <w:b/>
          <w:color w:val="000000"/>
          <w:sz w:val="26"/>
        </w:rPr>
        <w:t>3.2 为什么不能只预测收盘</w:t>
      </w:r>
    </w:p>
    <w:p>
      <w:pPr>
        <w:numPr>
          <w:ilvl w:val="0"/>
          <w:numId w:val="10"/>
        </w:numPr>
        <w:widowControl w:val="1"/>
      </w:pPr>
      <w:r>
        <w:rPr>
          <w:rFonts w:ascii="Aptos" w:hAnsi="Aptos" w:eastAsia="FangSong" w:cs="Aptos"/>
          <w:color w:val="000000"/>
          <w:sz w:val="21"/>
        </w:rPr>
        <w:t>短腿可能在盘中被触及后回落，收盘方向无法描述追加保证金、止损或主观干预压力。</w:t>
      </w:r>
    </w:p>
    <w:p>
      <w:pPr>
        <w:numPr>
          <w:ilvl w:val="0"/>
          <w:numId w:val="10"/>
        </w:numPr>
        <w:widowControl w:val="1"/>
      </w:pPr>
      <w:r>
        <w:rPr>
          <w:rFonts w:ascii="Aptos" w:hAnsi="Aptos" w:eastAsia="FangSong" w:cs="Aptos"/>
          <w:color w:val="000000"/>
          <w:sz w:val="21"/>
        </w:rPr>
        <w:t>上行和下行尾部由不同驱动因素控制，必须分别估计，不能强制对称。</w:t>
      </w:r>
    </w:p>
    <w:p>
      <w:pPr>
        <w:numPr>
          <w:ilvl w:val="0"/>
          <w:numId w:val="10"/>
        </w:numPr>
        <w:widowControl w:val="1"/>
      </w:pPr>
      <w:r>
        <w:rPr>
          <w:rFonts w:ascii="Aptos" w:hAnsi="Aptos" w:eastAsia="FangSong" w:cs="Aptos"/>
          <w:color w:val="000000"/>
          <w:sz w:val="21"/>
        </w:rPr>
        <w:t>0DTE 的 gamma 与流动性随剩余时间迅速变化，同样点数在 09:45 与 14:30 的风险不同。</w:t>
      </w:r>
    </w:p>
    <w:p>
      <w:pPr>
        <w:numPr>
          <w:ilvl w:val="0"/>
          <w:numId w:val="10"/>
        </w:numPr>
        <w:widowControl w:val="1"/>
      </w:pPr>
      <w:r>
        <w:rPr>
          <w:rFonts w:ascii="Aptos" w:hAnsi="Aptos" w:eastAsia="FangSong" w:cs="Aptos"/>
          <w:color w:val="000000"/>
          <w:sz w:val="21"/>
        </w:rPr>
        <w:t>真正可执行的腿位还受 skew、bid/ask、信用、费用和下一事件约束。</w:t>
      </w:r>
    </w:p>
    <w:p>
      <w:pPr>
        <w:pStyle w:val="Heading2"/>
        <w:keepNext/>
        <w:widowControl w:val="1"/>
      </w:pPr>
      <w:r>
        <w:rPr>
          <w:rFonts w:ascii="Aptos" w:hAnsi="Aptos" w:eastAsia="FangSong" w:cs="Aptos"/>
          <w:b/>
          <w:color w:val="000000"/>
          <w:sz w:val="26"/>
        </w:rPr>
        <w:t>3.3 核心输出</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0"/>
        <w:gridCol w:w="6960"/>
      </w:tblGrid>
      <w:tr>
        <w:trPr>
          <w:tblHeader w:val="true"/>
        </w:trPr>
        <w:tc>
          <w:tcPr>
            <w:tcW w:type="dxa" w:w="24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8"/>
              </w:rPr>
              <w:t>输出</w:t>
            </w:r>
          </w:p>
        </w:tc>
        <w:tc>
          <w:tcPr>
            <w:tcW w:type="dxa" w:w="69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8"/>
              </w:rPr>
              <w:t>定义</w:t>
            </w:r>
          </w:p>
        </w:tc>
      </w:tr>
      <w:tr>
        <w:tc>
          <w:tcPr>
            <w:tcW w:type="dxa" w:w="2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中心坐标</w:t>
            </w:r>
          </w:p>
        </w:tc>
        <w:tc>
          <w:tcPr>
            <w:tcW w:type="dxa" w:w="69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当前官方 SPX；缺失时为标记清楚的 implied SPX</w:t>
            </w:r>
          </w:p>
        </w:tc>
      </w:tr>
      <w:tr>
        <w:tc>
          <w:tcPr>
            <w:tcW w:type="dxa" w:w="2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上/下尾部分位数</w:t>
            </w:r>
          </w:p>
        </w:tc>
        <w:tc>
          <w:tcPr>
            <w:tcW w:type="dxa" w:w="69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Q80、Q90、Q95、Q97.5、Q99，按剩余时间和状态条件化</w:t>
            </w:r>
          </w:p>
        </w:tc>
      </w:tr>
      <w:tr>
        <w:tc>
          <w:tcPr>
            <w:tcW w:type="dxa" w:w="2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短腿</w:t>
            </w:r>
          </w:p>
        </w:tc>
        <w:tc>
          <w:tcPr>
            <w:tcW w:type="dxa" w:w="69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Short Put、Short Call，均取 5 点整数档</w:t>
            </w:r>
          </w:p>
        </w:tc>
      </w:tr>
      <w:tr>
        <w:tc>
          <w:tcPr>
            <w:tcW w:type="dxa" w:w="2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保护翼</w:t>
            </w:r>
          </w:p>
        </w:tc>
        <w:tc>
          <w:tcPr>
            <w:tcW w:type="dxa" w:w="69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Long Put = Short Put − 5；Long Call = Short Call + 5</w:t>
            </w:r>
          </w:p>
        </w:tc>
      </w:tr>
      <w:tr>
        <w:tc>
          <w:tcPr>
            <w:tcW w:type="dxa" w:w="2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风险概率</w:t>
            </w:r>
          </w:p>
        </w:tc>
        <w:tc>
          <w:tcPr>
            <w:tcW w:type="dxa" w:w="69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盘中触及、到期穿越、联合走廊覆盖、模型置信度</w:t>
            </w:r>
          </w:p>
        </w:tc>
      </w:tr>
      <w:tr>
        <w:tc>
          <w:tcPr>
            <w:tcW w:type="dxa" w:w="2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经济性</w:t>
            </w:r>
          </w:p>
        </w:tc>
        <w:tc>
          <w:tcPr>
            <w:tcW w:type="dxa" w:w="69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保守可执行净信用、最大损失、费用后条件期望值、CVaR</w:t>
            </w:r>
          </w:p>
        </w:tc>
      </w:tr>
      <w:tr>
        <w:tc>
          <w:tcPr>
            <w:tcW w:type="dxa" w:w="2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动作</w:t>
            </w:r>
          </w:p>
        </w:tc>
        <w:tc>
          <w:tcPr>
            <w:tcW w:type="dxa" w:w="69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Enter / Wait / No Trade，并给出失效条件和下一重跑时点</w:t>
            </w:r>
          </w:p>
        </w:tc>
      </w:tr>
    </w:tbl>
    <w:p>
      <w:pPr>
        <w:spacing w:after="40"/>
        <w:widowControl w:val="1"/>
      </w:pPr>
    </w:p>
    <w:p>
      <w:pPr>
        <w:pStyle w:val="Heading1"/>
        <w:keepNext/>
        <w:pageBreakBefore/>
        <w:widowControl w:val="1"/>
      </w:pPr>
      <w:r>
        <w:rPr>
          <w:rFonts w:ascii="Aptos" w:hAnsi="Aptos" w:eastAsia="FangSong" w:cs="Aptos"/>
          <w:b/>
          <w:color w:val="000000"/>
          <w:sz w:val="32"/>
        </w:rPr>
        <w:t>4. 总体系统架构</w:t>
      </w:r>
    </w:p>
    <w:p>
      <w:pPr>
        <w:pStyle w:val="Heading2"/>
        <w:keepNext/>
        <w:widowControl w:val="1"/>
      </w:pPr>
      <w:r>
        <w:rPr>
          <w:rFonts w:ascii="Aptos" w:hAnsi="Aptos" w:eastAsia="FangSong" w:cs="Aptos"/>
          <w:b/>
          <w:color w:val="000000"/>
          <w:sz w:val="26"/>
        </w:rPr>
        <w:t>4.1 平台与模型边界</w:t>
      </w:r>
    </w:p>
    <w:p>
      <w:pPr>
        <w:widowControl w:val="1"/>
      </w:pPr>
      <w:r>
        <w:rPr>
          <w:rFonts w:ascii="Aptos" w:hAnsi="Aptos" w:eastAsia="FangSong" w:cs="Aptos"/>
          <w:i w:val="0"/>
          <w:color w:val="000000"/>
          <w:sz w:val="21"/>
        </w:rPr>
        <w:t>MarketPilot 采用“公共平台能力＋可插拔 Decision Model”的结构。行情、合约、时间、事件、质量、快照、模型注册、风险预算和审计属于公共平台；具体标签、特征组合、概率估计和交易结构属于各模型包。StrikePilot 不得把 SPXW 专用字段写入公共领域对象。</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680"/>
        <w:gridCol w:w="4680"/>
      </w:tblGrid>
      <w:tr>
        <w:trPr>
          <w:tblHeader w:val="true"/>
        </w:trPr>
        <w:tc>
          <w:tcPr>
            <w:tcW w:type="dxa" w:w="468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公共平台</w:t>
            </w:r>
          </w:p>
        </w:tc>
        <w:tc>
          <w:tcPr>
            <w:tcW w:type="dxa" w:w="468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模型插件</w:t>
            </w:r>
          </w:p>
        </w:tc>
      </w:tr>
      <w:tr>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instrument/session、market data、event、feature store、snapshot、model registry、decision run、RiskPilot、brief/audit</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StrikePilot、BasisPilot、FuturesPilot、VolPilot 及后续模型</w:t>
            </w:r>
          </w:p>
        </w:tc>
      </w:tr>
      <w:tr>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统一负责时间戳、权限、质量、版本、回放和跨模型风险约束</w:t>
            </w:r>
          </w:p>
        </w:tc>
        <w:tc>
          <w:tcPr>
            <w:tcW w:type="dxa" w:w="468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分别声明适用资产、所需字段、标签、输出对象、校准方法与失效规则</w:t>
            </w:r>
          </w:p>
        </w:tc>
      </w:tr>
    </w:tbl>
    <w:p>
      <w:pPr>
        <w:spacing w:after="40"/>
        <w:widowControl w:val="1"/>
      </w:pPr>
    </w:p>
    <w:p>
      <w:pPr>
        <w:pStyle w:val="Heading2"/>
        <w:keepNext/>
        <w:widowControl w:val="1"/>
      </w:pPr>
      <w:r>
        <w:rPr>
          <w:rFonts w:ascii="Aptos" w:hAnsi="Aptos" w:eastAsia="FangSong" w:cs="Aptos"/>
          <w:b/>
          <w:color w:val="000000"/>
          <w:sz w:val="26"/>
        </w:rPr>
        <w:t>4.2 逻辑分层</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50"/>
        <w:gridCol w:w="4550"/>
        <w:gridCol w:w="3460"/>
      </w:tblGrid>
      <w:tr>
        <w:trPr>
          <w:tblHeader w:val="true"/>
        </w:trPr>
        <w:tc>
          <w:tcPr>
            <w:tcW w:type="dxa" w:w="13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层</w:t>
            </w:r>
          </w:p>
        </w:tc>
        <w:tc>
          <w:tcPr>
            <w:tcW w:type="dxa" w:w="45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职责</w:t>
            </w:r>
          </w:p>
        </w:tc>
        <w:tc>
          <w:tcPr>
            <w:tcW w:type="dxa" w:w="34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关键产物</w:t>
            </w:r>
          </w:p>
        </w:tc>
      </w:tr>
      <w:tr>
        <w:tc>
          <w:tcPr>
            <w:tcW w:type="dxa" w:w="13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采集层</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Webull OpenAPI、补充行情、官方事件源、授权 consensus/actual</w:t>
            </w:r>
          </w:p>
        </w:tc>
        <w:tc>
          <w:tcPr>
            <w:tcW w:type="dxa" w:w="34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原始 quote、bar、option chain、event payload</w:t>
            </w:r>
          </w:p>
        </w:tc>
      </w:tr>
      <w:tr>
        <w:tc>
          <w:tcPr>
            <w:tcW w:type="dxa" w:w="13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规范化层</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symbol、时区、交易日、合约、延迟、质量标记</w:t>
            </w:r>
          </w:p>
        </w:tc>
        <w:tc>
          <w:tcPr>
            <w:tcW w:type="dxa" w:w="34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统一事件时间与 instrument_id</w:t>
            </w:r>
          </w:p>
        </w:tc>
      </w:tr>
      <w:tr>
        <w:tc>
          <w:tcPr>
            <w:tcW w:type="dxa" w:w="13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状态层</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SPX-ES 坐标、overnight、gap、接受/拒绝、事件反应</w:t>
            </w:r>
          </w:p>
        </w:tc>
        <w:tc>
          <w:tcPr>
            <w:tcW w:type="dxa" w:w="34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feature snapshot / state regime</w:t>
            </w:r>
          </w:p>
        </w:tc>
      </w:tr>
      <w:tr>
        <w:tc>
          <w:tcPr>
            <w:tcW w:type="dxa" w:w="13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模型层</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上/下尾部分位数、联合校准、残差缓冲</w:t>
            </w:r>
          </w:p>
        </w:tc>
        <w:tc>
          <w:tcPr>
            <w:tcW w:type="dxa" w:w="34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risk corridor</w:t>
            </w:r>
          </w:p>
        </w:tc>
      </w:tr>
      <w:tr>
        <w:tc>
          <w:tcPr>
            <w:tcW w:type="dxa" w:w="13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决策层</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事件门、数据门、信用/风险门、腿位取整</w:t>
            </w:r>
          </w:p>
        </w:tc>
        <w:tc>
          <w:tcPr>
            <w:tcW w:type="dxa" w:w="34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recommendation / no_trade_reason</w:t>
            </w:r>
          </w:p>
        </w:tc>
      </w:tr>
      <w:tr>
        <w:tc>
          <w:tcPr>
            <w:tcW w:type="dxa" w:w="13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呈现与审计</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简报、API、面板、快照与版本</w:t>
            </w:r>
          </w:p>
        </w:tc>
        <w:tc>
          <w:tcPr>
            <w:tcW w:type="dxa" w:w="34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decision_run、recommendation、outcome</w:t>
            </w:r>
          </w:p>
        </w:tc>
      </w:tr>
    </w:tbl>
    <w:p>
      <w:pPr>
        <w:spacing w:after="40"/>
        <w:widowControl w:val="1"/>
      </w:pPr>
    </w:p>
    <w:p>
      <w:pPr>
        <w:pStyle w:val="Heading2"/>
        <w:keepNext/>
        <w:widowControl w:val="1"/>
      </w:pPr>
      <w:r>
        <w:rPr>
          <w:rFonts w:ascii="Aptos" w:hAnsi="Aptos" w:eastAsia="FangSong" w:cs="Aptos"/>
          <w:b/>
          <w:color w:val="000000"/>
          <w:sz w:val="26"/>
        </w:rPr>
        <w:t>4.3 推荐技术栈</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00"/>
        <w:gridCol w:w="7060"/>
      </w:tblGrid>
      <w:tr>
        <w:trPr>
          <w:tblHeader w:val="true"/>
        </w:trPr>
        <w:tc>
          <w:tcPr>
            <w:tcW w:type="dxa" w:w="23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8"/>
              </w:rPr>
              <w:t>组件</w:t>
            </w:r>
          </w:p>
        </w:tc>
        <w:tc>
          <w:tcPr>
            <w:tcW w:type="dxa" w:w="70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8"/>
              </w:rPr>
              <w:t>推荐</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采集与特征计算</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Python 3.12、asyncio、官方 SDK/MQTT/WebSocket、Pydantic</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服务接口</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FastAPI；内部 REST + WebSocket/SSE 更新</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调度/工作流</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交易日历驱动 worker；事件驱动重跑；队列可后置</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结构化存储</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PostgreSQL/TimescaleDB；MVP 可使用 Neon Postgres</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高频原始数据</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对象存储 Parquet；避免把全部 tick 永久压入单一事务库</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最新状态</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Redis 可选；MVP 可先由 Postgres latest view 替代</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展示</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Next.js 仪表板；只展示解释性结果，不承担行情采集</w:t>
            </w:r>
          </w:p>
        </w:tc>
      </w:tr>
      <w:tr>
        <w:tc>
          <w:tcPr>
            <w:tcW w:type="dxa" w:w="23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运行环境</w:t>
            </w:r>
          </w:p>
        </w:tc>
        <w:tc>
          <w:tcPr>
            <w:tcW w:type="dxa" w:w="70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常在线 VPS/容器运行 collector 与 worker；Vercel 仅用于前端/轻 API</w:t>
            </w:r>
          </w:p>
        </w:tc>
      </w:tr>
    </w:tbl>
    <w:p>
      <w:pPr>
        <w:spacing w:after="40"/>
        <w:widowControl w:val="1"/>
      </w:pPr>
    </w:p>
    <w:p>
      <w:pPr>
        <w:pStyle w:val="Heading2"/>
        <w:keepNext/>
        <w:widowControl w:val="1"/>
      </w:pPr>
      <w:r>
        <w:rPr>
          <w:rFonts w:ascii="Aptos" w:hAnsi="Aptos" w:eastAsia="FangSong" w:cs="Aptos"/>
          <w:b/>
          <w:color w:val="000000"/>
          <w:sz w:val="26"/>
        </w:rPr>
        <w:t>4.4 进程边界</w:t>
      </w:r>
    </w:p>
    <w:p>
      <w:pPr>
        <w:numPr>
          <w:ilvl w:val="0"/>
          <w:numId w:val="10"/>
        </w:numPr>
        <w:widowControl w:val="1"/>
      </w:pPr>
      <w:r>
        <w:rPr>
          <w:rFonts w:ascii="Aptos" w:hAnsi="Aptos" w:eastAsia="FangSong" w:cs="Aptos"/>
          <w:color w:val="000000"/>
          <w:sz w:val="21"/>
        </w:rPr>
        <w:t>market-collector：只负责行情订阅、重连、顺序校验和原始落地。</w:t>
      </w:r>
    </w:p>
    <w:p>
      <w:pPr>
        <w:numPr>
          <w:ilvl w:val="0"/>
          <w:numId w:val="10"/>
        </w:numPr>
        <w:widowControl w:val="1"/>
      </w:pPr>
      <w:r>
        <w:rPr>
          <w:rFonts w:ascii="Aptos" w:hAnsi="Aptos" w:eastAsia="FangSong" w:cs="Aptos"/>
          <w:color w:val="000000"/>
          <w:sz w:val="21"/>
        </w:rPr>
        <w:t>event-service：维护计划事件、actual、consensus 快照与事件状态机。</w:t>
      </w:r>
    </w:p>
    <w:p>
      <w:pPr>
        <w:numPr>
          <w:ilvl w:val="0"/>
          <w:numId w:val="10"/>
        </w:numPr>
        <w:widowControl w:val="1"/>
      </w:pPr>
      <w:r>
        <w:rPr>
          <w:rFonts w:ascii="Aptos" w:hAnsi="Aptos" w:eastAsia="FangSong" w:cs="Aptos"/>
          <w:color w:val="000000"/>
          <w:sz w:val="21"/>
        </w:rPr>
        <w:t>feature-engine：按冻结时间点产生可复现特征，不读取未来数据。</w:t>
      </w:r>
    </w:p>
    <w:p>
      <w:pPr>
        <w:numPr>
          <w:ilvl w:val="0"/>
          <w:numId w:val="10"/>
        </w:numPr>
        <w:widowControl w:val="1"/>
      </w:pPr>
      <w:r>
        <w:rPr>
          <w:rFonts w:ascii="Aptos" w:hAnsi="Aptos" w:eastAsia="FangSong" w:cs="Aptos"/>
          <w:color w:val="000000"/>
          <w:sz w:val="21"/>
        </w:rPr>
        <w:t>model-service：按 model_id 加载版本化模型；首期返回 StrikePilot 双侧条件分位数。</w:t>
      </w:r>
    </w:p>
    <w:p>
      <w:pPr>
        <w:numPr>
          <w:ilvl w:val="0"/>
          <w:numId w:val="10"/>
        </w:numPr>
        <w:widowControl w:val="1"/>
      </w:pPr>
      <w:r>
        <w:rPr>
          <w:rFonts w:ascii="Aptos" w:hAnsi="Aptos" w:eastAsia="FangSong" w:cs="Aptos"/>
          <w:color w:val="000000"/>
          <w:sz w:val="21"/>
        </w:rPr>
        <w:t>decision-engine：应用模型专用规则与 RiskPilot 公共硬门，生成 Decision Map 与简报。</w:t>
      </w:r>
    </w:p>
    <w:p>
      <w:pPr>
        <w:numPr>
          <w:ilvl w:val="0"/>
          <w:numId w:val="10"/>
        </w:numPr>
        <w:widowControl w:val="1"/>
      </w:pPr>
      <w:r>
        <w:rPr>
          <w:rFonts w:ascii="Aptos" w:hAnsi="Aptos" w:eastAsia="FangSong" w:cs="Aptos"/>
          <w:color w:val="000000"/>
          <w:sz w:val="21"/>
        </w:rPr>
        <w:t>outcome-worker：收盘后生成标签、回填结果并更新校准监控。</w:t>
      </w:r>
    </w:p>
    <w:p>
      <w:pPr>
        <w:pStyle w:val="Heading1"/>
        <w:keepNext/>
        <w:pageBreakBefore/>
        <w:widowControl w:val="1"/>
      </w:pPr>
      <w:r>
        <w:rPr>
          <w:rFonts w:ascii="Aptos" w:hAnsi="Aptos" w:eastAsia="FangSong" w:cs="Aptos"/>
          <w:b/>
          <w:color w:val="000000"/>
          <w:sz w:val="32"/>
        </w:rPr>
        <w:t>5. Webull 接入策略与数据源组合</w:t>
      </w:r>
    </w:p>
    <w:p>
      <w:pPr>
        <w:pStyle w:val="Heading2"/>
        <w:keepNext/>
        <w:widowControl w:val="1"/>
      </w:pPr>
      <w:r>
        <w:rPr>
          <w:rFonts w:ascii="Aptos" w:hAnsi="Aptos" w:eastAsia="FangSong" w:cs="Aptos"/>
          <w:b/>
          <w:color w:val="000000"/>
          <w:sz w:val="26"/>
        </w:rPr>
        <w:t>5.1 Webull 的角色</w:t>
      </w:r>
    </w:p>
    <w:p>
      <w:pPr>
        <w:widowControl w:val="1"/>
      </w:pPr>
      <w:r>
        <w:rPr>
          <w:rFonts w:ascii="Aptos" w:hAnsi="Aptos" w:eastAsia="FangSong" w:cs="Aptos"/>
          <w:i w:val="0"/>
          <w:color w:val="000000"/>
          <w:sz w:val="21"/>
        </w:rPr>
        <w:t>用户当前在 Webull 执行交易。系统应优先验证 Webull OpenAPI 能否满足实时决策字段，但不能假设桌面端/应用内已购买的行情权限自动传递给 OpenAPI。OpenAPI 的非展示订阅、账户权限和 options/futures 模块状态需按账户实际响应确认。</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360"/>
      </w:tblGrid>
      <w:tr>
        <w:trPr>
          <w:tblHeader w:val="true"/>
        </w:trPr>
        <w:tc>
          <w:tcPr>
            <w:tcW w:type="dxa" w:w="9360"/>
            <w:tcMar>
              <w:top w:w="90" w:type="dxa"/>
              <w:start w:w="120" w:type="dxa"/>
              <w:bottom w:w="90" w:type="dxa"/>
              <w:end w:w="120" w:type="dxa"/>
            </w:tcMar>
            <w:vAlign w:val="center"/>
            <w:shd w:fill="FAFAFA"/>
          </w:tcPr>
          <w:p>
            <w:pPr>
              <w:spacing w:after="0"/>
            </w:pPr>
            <w:r>
              <w:rPr>
                <w:rFonts w:ascii="Aptos" w:hAnsi="Aptos" w:eastAsia="FangSong" w:cs="Aptos"/>
                <w:b/>
                <w:color w:val="000000"/>
                <w:sz w:val="21"/>
              </w:rPr>
              <w:t xml:space="preserve">首个开发任务  </w:t>
            </w:r>
            <w:r>
              <w:rPr>
                <w:rFonts w:ascii="Aptos" w:hAnsi="Aptos" w:eastAsia="FangSong" w:cs="Aptos"/>
                <w:color w:val="000000"/>
                <w:sz w:val="21"/>
              </w:rPr>
              <w:t>在写模型之前完成 capability probe，并保存一份带时间戳的能力矩阵。只有被实测为实时、字段完整且时间戳可解释的数据，才可进入 Green 级决策。</w:t>
            </w:r>
          </w:p>
        </w:tc>
      </w:tr>
    </w:tbl>
    <w:p>
      <w:pPr>
        <w:spacing w:after="40"/>
        <w:widowControl w:val="1"/>
      </w:pPr>
    </w:p>
    <w:p>
      <w:pPr>
        <w:pStyle w:val="Heading2"/>
        <w:keepNext/>
        <w:widowControl w:val="1"/>
      </w:pPr>
      <w:r>
        <w:rPr>
          <w:rFonts w:ascii="Aptos" w:hAnsi="Aptos" w:eastAsia="FangSong" w:cs="Aptos"/>
          <w:b/>
          <w:color w:val="000000"/>
          <w:sz w:val="26"/>
        </w:rPr>
        <w:t>5.2 Webull 能力探测清单</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50"/>
        <w:gridCol w:w="4400"/>
        <w:gridCol w:w="3210"/>
      </w:tblGrid>
      <w:tr>
        <w:trPr>
          <w:tblHeader w:val="true"/>
        </w:trPr>
        <w:tc>
          <w:tcPr>
            <w:tcW w:type="dxa" w:w="17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探测对象</w:t>
            </w:r>
          </w:p>
        </w:tc>
        <w:tc>
          <w:tcPr>
            <w:tcW w:type="dxa" w:w="44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必须验证的字段</w:t>
            </w:r>
          </w:p>
        </w:tc>
        <w:tc>
          <w:tcPr>
            <w:tcW w:type="dxa" w:w="321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失败后的处理</w:t>
            </w:r>
          </w:p>
        </w:tc>
      </w:tr>
      <w:tr>
        <w:tc>
          <w:tcPr>
            <w:tcW w:type="dxa" w:w="1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明确 ES 合约</w:t>
            </w:r>
          </w:p>
        </w:tc>
        <w:tc>
          <w:tcPr>
            <w:tcW w:type="dxa" w:w="4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ESU6 等具体 ticker；bid/ask/last/size；tick/bar；exchange timestamp</w:t>
            </w:r>
          </w:p>
        </w:tc>
        <w:tc>
          <w:tcPr>
            <w:tcW w:type="dxa" w:w="32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用 Databento/Massive/CME 授权源补齐</w:t>
            </w:r>
          </w:p>
        </w:tc>
      </w:tr>
      <w:tr>
        <w:tc>
          <w:tcPr>
            <w:tcW w:type="dxa" w:w="1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SPX 指数</w:t>
            </w:r>
          </w:p>
        </w:tc>
        <w:tc>
          <w:tcPr>
            <w:tcW w:type="dxa" w:w="4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实时 level、时间戳、是否 delayed</w:t>
            </w:r>
          </w:p>
        </w:tc>
        <w:tc>
          <w:tcPr>
            <w:tcW w:type="dxa" w:w="32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使用 Massive/Cboe 指数源；否则只输出 implied SPX</w:t>
            </w:r>
          </w:p>
        </w:tc>
      </w:tr>
      <w:tr>
        <w:tc>
          <w:tcPr>
            <w:tcW w:type="dxa" w:w="1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VIX / VIX1D</w:t>
            </w:r>
          </w:p>
        </w:tc>
        <w:tc>
          <w:tcPr>
            <w:tcW w:type="dxa" w:w="4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实时值、时间戳、交易时段</w:t>
            </w:r>
          </w:p>
        </w:tc>
        <w:tc>
          <w:tcPr>
            <w:tcW w:type="dxa" w:w="32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补充 Cboe/Massive；缺失降低置信度</w:t>
            </w:r>
          </w:p>
        </w:tc>
      </w:tr>
      <w:tr>
        <w:tc>
          <w:tcPr>
            <w:tcW w:type="dxa" w:w="1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当日 SPXW 链</w:t>
            </w:r>
          </w:p>
        </w:tc>
        <w:tc>
          <w:tcPr>
            <w:tcW w:type="dxa" w:w="4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全链或 ±3σ；bid/ask/size/volume/OI/IV/Greeks</w:t>
            </w:r>
          </w:p>
        </w:tc>
        <w:tc>
          <w:tcPr>
            <w:tcW w:type="dxa" w:w="32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补充 OPRA/Databento/Massive/Cboe</w:t>
            </w:r>
          </w:p>
        </w:tc>
      </w:tr>
      <w:tr>
        <w:tc>
          <w:tcPr>
            <w:tcW w:type="dxa" w:w="1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历史 SPXW</w:t>
            </w:r>
          </w:p>
        </w:tc>
        <w:tc>
          <w:tcPr>
            <w:tcW w:type="dxa" w:w="4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过期期权、分钟 NBBO/size/volume</w:t>
            </w:r>
          </w:p>
        </w:tc>
        <w:tc>
          <w:tcPr>
            <w:tcW w:type="dxa" w:w="32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Cboe DataShop 或 Databento 历史</w:t>
            </w:r>
          </w:p>
        </w:tc>
      </w:tr>
      <w:tr>
        <w:tc>
          <w:tcPr>
            <w:tcW w:type="dxa" w:w="1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延迟与授权</w:t>
            </w:r>
          </w:p>
        </w:tc>
        <w:tc>
          <w:tcPr>
            <w:tcW w:type="dxa" w:w="4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entitlement、is_delayed、quote_age</w:t>
            </w:r>
          </w:p>
        </w:tc>
        <w:tc>
          <w:tcPr>
            <w:tcW w:type="dxa" w:w="32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无法确认则 Amber/Red，不给可执行腿位</w:t>
            </w:r>
          </w:p>
        </w:tc>
      </w:tr>
    </w:tbl>
    <w:p>
      <w:pPr>
        <w:spacing w:after="40"/>
        <w:widowControl w:val="1"/>
      </w:pPr>
    </w:p>
    <w:p>
      <w:pPr>
        <w:pStyle w:val="Heading2"/>
        <w:keepNext/>
        <w:widowControl w:val="1"/>
      </w:pPr>
      <w:r>
        <w:rPr>
          <w:rFonts w:ascii="Aptos" w:hAnsi="Aptos" w:eastAsia="FangSong" w:cs="Aptos"/>
          <w:b/>
          <w:color w:val="000000"/>
          <w:sz w:val="26"/>
        </w:rPr>
        <w:t>5.3 推荐数据组合</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4700"/>
        <w:gridCol w:w="2960"/>
      </w:tblGrid>
      <w:tr>
        <w:trPr>
          <w:tblHeader w:val="true"/>
        </w:trPr>
        <w:tc>
          <w:tcPr>
            <w:tcW w:type="dxa" w:w="17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阶段</w:t>
            </w:r>
          </w:p>
        </w:tc>
        <w:tc>
          <w:tcPr>
            <w:tcW w:type="dxa" w:w="47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行情组合</w:t>
            </w:r>
          </w:p>
        </w:tc>
        <w:tc>
          <w:tcPr>
            <w:tcW w:type="dxa" w:w="29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Webull 角色</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MVP</w:t>
            </w:r>
          </w:p>
        </w:tc>
        <w:tc>
          <w:tcPr>
            <w:tcW w:type="dxa" w:w="4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Webull OpenAPI 实时（经验证）+ Databento/Massive 历史补齐 + 官方事件日历</w:t>
            </w:r>
          </w:p>
        </w:tc>
        <w:tc>
          <w:tcPr>
            <w:tcW w:type="dxa" w:w="29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人工执行与可能的实时主源</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正式研究</w:t>
            </w:r>
          </w:p>
        </w:tc>
        <w:tc>
          <w:tcPr>
            <w:tcW w:type="dxa" w:w="4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Databento GLBX.MDP3 + OPRA.PILLAR；Massive/Cboe 指数；CME/Cboe 历史</w:t>
            </w:r>
          </w:p>
        </w:tc>
        <w:tc>
          <w:tcPr>
            <w:tcW w:type="dxa" w:w="29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人工执行、订单与成交记录对账</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正式生产</w:t>
            </w:r>
          </w:p>
        </w:tc>
        <w:tc>
          <w:tcPr>
            <w:tcW w:type="dxa" w:w="4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双源关键行情、授权 consensus/actual、许可新闻流、故障切换</w:t>
            </w:r>
          </w:p>
        </w:tc>
        <w:tc>
          <w:tcPr>
            <w:tcW w:type="dxa" w:w="29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执行端；自动下单仍需单独授权与风控项目</w:t>
            </w:r>
          </w:p>
        </w:tc>
      </w:tr>
    </w:tbl>
    <w:p>
      <w:pPr>
        <w:spacing w:after="40"/>
        <w:widowControl w:val="1"/>
      </w:pPr>
    </w:p>
    <w:p>
      <w:pPr>
        <w:pStyle w:val="Heading2"/>
        <w:keepNext/>
        <w:widowControl w:val="1"/>
      </w:pPr>
      <w:r>
        <w:rPr>
          <w:rFonts w:ascii="Aptos" w:hAnsi="Aptos" w:eastAsia="FangSong" w:cs="Aptos"/>
          <w:b/>
          <w:color w:val="000000"/>
          <w:sz w:val="26"/>
        </w:rPr>
        <w:t>5.4 历史与实时数据的使用边界</w:t>
      </w:r>
    </w:p>
    <w:p>
      <w:pPr>
        <w:numPr>
          <w:ilvl w:val="0"/>
          <w:numId w:val="10"/>
        </w:numPr>
        <w:widowControl w:val="1"/>
      </w:pPr>
      <w:r>
        <w:rPr>
          <w:rFonts w:ascii="Aptos" w:hAnsi="Aptos" w:eastAsia="FangSong" w:cs="Aptos"/>
          <w:color w:val="000000"/>
          <w:sz w:val="21"/>
        </w:rPr>
        <w:t>网页抓取只能用于研究核对，不能进入可执行简报。</w:t>
      </w:r>
    </w:p>
    <w:p>
      <w:pPr>
        <w:numPr>
          <w:ilvl w:val="0"/>
          <w:numId w:val="10"/>
        </w:numPr>
        <w:widowControl w:val="1"/>
      </w:pPr>
      <w:r>
        <w:rPr>
          <w:rFonts w:ascii="Aptos" w:hAnsi="Aptos" w:eastAsia="FangSong" w:cs="Aptos"/>
          <w:color w:val="000000"/>
          <w:sz w:val="21"/>
        </w:rPr>
        <w:t>免费延迟 CME 页面不能替代实时 ES feed；页面本身通常注明延迟。</w:t>
      </w:r>
    </w:p>
    <w:p>
      <w:pPr>
        <w:numPr>
          <w:ilvl w:val="0"/>
          <w:numId w:val="10"/>
        </w:numPr>
        <w:widowControl w:val="1"/>
      </w:pPr>
      <w:r>
        <w:rPr>
          <w:rFonts w:ascii="Aptos" w:hAnsi="Aptos" w:eastAsia="FangSong" w:cs="Aptos"/>
          <w:color w:val="000000"/>
          <w:sz w:val="21"/>
        </w:rPr>
        <w:t>历史回测必须保存当时可见的 NBBO、quote_age 和事件 consensus 快照，不能用收盘后修订值。</w:t>
      </w:r>
    </w:p>
    <w:p>
      <w:pPr>
        <w:numPr>
          <w:ilvl w:val="0"/>
          <w:numId w:val="10"/>
        </w:numPr>
        <w:widowControl w:val="1"/>
      </w:pPr>
      <w:r>
        <w:rPr>
          <w:rFonts w:ascii="Aptos" w:hAnsi="Aptos" w:eastAsia="FangSong" w:cs="Aptos"/>
          <w:color w:val="000000"/>
          <w:sz w:val="21"/>
        </w:rPr>
        <w:t>若用统一供应商，必须核实套餐是否同时包含 CME、指数和 OPRA，且满足非展示/衍生数据许可。</w:t>
      </w:r>
    </w:p>
    <w:p>
      <w:pPr>
        <w:pStyle w:val="Heading1"/>
        <w:keepNext/>
        <w:pageBreakBefore/>
        <w:widowControl w:val="1"/>
      </w:pPr>
      <w:r>
        <w:rPr>
          <w:rFonts w:ascii="Aptos" w:hAnsi="Aptos" w:eastAsia="FangSong" w:cs="Aptos"/>
          <w:b/>
          <w:color w:val="000000"/>
          <w:sz w:val="32"/>
        </w:rPr>
        <w:t>6. 时间、合约、交易时段与换月规则</w:t>
      </w:r>
    </w:p>
    <w:p>
      <w:pPr>
        <w:pStyle w:val="Heading2"/>
        <w:keepNext/>
        <w:widowControl w:val="1"/>
      </w:pPr>
      <w:r>
        <w:rPr>
          <w:rFonts w:ascii="Aptos" w:hAnsi="Aptos" w:eastAsia="FangSong" w:cs="Aptos"/>
          <w:b/>
          <w:color w:val="000000"/>
          <w:sz w:val="26"/>
        </w:rPr>
        <w:t>6.1 时间标准</w:t>
      </w:r>
    </w:p>
    <w:p>
      <w:pPr>
        <w:numPr>
          <w:ilvl w:val="0"/>
          <w:numId w:val="10"/>
        </w:numPr>
        <w:widowControl w:val="1"/>
      </w:pPr>
      <w:r>
        <w:rPr>
          <w:rFonts w:ascii="Aptos" w:hAnsi="Aptos" w:eastAsia="FangSong" w:cs="Aptos"/>
          <w:color w:val="000000"/>
          <w:sz w:val="21"/>
        </w:rPr>
        <w:t>数据库内部统一 UTC；所有用户展示与业务规则使用 America/New_York，并自动处理 DST。</w:t>
      </w:r>
    </w:p>
    <w:p>
      <w:pPr>
        <w:numPr>
          <w:ilvl w:val="0"/>
          <w:numId w:val="10"/>
        </w:numPr>
        <w:widowControl w:val="1"/>
      </w:pPr>
      <w:r>
        <w:rPr>
          <w:rFonts w:ascii="Aptos" w:hAnsi="Aptos" w:eastAsia="FangSong" w:cs="Aptos"/>
          <w:color w:val="000000"/>
          <w:sz w:val="21"/>
        </w:rPr>
        <w:t>每条行情同时保存 source_ts、received_ts 和 latency_ms。</w:t>
      </w:r>
    </w:p>
    <w:p>
      <w:pPr>
        <w:numPr>
          <w:ilvl w:val="0"/>
          <w:numId w:val="10"/>
        </w:numPr>
        <w:widowControl w:val="1"/>
      </w:pPr>
      <w:r>
        <w:rPr>
          <w:rFonts w:ascii="Aptos" w:hAnsi="Aptos" w:eastAsia="FangSong" w:cs="Aptos"/>
          <w:color w:val="000000"/>
          <w:sz w:val="21"/>
        </w:rPr>
        <w:t>CME Globex session_id 与现金 RTH trade_date 分开存储。</w:t>
      </w:r>
    </w:p>
    <w:p>
      <w:pPr>
        <w:numPr>
          <w:ilvl w:val="0"/>
          <w:numId w:val="10"/>
        </w:numPr>
        <w:widowControl w:val="1"/>
      </w:pPr>
      <w:r>
        <w:rPr>
          <w:rFonts w:ascii="Aptos" w:hAnsi="Aptos" w:eastAsia="FangSong" w:cs="Aptos"/>
          <w:color w:val="000000"/>
          <w:sz w:val="21"/>
        </w:rPr>
        <w:t>overnight 固定定义为前一交易日 18:00 ET 至当日 09:29:59 ET；17:00-18:00 维护窗口单独标记。</w:t>
      </w:r>
    </w:p>
    <w:p>
      <w:pPr>
        <w:numPr>
          <w:ilvl w:val="0"/>
          <w:numId w:val="10"/>
        </w:numPr>
        <w:widowControl w:val="1"/>
      </w:pPr>
      <w:r>
        <w:rPr>
          <w:rFonts w:ascii="Aptos" w:hAnsi="Aptos" w:eastAsia="FangSong" w:cs="Aptos"/>
          <w:color w:val="000000"/>
          <w:sz w:val="21"/>
        </w:rPr>
        <w:t>若 08:30 有事件，事件前与事件后 overnight 高低点必须拆分，防止事件后极值污染事件前状态。</w:t>
      </w:r>
    </w:p>
    <w:p>
      <w:pPr>
        <w:pStyle w:val="Heading2"/>
        <w:keepNext/>
        <w:widowControl w:val="1"/>
      </w:pPr>
      <w:r>
        <w:rPr>
          <w:rFonts w:ascii="Aptos" w:hAnsi="Aptos" w:eastAsia="FangSong" w:cs="Aptos"/>
          <w:b/>
          <w:color w:val="000000"/>
          <w:sz w:val="26"/>
        </w:rPr>
        <w:t>6.2 锚点与运行时点</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100"/>
        <w:gridCol w:w="7260"/>
      </w:tblGrid>
      <w:tr>
        <w:trPr>
          <w:tblHeader w:val="true"/>
        </w:trPr>
        <w:tc>
          <w:tcPr>
            <w:tcW w:type="dxa" w:w="21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8"/>
              </w:rPr>
              <w:t>时间（ET）</w:t>
            </w:r>
          </w:p>
        </w:tc>
        <w:tc>
          <w:tcPr>
            <w:tcW w:type="dxa" w:w="72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8"/>
              </w:rPr>
              <w:t>任务</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16:00</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冻结 SPX 官方收盘与同一 ES 合约同步锚点</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16:05</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结算/收盘对账、期权 EOD 快照、质量报告</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18:05</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建立新 Globex session 基线</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07:00</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隔夜与未来事件初筛</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09:15</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候选区间与数据完整性检查</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09:27</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最终隐含开盘坐标与盘前状态</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09:35</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现金开盘初步确认；仍可能等待</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09:45</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无重大事件日的主建仓简报窗口</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事件后</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8"/>
              </w:rPr>
              <w:t>按 T+2 / T+5 / T+15 与稳定门触发重跑</w:t>
            </w:r>
          </w:p>
        </w:tc>
      </w:tr>
    </w:tbl>
    <w:p>
      <w:pPr>
        <w:spacing w:after="40"/>
        <w:widowControl w:val="1"/>
      </w:pPr>
    </w:p>
    <w:p>
      <w:pPr>
        <w:pStyle w:val="Heading2"/>
        <w:keepNext/>
        <w:widowControl w:val="1"/>
      </w:pPr>
      <w:r>
        <w:rPr>
          <w:rFonts w:ascii="Aptos" w:hAnsi="Aptos" w:eastAsia="FangSong" w:cs="Aptos"/>
          <w:b/>
          <w:color w:val="000000"/>
          <w:sz w:val="26"/>
        </w:rPr>
        <w:t>6.3 换月</w:t>
      </w:r>
    </w:p>
    <w:p>
      <w:pPr>
        <w:widowControl w:val="1"/>
      </w:pPr>
      <w:r>
        <w:rPr>
          <w:rFonts w:ascii="Aptos" w:hAnsi="Aptos" w:eastAsia="FangSong" w:cs="Aptos"/>
          <w:i w:val="0"/>
          <w:color w:val="000000"/>
          <w:sz w:val="21"/>
        </w:rPr>
        <w:t>实时与模型输入始终使用明确月份合约。到期前约 10 个交易日同时采集 front/next；切换规则必须预先固定并版本化。可选规则为“次月成交量连续两个交易时段高于近月”或“到期前固定 8 个交易日”。</w:t>
      </w:r>
    </w:p>
    <w:p>
      <w:pPr>
        <w:widowControl w:val="1"/>
      </w:pPr>
      <w:r>
        <w:rPr>
          <w:rFonts w:ascii="Aptos" w:hAnsi="Aptos" w:eastAsia="FangSong" w:cs="Aptos"/>
          <w:i w:val="0"/>
          <w:color w:val="000000"/>
          <w:sz w:val="21"/>
        </w:rPr>
        <w:t>切换日必须重新建立 16:00 同步基差。连续后复权序列仅用于长期研究，不能用于当天坐标或隔夜涨跌。若系统检测到合约 root 未变但 expiry 改变，必须把该次变动标为 roll event，禁止进入普通收益特征。</w:t>
      </w:r>
    </w:p>
    <w:p>
      <w:pPr>
        <w:pStyle w:val="Heading1"/>
        <w:keepNext/>
        <w:pageBreakBefore/>
        <w:widowControl w:val="1"/>
      </w:pPr>
      <w:r>
        <w:rPr>
          <w:rFonts w:ascii="Aptos" w:hAnsi="Aptos" w:eastAsia="FangSong" w:cs="Aptos"/>
          <w:b/>
          <w:color w:val="000000"/>
          <w:sz w:val="32"/>
        </w:rPr>
        <w:t>7. 数据模型与质量门</w:t>
      </w:r>
    </w:p>
    <w:p>
      <w:pPr>
        <w:pStyle w:val="Heading2"/>
        <w:keepNext/>
        <w:widowControl w:val="1"/>
      </w:pPr>
      <w:r>
        <w:rPr>
          <w:rFonts w:ascii="Aptos" w:hAnsi="Aptos" w:eastAsia="FangSong" w:cs="Aptos"/>
          <w:b/>
          <w:color w:val="000000"/>
          <w:sz w:val="26"/>
        </w:rPr>
        <w:t>7.1 核心实体</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00"/>
        <w:gridCol w:w="7160"/>
      </w:tblGrid>
      <w:tr>
        <w:trPr>
          <w:tblHeader w:val="true"/>
        </w:trPr>
        <w:tc>
          <w:tcPr>
            <w:tcW w:type="dxa" w:w="22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实体</w:t>
            </w:r>
          </w:p>
        </w:tc>
        <w:tc>
          <w:tcPr>
            <w:tcW w:type="dxa" w:w="71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关键字段</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instrument_master</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symbol_id, venue, asset_class, root, expiry, multiplier, tick_size, timezone</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futures_contract</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contract_id, expiry, first/last trade, front/next, volume/OI, roll_rule_version</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quote / bar</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event_ts, receive_ts, bid/ask/last/sizes, OHLCV, settlement, session_id, quality</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option_snapshot</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expiry, strike, C/P, bid/ask/sizes, volume/OI, IV, delta/gamma/theta/vega, quote_age</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macro_event</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tier, scheduled_ts, actual_ts, period, actual/consensus/prior/revised, surprise_z, source</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daily_features</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basis, overnight, gap, VIX state, ATM expected move, skew, breadth, event regime</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model_registry</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model_id, model_name, asset_scope, strategy_scope, input_contract, output_contract, version, status</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decision_run</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run_ts, trigger, snapshot_id, model_id/version, completeness, stale_fields, action/reason</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recommendation</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center, strikes, distances, probabilities, credit, max_loss, EV, invalidation</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outcome</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actual H/L/C, touch/cross, max MTM loss, realized P&amp;L, label_quality</w:t>
            </w:r>
          </w:p>
        </w:tc>
      </w:tr>
    </w:tbl>
    <w:p>
      <w:pPr>
        <w:spacing w:after="40"/>
        <w:widowControl w:val="1"/>
      </w:pPr>
    </w:p>
    <w:p>
      <w:pPr>
        <w:pStyle w:val="Heading2"/>
        <w:keepNext/>
        <w:widowControl w:val="1"/>
      </w:pPr>
      <w:r>
        <w:rPr>
          <w:rFonts w:ascii="Aptos" w:hAnsi="Aptos" w:eastAsia="FangSong" w:cs="Aptos"/>
          <w:b/>
          <w:color w:val="000000"/>
          <w:sz w:val="26"/>
        </w:rPr>
        <w:t>7.2 行情通用字段</w:t>
      </w:r>
    </w:p>
    <w:p>
      <w:pPr>
        <w:widowControl w:val="1"/>
      </w:pPr>
      <w:r>
        <w:rPr>
          <w:rFonts w:ascii="Aptos" w:hAnsi="Aptos" w:eastAsia="FangSong" w:cs="Aptos"/>
          <w:i w:val="0"/>
          <w:color w:val="000000"/>
          <w:sz w:val="21"/>
        </w:rPr>
        <w:t>每条可参与实盘计算的记录都必须携带：source_ts、received_ts、latency_ms、source、entitlement、is_delayed、quality_flag、instrument_id、session_id、trade_date。缺失 source_ts 的记录不能进入 Green。</w:t>
      </w:r>
    </w:p>
    <w:p>
      <w:pPr>
        <w:pStyle w:val="Heading2"/>
        <w:keepNext/>
        <w:widowControl w:val="1"/>
      </w:pPr>
      <w:r>
        <w:rPr>
          <w:rFonts w:ascii="Aptos" w:hAnsi="Aptos" w:eastAsia="FangSong" w:cs="Aptos"/>
          <w:b/>
          <w:color w:val="000000"/>
          <w:sz w:val="26"/>
        </w:rPr>
        <w:t>7.3 数据质量硬门</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4650"/>
        <w:gridCol w:w="3010"/>
      </w:tblGrid>
      <w:tr>
        <w:trPr>
          <w:tblHeader w:val="true"/>
        </w:trPr>
        <w:tc>
          <w:tcPr>
            <w:tcW w:type="dxa" w:w="17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检查</w:t>
            </w:r>
          </w:p>
        </w:tc>
        <w:tc>
          <w:tcPr>
            <w:tcW w:type="dxa" w:w="46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建议阈值/规则</w:t>
            </w:r>
          </w:p>
        </w:tc>
        <w:tc>
          <w:tcPr>
            <w:tcW w:type="dxa" w:w="301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失败动作</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新鲜度</w:t>
            </w:r>
          </w:p>
        </w:tc>
        <w:tc>
          <w:tcPr>
            <w:tcW w:type="dxa" w:w="46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ES ≤ 2 秒；SPX/VIX ≤ 3 秒；期权链 ≤ 5 秒</w:t>
            </w:r>
          </w:p>
        </w:tc>
        <w:tc>
          <w:tcPr>
            <w:tcW w:type="dxa" w:w="30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Amber 或 Red</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盘口</w:t>
            </w:r>
          </w:p>
        </w:tc>
        <w:tc>
          <w:tcPr>
            <w:tcW w:type="dxa" w:w="46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bid ≤ ask；价格非负；spread_pct 合理；至少一侧 size 可用</w:t>
            </w:r>
          </w:p>
        </w:tc>
        <w:tc>
          <w:tcPr>
            <w:tcW w:type="dxa" w:w="30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剔除执行价或阻断</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合约</w:t>
            </w:r>
          </w:p>
        </w:tc>
        <w:tc>
          <w:tcPr>
            <w:tcW w:type="dxa" w:w="46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anchor 与 current expiry 完全一致</w:t>
            </w:r>
          </w:p>
        </w:tc>
        <w:tc>
          <w:tcPr>
            <w:tcW w:type="dxa" w:w="30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Red</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基差异常</w:t>
            </w:r>
          </w:p>
        </w:tc>
        <w:tc>
          <w:tcPr>
            <w:tcW w:type="dxa" w:w="46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滚动 median/MAD 超限或发生未标记 roll</w:t>
            </w:r>
          </w:p>
        </w:tc>
        <w:tc>
          <w:tcPr>
            <w:tcW w:type="dxa" w:w="30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Red</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期权链</w:t>
            </w:r>
          </w:p>
        </w:tc>
        <w:tc>
          <w:tcPr>
            <w:tcW w:type="dxa" w:w="46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strike 覆盖中心 ±3σ；put-call parity/单调性/IV 合理</w:t>
            </w:r>
          </w:p>
        </w:tc>
        <w:tc>
          <w:tcPr>
            <w:tcW w:type="dxa" w:w="30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Amber；不输出信用</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事件数据</w:t>
            </w:r>
          </w:p>
        </w:tc>
        <w:tc>
          <w:tcPr>
            <w:tcW w:type="dxa" w:w="46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actual 与 period 匹配；revision 单列；consensus 有冻结时间</w:t>
            </w:r>
          </w:p>
        </w:tc>
        <w:tc>
          <w:tcPr>
            <w:tcW w:type="dxa" w:w="30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事件窗口 No Trade</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双源核对</w:t>
            </w:r>
          </w:p>
        </w:tc>
        <w:tc>
          <w:tcPr>
            <w:tcW w:type="dxa" w:w="46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关键时点 ES 容差约 1 tick-0.5 点；SPX 约 1 点</w:t>
            </w:r>
          </w:p>
        </w:tc>
        <w:tc>
          <w:tcPr>
            <w:tcW w:type="dxa" w:w="30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阻断并报警</w:t>
            </w:r>
          </w:p>
        </w:tc>
      </w:tr>
    </w:tbl>
    <w:p>
      <w:pPr>
        <w:spacing w:after="40"/>
        <w:widowControl w:val="1"/>
      </w:pPr>
    </w:p>
    <w:p>
      <w:pPr>
        <w:pStyle w:val="Heading2"/>
        <w:keepNext/>
        <w:widowControl w:val="1"/>
      </w:pPr>
      <w:r>
        <w:rPr>
          <w:rFonts w:ascii="Aptos" w:hAnsi="Aptos" w:eastAsia="FangSong" w:cs="Aptos"/>
          <w:b/>
          <w:color w:val="000000"/>
          <w:sz w:val="26"/>
        </w:rPr>
        <w:t>7.4 质量状态</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00"/>
        <w:gridCol w:w="4550"/>
        <w:gridCol w:w="3410"/>
      </w:tblGrid>
      <w:tr>
        <w:trPr>
          <w:tblHeader w:val="true"/>
        </w:trPr>
        <w:tc>
          <w:tcPr>
            <w:tcW w:type="dxa" w:w="14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状态</w:t>
            </w:r>
          </w:p>
        </w:tc>
        <w:tc>
          <w:tcPr>
            <w:tcW w:type="dxa" w:w="45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条件</w:t>
            </w:r>
          </w:p>
        </w:tc>
        <w:tc>
          <w:tcPr>
            <w:tcW w:type="dxa" w:w="341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允许输出</w:t>
            </w:r>
          </w:p>
        </w:tc>
      </w:tr>
      <w:tr>
        <w:tc>
          <w:tcPr>
            <w:tcW w:type="dxa" w:w="1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Green</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实时完整；事件、ES、SPX、链均通过</w:t>
            </w:r>
          </w:p>
        </w:tc>
        <w:tc>
          <w:tcPr>
            <w:tcW w:type="dxa" w:w="34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明确腿位、信用、风险和建仓窗口</w:t>
            </w:r>
          </w:p>
        </w:tc>
      </w:tr>
      <w:tr>
        <w:tc>
          <w:tcPr>
            <w:tcW w:type="dxa" w:w="1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Amber</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非关键字段缺失；如 breadth 或期权链部分失效</w:t>
            </w:r>
          </w:p>
        </w:tc>
        <w:tc>
          <w:tcPr>
            <w:tcW w:type="dxa" w:w="34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仅风险区间或候选腿；不能伪造信用</w:t>
            </w:r>
          </w:p>
        </w:tc>
      </w:tr>
      <w:tr>
        <w:tc>
          <w:tcPr>
            <w:tcW w:type="dxa" w:w="14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Red</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ES 延迟/失效、合约错配、关键事件 actual 未知、严重时间戳异常</w:t>
            </w:r>
          </w:p>
        </w:tc>
        <w:tc>
          <w:tcPr>
            <w:tcW w:type="dxa" w:w="34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No Trade；只显示故障原因</w:t>
            </w:r>
          </w:p>
        </w:tc>
      </w:tr>
    </w:tbl>
    <w:p>
      <w:pPr>
        <w:spacing w:after="40"/>
        <w:widowControl w:val="1"/>
      </w:pPr>
    </w:p>
    <w:p>
      <w:pPr>
        <w:pStyle w:val="Heading1"/>
        <w:keepNext/>
        <w:pageBreakBefore/>
        <w:widowControl w:val="1"/>
      </w:pPr>
      <w:r>
        <w:rPr>
          <w:rFonts w:ascii="Aptos" w:hAnsi="Aptos" w:eastAsia="FangSong" w:cs="Aptos"/>
          <w:b/>
          <w:color w:val="000000"/>
          <w:sz w:val="32"/>
        </w:rPr>
        <w:t>8. 特征工程与盘面状态识别</w:t>
      </w:r>
    </w:p>
    <w:p>
      <w:pPr>
        <w:pStyle w:val="Heading2"/>
        <w:keepNext/>
        <w:widowControl w:val="1"/>
      </w:pPr>
      <w:r>
        <w:rPr>
          <w:rFonts w:ascii="Aptos" w:hAnsi="Aptos" w:eastAsia="FangSong" w:cs="Aptos"/>
          <w:b/>
          <w:color w:val="000000"/>
          <w:sz w:val="26"/>
        </w:rPr>
        <w:t>8.1 隔夜与缺口</w:t>
      </w:r>
    </w:p>
    <w:p>
      <w:pPr>
        <w:spacing w:before="100" w:after="160"/>
        <w:jc w:val="center"/>
        <w:widowControl w:val="1"/>
      </w:pPr>
      <w:r>
        <w:rPr>
          <w:rFonts w:ascii="Cambria Math" w:hAnsi="Cambria Math" w:eastAsia="FangSong" w:cs="Cambria Math"/>
          <w:b/>
          <w:color w:val="000000"/>
          <w:sz w:val="22"/>
        </w:rPr>
        <w:t>GapZ = (Ō − SPX_prev_close) / ATM_expected_move_prev</w:t>
      </w:r>
    </w:p>
    <w:p>
      <w:pPr>
        <w:numPr>
          <w:ilvl w:val="0"/>
          <w:numId w:val="10"/>
        </w:numPr>
        <w:widowControl w:val="1"/>
      </w:pPr>
      <w:r>
        <w:rPr>
          <w:rFonts w:ascii="Aptos" w:hAnsi="Aptos" w:eastAsia="FangSong" w:cs="Aptos"/>
          <w:color w:val="000000"/>
          <w:sz w:val="21"/>
        </w:rPr>
        <w:t>implied open、前收、隔夜 O/H/L/C、range、location = (ES_pre − low)/(high − low)。</w:t>
      </w:r>
    </w:p>
    <w:p>
      <w:pPr>
        <w:numPr>
          <w:ilvl w:val="0"/>
          <w:numId w:val="10"/>
        </w:numPr>
        <w:widowControl w:val="1"/>
      </w:pPr>
      <w:r>
        <w:rPr>
          <w:rFonts w:ascii="Aptos" w:hAnsi="Aptos" w:eastAsia="FangSong" w:cs="Aptos"/>
          <w:color w:val="000000"/>
          <w:sz w:val="21"/>
        </w:rPr>
        <w:t>5/15/60 分钟动量、实现波动、成交量、Asia/Europe/post-event 分段。</w:t>
      </w:r>
    </w:p>
    <w:p>
      <w:pPr>
        <w:numPr>
          <w:ilvl w:val="0"/>
          <w:numId w:val="10"/>
        </w:numPr>
        <w:widowControl w:val="1"/>
      </w:pPr>
      <w:r>
        <w:rPr>
          <w:rFonts w:ascii="Aptos" w:hAnsi="Aptos" w:eastAsia="FangSong" w:cs="Aptos"/>
          <w:color w:val="000000"/>
          <w:sz w:val="21"/>
        </w:rPr>
        <w:t>前一日 SPXW ATM straddle expected move 与盘前 0DTE GTH 链（仅在深度合格时使用）。</w:t>
      </w:r>
    </w:p>
    <w:p>
      <w:pPr>
        <w:numPr>
          <w:ilvl w:val="0"/>
          <w:numId w:val="10"/>
        </w:numPr>
        <w:widowControl w:val="1"/>
      </w:pPr>
      <w:r>
        <w:rPr>
          <w:rFonts w:ascii="Aptos" w:hAnsi="Aptos" w:eastAsia="FangSong" w:cs="Aptos"/>
          <w:color w:val="000000"/>
          <w:sz w:val="21"/>
        </w:rPr>
        <w:t>基差水平、剩余到期天数、合约 roll proximity。</w:t>
      </w:r>
    </w:p>
    <w:p>
      <w:pPr>
        <w:pStyle w:val="Heading2"/>
        <w:keepNext/>
        <w:widowControl w:val="1"/>
      </w:pPr>
      <w:r>
        <w:rPr>
          <w:rFonts w:ascii="Aptos" w:hAnsi="Aptos" w:eastAsia="FangSong" w:cs="Aptos"/>
          <w:b/>
          <w:color w:val="000000"/>
          <w:sz w:val="26"/>
        </w:rPr>
        <w:t>8.2 缺口接受/拒绝</w:t>
      </w:r>
    </w:p>
    <w:p>
      <w:pPr>
        <w:widowControl w:val="1"/>
      </w:pPr>
      <w:r>
        <w:rPr>
          <w:rFonts w:ascii="Aptos" w:hAnsi="Aptos" w:eastAsia="FangSong" w:cs="Aptos"/>
          <w:i w:val="0"/>
          <w:color w:val="000000"/>
          <w:sz w:val="21"/>
        </w:rPr>
        <w:t>现金开盘后，系统以 actual open、VWAP、5/10/15 分钟 opening range、gap-fill ratio、overnight high/low、真实 RTH breadth 判断缺口是否被接受。盘前只能使用 breadth_proxy_preopen，禁止与 breadth_rth 混用。</w:t>
      </w:r>
    </w:p>
    <w:p>
      <w:pPr>
        <w:spacing w:before="100" w:after="160"/>
        <w:jc w:val="center"/>
        <w:widowControl w:val="1"/>
      </w:pPr>
      <w:r>
        <w:rPr>
          <w:rFonts w:ascii="Cambria Math" w:hAnsi="Cambria Math" w:eastAsia="FangSong" w:cs="Cambria Math"/>
          <w:b/>
          <w:color w:val="000000"/>
          <w:sz w:val="22"/>
        </w:rPr>
        <w:t>Acceptance_t = sign(gap) × (SPX_t − Open) / ExpectedMove</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00"/>
        <w:gridCol w:w="4550"/>
        <w:gridCol w:w="2910"/>
      </w:tblGrid>
      <w:tr>
        <w:trPr>
          <w:tblHeader w:val="true"/>
        </w:trPr>
        <w:tc>
          <w:tcPr>
            <w:tcW w:type="dxa" w:w="19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状态</w:t>
            </w:r>
          </w:p>
        </w:tc>
        <w:tc>
          <w:tcPr>
            <w:tcW w:type="dxa" w:w="45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典型证据</w:t>
            </w:r>
          </w:p>
        </w:tc>
        <w:tc>
          <w:tcPr>
            <w:tcW w:type="dxa" w:w="291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腿位倾向</w:t>
            </w:r>
          </w:p>
        </w:tc>
      </w:tr>
      <w:tr>
        <w:tc>
          <w:tcPr>
            <w:tcW w:type="dxa" w:w="19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Gap Up Accepted</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在开盘/VWAP 上方；接近 overnight high；宽度确认</w:t>
            </w:r>
          </w:p>
        </w:tc>
        <w:tc>
          <w:tcPr>
            <w:tcW w:type="dxa" w:w="29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Call 更远；Put 可相对靠近</w:t>
            </w:r>
          </w:p>
        </w:tc>
      </w:tr>
      <w:tr>
        <w:tc>
          <w:tcPr>
            <w:tcW w:type="dxa" w:w="19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Gap Up Rejected</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跌回开盘/VWAP 下方；远离 overnight high</w:t>
            </w:r>
          </w:p>
        </w:tc>
        <w:tc>
          <w:tcPr>
            <w:tcW w:type="dxa" w:w="29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Put 更远；Call 可相对靠近</w:t>
            </w:r>
          </w:p>
        </w:tc>
      </w:tr>
      <w:tr>
        <w:tc>
          <w:tcPr>
            <w:tcW w:type="dxa" w:w="19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Gap Down Accepted</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在开盘/VWAP 下方；接近 overnight low；宽度确认</w:t>
            </w:r>
          </w:p>
        </w:tc>
        <w:tc>
          <w:tcPr>
            <w:tcW w:type="dxa" w:w="29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Put 更远；Call 可相对靠近</w:t>
            </w:r>
          </w:p>
        </w:tc>
      </w:tr>
      <w:tr>
        <w:tc>
          <w:tcPr>
            <w:tcW w:type="dxa" w:w="19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Gap Down Rejected</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重回开盘/VWAP 上方；远离 overnight low</w:t>
            </w:r>
          </w:p>
        </w:tc>
        <w:tc>
          <w:tcPr>
            <w:tcW w:type="dxa" w:w="29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Call 更远；Put 可相对靠近</w:t>
            </w:r>
          </w:p>
        </w:tc>
      </w:tr>
      <w:tr>
        <w:tc>
          <w:tcPr>
            <w:tcW w:type="dxa" w:w="19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Range Expanding</w:t>
            </w:r>
          </w:p>
        </w:tc>
        <w:tc>
          <w:tcPr>
            <w:tcW w:type="dxa" w:w="45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opening/event range 持续扩张；跨资产冲突</w:t>
            </w:r>
          </w:p>
        </w:tc>
        <w:tc>
          <w:tcPr>
            <w:tcW w:type="dxa" w:w="29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等待；双侧扩大或 No Trade</w:t>
            </w:r>
          </w:p>
        </w:tc>
      </w:tr>
    </w:tbl>
    <w:p>
      <w:pPr>
        <w:spacing w:after="40"/>
        <w:widowControl w:val="1"/>
      </w:pPr>
    </w:p>
    <w:p>
      <w:pPr>
        <w:pStyle w:val="Heading2"/>
        <w:keepNext/>
        <w:widowControl w:val="1"/>
      </w:pPr>
      <w:r>
        <w:rPr>
          <w:rFonts w:ascii="Aptos" w:hAnsi="Aptos" w:eastAsia="FangSong" w:cs="Aptos"/>
          <w:b/>
          <w:color w:val="000000"/>
          <w:sz w:val="26"/>
        </w:rPr>
        <w:t>8.3 波动、期权与横截面</w:t>
      </w:r>
    </w:p>
    <w:p>
      <w:pPr>
        <w:numPr>
          <w:ilvl w:val="0"/>
          <w:numId w:val="10"/>
        </w:numPr>
        <w:widowControl w:val="1"/>
      </w:pPr>
      <w:r>
        <w:rPr>
          <w:rFonts w:ascii="Aptos" w:hAnsi="Aptos" w:eastAsia="FangSong" w:cs="Aptos"/>
          <w:color w:val="000000"/>
          <w:sz w:val="21"/>
        </w:rPr>
        <w:t>SPXW 0DTE ATM straddle、put/call skew、IV、Greeks；candidate delta 仅作特征，不能直接等同穿越概率。</w:t>
      </w:r>
    </w:p>
    <w:p>
      <w:pPr>
        <w:numPr>
          <w:ilvl w:val="0"/>
          <w:numId w:val="10"/>
        </w:numPr>
        <w:widowControl w:val="1"/>
      </w:pPr>
      <w:r>
        <w:rPr>
          <w:rFonts w:ascii="Aptos" w:hAnsi="Aptos" w:eastAsia="FangSong" w:cs="Aptos"/>
          <w:color w:val="000000"/>
          <w:sz w:val="21"/>
        </w:rPr>
        <w:t>VIX、VIX1D，以及可选的 VIX9D/VVIX；期限结构和变化速度。</w:t>
      </w:r>
    </w:p>
    <w:p>
      <w:pPr>
        <w:numPr>
          <w:ilvl w:val="0"/>
          <w:numId w:val="10"/>
        </w:numPr>
        <w:widowControl w:val="1"/>
      </w:pPr>
      <w:r>
        <w:rPr>
          <w:rFonts w:ascii="Aptos" w:hAnsi="Aptos" w:eastAsia="FangSong" w:cs="Aptos"/>
          <w:color w:val="000000"/>
          <w:sz w:val="21"/>
        </w:rPr>
        <w:t>剩余时间、同时间段实现波动、前一日 range、事件后 1/5/15 分钟区间。</w:t>
      </w:r>
    </w:p>
    <w:p>
      <w:pPr>
        <w:numPr>
          <w:ilvl w:val="0"/>
          <w:numId w:val="10"/>
        </w:numPr>
        <w:widowControl w:val="1"/>
      </w:pPr>
      <w:r>
        <w:rPr>
          <w:rFonts w:ascii="Aptos" w:hAnsi="Aptos" w:eastAsia="FangSong" w:cs="Aptos"/>
          <w:color w:val="000000"/>
          <w:sz w:val="21"/>
        </w:rPr>
        <w:t>9:30 后使用真实上涨家数、等权/权重扩散、% above VWAP、Top10 贡献；盘前只用 proxy。</w:t>
      </w:r>
    </w:p>
    <w:p>
      <w:pPr>
        <w:numPr>
          <w:ilvl w:val="0"/>
          <w:numId w:val="10"/>
        </w:numPr>
        <w:widowControl w:val="1"/>
      </w:pPr>
      <w:r>
        <w:rPr>
          <w:rFonts w:ascii="Aptos" w:hAnsi="Aptos" w:eastAsia="FangSong" w:cs="Aptos"/>
          <w:color w:val="000000"/>
          <w:sz w:val="21"/>
        </w:rPr>
        <w:t>NQ/RTY 相对 ES、2Y/10Y、DXY，用于识别增长/通胀主导和反应一致性。</w:t>
      </w:r>
    </w:p>
    <w:p>
      <w:pPr>
        <w:pStyle w:val="Heading1"/>
        <w:keepNext/>
        <w:pageBreakBefore/>
        <w:widowControl w:val="1"/>
      </w:pPr>
      <w:r>
        <w:rPr>
          <w:rFonts w:ascii="Aptos" w:hAnsi="Aptos" w:eastAsia="FangSong" w:cs="Aptos"/>
          <w:b/>
          <w:color w:val="000000"/>
          <w:sz w:val="32"/>
        </w:rPr>
        <w:t>9. 事件引擎与事件后重跑</w:t>
      </w:r>
    </w:p>
    <w:p>
      <w:pPr>
        <w:pStyle w:val="Heading2"/>
        <w:keepNext/>
        <w:widowControl w:val="1"/>
      </w:pPr>
      <w:r>
        <w:rPr>
          <w:rFonts w:ascii="Aptos" w:hAnsi="Aptos" w:eastAsia="FangSong" w:cs="Aptos"/>
          <w:b/>
          <w:color w:val="000000"/>
          <w:sz w:val="26"/>
        </w:rPr>
        <w:t>9.1 事件分级</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100"/>
        <w:gridCol w:w="5150"/>
        <w:gridCol w:w="3110"/>
      </w:tblGrid>
      <w:tr>
        <w:trPr>
          <w:tblHeader w:val="true"/>
        </w:trPr>
        <w:tc>
          <w:tcPr>
            <w:tcW w:type="dxa" w:w="11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6"/>
              </w:rPr>
              <w:t>级别</w:t>
            </w:r>
          </w:p>
        </w:tc>
        <w:tc>
          <w:tcPr>
            <w:tcW w:type="dxa" w:w="51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6"/>
              </w:rPr>
              <w:t>事件</w:t>
            </w:r>
          </w:p>
        </w:tc>
        <w:tc>
          <w:tcPr>
            <w:tcW w:type="dxa" w:w="311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6"/>
              </w:rPr>
              <w:t>默认处理</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P0</w:t>
            </w:r>
          </w:p>
        </w:tc>
        <w:tc>
          <w:tcPr>
            <w:tcW w:type="dxa" w:w="51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CPI、NFP、FOMC/SEP/记者会、核心 PCE、重大 Powell/Jackson Hole、严重突发；高权重财报聚合 ≥5%</w:t>
            </w:r>
          </w:p>
        </w:tc>
        <w:tc>
          <w:tcPr>
            <w:tcW w:type="dxa" w:w="31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0DTE 默认 No Trade 或 Q99；必须事件后稳定确认</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P1</w:t>
            </w:r>
          </w:p>
        </w:tc>
        <w:tc>
          <w:tcPr>
            <w:tcW w:type="dxa" w:w="51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PPI、零售、ISM、GDP 初值、JOLTS、重要 Fed 讲话、季度融资、10Y/30Y 拍卖、单一超大权重财报、OPEX/再平衡</w:t>
            </w:r>
          </w:p>
        </w:tc>
        <w:tc>
          <w:tcPr>
            <w:tcW w:type="dxa" w:w="31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事件前禁开；事件后重跑；通常 Q97.5</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P2</w:t>
            </w:r>
          </w:p>
        </w:tc>
        <w:tc>
          <w:tcPr>
            <w:tcW w:type="dxa" w:w="51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初请、GDP 修订、3Y 拍卖、常规 Fed 官员、次级数据</w:t>
            </w:r>
          </w:p>
        </w:tc>
        <w:tc>
          <w:tcPr>
            <w:tcW w:type="dxa" w:w="31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纳入缓冲；市场反应大则自动升级</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结构事件</w:t>
            </w:r>
          </w:p>
        </w:tc>
        <w:tc>
          <w:tcPr>
            <w:tcW w:type="dxa" w:w="51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月/季到期、月末、指数再平衡、半日市</w:t>
            </w:r>
          </w:p>
        </w:tc>
        <w:tc>
          <w:tcPr>
            <w:tcW w:type="dxa" w:w="31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不是方向信号；提高尾部/流动性状态</w:t>
            </w:r>
          </w:p>
        </w:tc>
      </w:tr>
    </w:tbl>
    <w:p>
      <w:pPr>
        <w:spacing w:after="40"/>
        <w:widowControl w:val="1"/>
      </w:pPr>
    </w:p>
    <w:p>
      <w:pPr>
        <w:pStyle w:val="Heading2"/>
        <w:keepNext/>
        <w:widowControl w:val="1"/>
      </w:pPr>
      <w:r>
        <w:rPr>
          <w:rFonts w:ascii="Aptos" w:hAnsi="Aptos" w:eastAsia="FangSong" w:cs="Aptos"/>
          <w:b/>
          <w:color w:val="000000"/>
          <w:sz w:val="26"/>
        </w:rPr>
        <w:t>9.2 事件数据来源与 surprise</w:t>
      </w:r>
    </w:p>
    <w:p>
      <w:pPr>
        <w:widowControl w:val="1"/>
      </w:pPr>
      <w:r>
        <w:rPr>
          <w:rFonts w:ascii="Aptos" w:hAnsi="Aptos" w:eastAsia="FangSong" w:cs="Aptos"/>
          <w:i w:val="0"/>
          <w:color w:val="000000"/>
          <w:sz w:val="21"/>
        </w:rPr>
        <w:t>官方日历负责日期、时间、actual 和修订；市场 consensus 必须来自授权供应商，并在发布前 5 分钟冻结。没有可靠 consensus 时，不计算 surprise，只按真实市场反应分类。</w:t>
      </w:r>
    </w:p>
    <w:p>
      <w:pPr>
        <w:spacing w:before="100" w:after="160"/>
        <w:jc w:val="center"/>
        <w:widowControl w:val="1"/>
      </w:pPr>
      <w:r>
        <w:rPr>
          <w:rFonts w:ascii="Cambria Math" w:hAnsi="Cambria Math" w:eastAsia="FangSong" w:cs="Cambria Math"/>
          <w:b/>
          <w:color w:val="000000"/>
          <w:sz w:val="22"/>
        </w:rPr>
        <w:t>z_j = (actual_j − consensus_j) / historical_std(surprise_j)</w:t>
      </w:r>
    </w:p>
    <w:p>
      <w:pPr>
        <w:widowControl w:val="1"/>
      </w:pPr>
      <w:r>
        <w:rPr>
          <w:rFonts w:ascii="Aptos" w:hAnsi="Aptos" w:eastAsia="FangSong" w:cs="Aptos"/>
          <w:i w:val="0"/>
          <w:color w:val="000000"/>
          <w:sz w:val="21"/>
        </w:rPr>
        <w:t>每个事件是多字段向量：CPI 包括 headline/core MoM/YoY 与修订；NFP 包括 payroll、unemployment、wages 与前值修订；FOMC 分为利率声明、SEP 和记者会阶段。Composite Surprise 的权重按各分项对 ES 前 5 分钟反应的滚动敏感度估计。</w:t>
      </w:r>
    </w:p>
    <w:p>
      <w:pPr>
        <w:pStyle w:val="Heading2"/>
        <w:keepNext/>
        <w:widowControl w:val="1"/>
      </w:pPr>
      <w:r>
        <w:rPr>
          <w:rFonts w:ascii="Aptos" w:hAnsi="Aptos" w:eastAsia="FangSong" w:cs="Aptos"/>
          <w:b/>
          <w:color w:val="000000"/>
          <w:sz w:val="26"/>
        </w:rPr>
        <w:t>9.3 事件运行规则</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00"/>
        <w:gridCol w:w="7160"/>
      </w:tblGrid>
      <w:tr>
        <w:trPr>
          <w:tblHeader w:val="true"/>
        </w:trPr>
        <w:tc>
          <w:tcPr>
            <w:tcW w:type="dxa" w:w="22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6"/>
              </w:rPr>
              <w:t>窗口</w:t>
            </w:r>
          </w:p>
        </w:tc>
        <w:tc>
          <w:tcPr>
            <w:tcW w:type="dxa" w:w="71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6"/>
              </w:rPr>
              <w:t>规则</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08:30 数据</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08:15 仅情景；发布前禁开；T+30s 冲击；T+2/T+5 重算；T+15 候选；09:35-09:45 现金确认</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10:00 数据</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事件前不建仓；10:05 provisional；10:15 final；未稳定则每 5 分钟重跑并保持 No Trade</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13:00 10Y/30Y 拍卖</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12:50-13:10 禁开；抓 tail/stop-through、bid-to-cover、indirect/direct；13:10/13:20 重跑</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14:00/14:30 FOMC</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0DTE 默认 No Trade；声明与记者会分阶段；通常不在记者会后新开</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Fed 讲话</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开始前 15 分钟至问答结束后至少 15 分钟禁开</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OPEX/再平衡</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提高尾部分位；避免 14:30 后新开；收盘流量不解释为基本面方向</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突发事件</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6"/>
              </w:rPr>
              <w:t>立即 Risk Lock；确认新闻后至少等待 15 分钟，稳定门通过才解锁</w:t>
            </w:r>
          </w:p>
        </w:tc>
      </w:tr>
    </w:tbl>
    <w:p>
      <w:pPr>
        <w:spacing w:after="40"/>
        <w:widowControl w:val="1"/>
      </w:pPr>
    </w:p>
    <w:p>
      <w:pPr>
        <w:pStyle w:val="Heading2"/>
        <w:keepNext/>
        <w:widowControl w:val="1"/>
      </w:pPr>
      <w:r>
        <w:rPr>
          <w:rFonts w:ascii="Aptos" w:hAnsi="Aptos" w:eastAsia="FangSong" w:cs="Aptos"/>
          <w:b/>
          <w:color w:val="000000"/>
          <w:sz w:val="26"/>
        </w:rPr>
        <w:t>9.4 Event-cleared 稳定门</w:t>
      </w:r>
    </w:p>
    <w:p>
      <w:pPr>
        <w:numPr>
          <w:ilvl w:val="0"/>
          <w:numId w:val="10"/>
        </w:numPr>
        <w:widowControl w:val="1"/>
      </w:pPr>
      <w:r>
        <w:rPr>
          <w:rFonts w:ascii="Aptos" w:hAnsi="Aptos" w:eastAsia="FangSong" w:cs="Aptos"/>
          <w:color w:val="000000"/>
          <w:sz w:val="21"/>
        </w:rPr>
        <w:t>官方 actual 已收到，period 与 revision 正确；行情与期权链新鲜。</w:t>
      </w:r>
    </w:p>
    <w:p>
      <w:pPr>
        <w:numPr>
          <w:ilvl w:val="0"/>
          <w:numId w:val="10"/>
        </w:numPr>
        <w:widowControl w:val="1"/>
      </w:pPr>
      <w:r>
        <w:rPr>
          <w:rFonts w:ascii="Aptos" w:hAnsi="Aptos" w:eastAsia="FangSong" w:cs="Aptos"/>
          <w:color w:val="000000"/>
          <w:sz w:val="21"/>
        </w:rPr>
        <w:t>ES 最近 3 根 1 分钟 K 不再扩大事件后高低区间，1 分钟绝对收益回到同时间段正常区间。</w:t>
      </w:r>
    </w:p>
    <w:p>
      <w:pPr>
        <w:numPr>
          <w:ilvl w:val="0"/>
          <w:numId w:val="10"/>
        </w:numPr>
        <w:widowControl w:val="1"/>
      </w:pPr>
      <w:r>
        <w:rPr>
          <w:rFonts w:ascii="Aptos" w:hAnsi="Aptos" w:eastAsia="FangSong" w:cs="Aptos"/>
          <w:color w:val="000000"/>
          <w:sz w:val="21"/>
        </w:rPr>
        <w:t>2Y 收益率最近 3 分钟变化收敛；VIX 最近 5 分钟不再创新极值且变化速度下降。</w:t>
      </w:r>
    </w:p>
    <w:p>
      <w:pPr>
        <w:numPr>
          <w:ilvl w:val="0"/>
          <w:numId w:val="10"/>
        </w:numPr>
        <w:widowControl w:val="1"/>
      </w:pPr>
      <w:r>
        <w:rPr>
          <w:rFonts w:ascii="Aptos" w:hAnsi="Aptos" w:eastAsia="FangSong" w:cs="Aptos"/>
          <w:color w:val="000000"/>
          <w:sz w:val="21"/>
        </w:rPr>
        <w:t>ES 盘口、成交量、SPXW spread 与 quote_age 恢复正常。</w:t>
      </w:r>
    </w:p>
    <w:p>
      <w:pPr>
        <w:numPr>
          <w:ilvl w:val="0"/>
          <w:numId w:val="10"/>
        </w:numPr>
        <w:widowControl w:val="1"/>
      </w:pPr>
      <w:r>
        <w:rPr>
          <w:rFonts w:ascii="Aptos" w:hAnsi="Aptos" w:eastAsia="FangSong" w:cs="Aptos"/>
          <w:color w:val="000000"/>
          <w:sz w:val="21"/>
        </w:rPr>
        <w:t>ES、VIX、2Y 的反应不存在明显冲突；否则视为尚未完成定价。</w:t>
      </w:r>
    </w:p>
    <w:p>
      <w:pPr>
        <w:numPr>
          <w:ilvl w:val="0"/>
          <w:numId w:val="10"/>
        </w:numPr>
        <w:widowControl w:val="1"/>
      </w:pPr>
      <w:r>
        <w:rPr>
          <w:rFonts w:ascii="Aptos" w:hAnsi="Aptos" w:eastAsia="FangSong" w:cs="Aptos"/>
          <w:color w:val="000000"/>
          <w:sz w:val="21"/>
        </w:rPr>
        <w:t>持有期内没有下一项 P0/P1 事件。</w:t>
      </w:r>
    </w:p>
    <w:p>
      <w:pPr>
        <w:pStyle w:val="Heading2"/>
        <w:keepNext/>
        <w:widowControl w:val="1"/>
      </w:pPr>
      <w:r>
        <w:rPr>
          <w:rFonts w:ascii="Aptos" w:hAnsi="Aptos" w:eastAsia="FangSong" w:cs="Aptos"/>
          <w:b/>
          <w:color w:val="000000"/>
          <w:sz w:val="26"/>
        </w:rPr>
        <w:t>9.5 突发事件</w:t>
      </w:r>
    </w:p>
    <w:p>
      <w:pPr>
        <w:widowControl w:val="1"/>
      </w:pPr>
      <w:r>
        <w:rPr>
          <w:rFonts w:ascii="Aptos" w:hAnsi="Aptos" w:eastAsia="FangSong" w:cs="Aptos"/>
          <w:i w:val="0"/>
          <w:color w:val="000000"/>
          <w:sz w:val="21"/>
        </w:rPr>
        <w:t>正式版需要许可实时新闻 API。MVP 即使尚未识别标题，也必须通过 ES/VIX 在“无已知事件”时的异常跳变阈值进入 unscheduled_shock 并暂停建仓。自动解锁必须依赖稳定门，而不是仅依赖固定等待时间。</w:t>
      </w:r>
    </w:p>
    <w:p>
      <w:pPr>
        <w:pStyle w:val="Heading1"/>
        <w:keepNext/>
        <w:pageBreakBefore/>
        <w:widowControl w:val="1"/>
      </w:pPr>
      <w:r>
        <w:rPr>
          <w:rFonts w:ascii="Aptos" w:hAnsi="Aptos" w:eastAsia="FangSong" w:cs="Aptos"/>
          <w:b/>
          <w:color w:val="000000"/>
          <w:sz w:val="32"/>
        </w:rPr>
        <w:t>10. 尾部风险模型、联合校准与执行价选择</w:t>
      </w:r>
    </w:p>
    <w:p>
      <w:pPr>
        <w:pStyle w:val="Heading2"/>
        <w:keepNext/>
        <w:widowControl w:val="1"/>
      </w:pPr>
      <w:r>
        <w:rPr>
          <w:rFonts w:ascii="Aptos" w:hAnsi="Aptos" w:eastAsia="FangSong" w:cs="Aptos"/>
          <w:b/>
          <w:color w:val="000000"/>
          <w:sz w:val="26"/>
        </w:rPr>
        <w:t>10.1 分阶段模型</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50"/>
        <w:gridCol w:w="5050"/>
        <w:gridCol w:w="2860"/>
      </w:tblGrid>
      <w:tr>
        <w:trPr>
          <w:tblHeader w:val="true"/>
        </w:trPr>
        <w:tc>
          <w:tcPr>
            <w:tcW w:type="dxa" w:w="14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阶段</w:t>
            </w:r>
          </w:p>
        </w:tc>
        <w:tc>
          <w:tcPr>
            <w:tcW w:type="dxa" w:w="50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方法</w:t>
            </w:r>
          </w:p>
        </w:tc>
        <w:tc>
          <w:tcPr>
            <w:tcW w:type="dxa" w:w="28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目的</w:t>
            </w:r>
          </w:p>
        </w:tc>
      </w:tr>
      <w:tr>
        <w:tc>
          <w:tcPr>
            <w:tcW w:type="dxa" w:w="14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基线</w:t>
            </w:r>
          </w:p>
        </w:tc>
        <w:tc>
          <w:tcPr>
            <w:tcW w:type="dxa" w:w="50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按剩余时间、事件状态、波动桶、GapZ、接受/拒绝分组的收缩经验分位数</w:t>
            </w:r>
          </w:p>
        </w:tc>
        <w:tc>
          <w:tcPr>
            <w:tcW w:type="dxa" w:w="28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建立可解释、可审计基准</w:t>
            </w:r>
          </w:p>
        </w:tc>
      </w:tr>
      <w:tr>
        <w:tc>
          <w:tcPr>
            <w:tcW w:type="dxa" w:w="14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模型</w:t>
            </w:r>
          </w:p>
        </w:tc>
        <w:tc>
          <w:tcPr>
            <w:tcW w:type="dxa" w:w="50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上/下两侧独立的浅层 quantile gradient boosting</w:t>
            </w:r>
          </w:p>
        </w:tc>
        <w:tc>
          <w:tcPr>
            <w:tcW w:type="dxa" w:w="28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学习非线性与非对称尾部</w:t>
            </w:r>
          </w:p>
        </w:tc>
      </w:tr>
      <w:tr>
        <w:tc>
          <w:tcPr>
            <w:tcW w:type="dxa" w:w="14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联合校准</w:t>
            </w:r>
          </w:p>
        </w:tc>
        <w:tc>
          <w:tcPr>
            <w:tcW w:type="dxa" w:w="50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滚动 conformal / residual buffer</w:t>
            </w:r>
          </w:p>
        </w:tc>
        <w:tc>
          <w:tcPr>
            <w:tcW w:type="dxa" w:w="28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校准双侧同时覆盖，而非只看单边</w:t>
            </w:r>
          </w:p>
        </w:tc>
      </w:tr>
      <w:tr>
        <w:tc>
          <w:tcPr>
            <w:tcW w:type="dxa" w:w="14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经济性层</w:t>
            </w:r>
          </w:p>
        </w:tc>
        <w:tc>
          <w:tcPr>
            <w:tcW w:type="dxa" w:w="50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真实期权链、保守成交价、费用、条件期望值</w:t>
            </w:r>
          </w:p>
        </w:tc>
        <w:tc>
          <w:tcPr>
            <w:tcW w:type="dxa" w:w="28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把安全距离转成可执行组合</w:t>
            </w:r>
          </w:p>
        </w:tc>
      </w:tr>
    </w:tbl>
    <w:p>
      <w:pPr>
        <w:spacing w:after="40"/>
        <w:widowControl w:val="1"/>
      </w:pPr>
    </w:p>
    <w:p>
      <w:pPr>
        <w:pStyle w:val="Heading2"/>
        <w:keepNext/>
        <w:widowControl w:val="1"/>
      </w:pPr>
      <w:r>
        <w:rPr>
          <w:rFonts w:ascii="Aptos" w:hAnsi="Aptos" w:eastAsia="FangSong" w:cs="Aptos"/>
          <w:b/>
          <w:color w:val="000000"/>
          <w:sz w:val="26"/>
        </w:rPr>
        <w:t>10.2 联合校准</w:t>
      </w:r>
    </w:p>
    <w:p>
      <w:pPr>
        <w:spacing w:before="100" w:after="160"/>
        <w:jc w:val="center"/>
        <w:widowControl w:val="1"/>
      </w:pPr>
      <w:r>
        <w:rPr>
          <w:rFonts w:ascii="Cambria Math" w:hAnsi="Cambria Math" w:eastAsia="FangSong" w:cs="Cambria Math"/>
          <w:b/>
          <w:color w:val="000000"/>
          <w:sz w:val="22"/>
        </w:rPr>
        <w:t>R_i = max(Y_up,i − Q_up,i,  Y_down,i − Q_down,i)</w:t>
      </w:r>
    </w:p>
    <w:p>
      <w:pPr>
        <w:widowControl w:val="1"/>
      </w:pPr>
      <w:r>
        <w:rPr>
          <w:rFonts w:ascii="Aptos" w:hAnsi="Aptos" w:eastAsia="FangSong" w:cs="Aptos"/>
          <w:i w:val="0"/>
          <w:color w:val="000000"/>
          <w:sz w:val="21"/>
        </w:rPr>
        <w:t>在滚动校准窗口上取 residual 的目标分位数 b，并对两侧区间同时增加 b。这样控制的是“当天任一侧超出预测走廊”的联合风险，而不是把两个单边 95% 错当作联合 95%。</w:t>
      </w:r>
    </w:p>
    <w:p>
      <w:pPr>
        <w:pStyle w:val="Heading2"/>
        <w:keepNext/>
        <w:widowControl w:val="1"/>
      </w:pPr>
      <w:r>
        <w:rPr>
          <w:rFonts w:ascii="Aptos" w:hAnsi="Aptos" w:eastAsia="FangSong" w:cs="Aptos"/>
          <w:b/>
          <w:color w:val="000000"/>
          <w:sz w:val="26"/>
        </w:rPr>
        <w:t>10.3 距离与取整</w:t>
      </w:r>
    </w:p>
    <w:p>
      <w:pPr>
        <w:spacing w:before="100" w:after="160"/>
        <w:jc w:val="center"/>
        <w:widowControl w:val="1"/>
      </w:pPr>
      <w:r>
        <w:rPr>
          <w:rFonts w:ascii="Cambria Math" w:hAnsi="Cambria Math" w:eastAsia="FangSong" w:cs="Cambria Math"/>
          <w:b/>
          <w:color w:val="000000"/>
          <w:sz w:val="22"/>
        </w:rPr>
        <w:t>D_call = max(Q_hist,up, Q_ml,up, Q_joint,up) + Buffer_up</w:t>
      </w:r>
    </w:p>
    <w:p>
      <w:pPr>
        <w:spacing w:before="100" w:after="160"/>
        <w:jc w:val="center"/>
        <w:widowControl w:val="1"/>
      </w:pPr>
      <w:r>
        <w:rPr>
          <w:rFonts w:ascii="Cambria Math" w:hAnsi="Cambria Math" w:eastAsia="FangSong" w:cs="Cambria Math"/>
          <w:b/>
          <w:color w:val="000000"/>
          <w:sz w:val="22"/>
        </w:rPr>
        <w:t>D_put  = max(Q_hist,down, Q_ml,down, Q_joint,down) + Buffer_down</w:t>
      </w:r>
    </w:p>
    <w:p>
      <w:pPr>
        <w:spacing w:before="100" w:after="160"/>
        <w:jc w:val="center"/>
        <w:widowControl w:val="1"/>
      </w:pPr>
      <w:r>
        <w:rPr>
          <w:rFonts w:ascii="Cambria Math" w:hAnsi="Cambria Math" w:eastAsia="FangSong" w:cs="Cambria Math"/>
          <w:b/>
          <w:color w:val="000000"/>
          <w:sz w:val="22"/>
        </w:rPr>
        <w:t>K_call = 5 × ceil[(S_t + D_call) / 5]</w:t>
      </w:r>
    </w:p>
    <w:p>
      <w:pPr>
        <w:spacing w:before="100" w:after="160"/>
        <w:jc w:val="center"/>
        <w:widowControl w:val="1"/>
      </w:pPr>
      <w:r>
        <w:rPr>
          <w:rFonts w:ascii="Cambria Math" w:hAnsi="Cambria Math" w:eastAsia="FangSong" w:cs="Cambria Math"/>
          <w:b/>
          <w:color w:val="000000"/>
          <w:sz w:val="22"/>
        </w:rPr>
        <w:t>K_put  = 5 × floor[(S_t − D_put) / 5]</w:t>
      </w:r>
    </w:p>
    <w:p>
      <w:pPr>
        <w:spacing w:before="100" w:after="160"/>
        <w:jc w:val="center"/>
        <w:widowControl w:val="1"/>
      </w:pPr>
      <w:r>
        <w:rPr>
          <w:rFonts w:ascii="Cambria Math" w:hAnsi="Cambria Math" w:eastAsia="FangSong" w:cs="Cambria Math"/>
          <w:b/>
          <w:color w:val="000000"/>
          <w:sz w:val="22"/>
        </w:rPr>
        <w:t>LongCall = K_call + 5     LongPut = K_put − 5</w:t>
      </w:r>
    </w:p>
    <w:p>
      <w:pPr>
        <w:widowControl w:val="1"/>
      </w:pPr>
      <w:r>
        <w:rPr>
          <w:rFonts w:ascii="Aptos" w:hAnsi="Aptos" w:eastAsia="FangSong" w:cs="Aptos"/>
          <w:i w:val="0"/>
          <w:color w:val="000000"/>
          <w:sz w:val="21"/>
        </w:rPr>
        <w:t>正常日初始使用 Q95；P1 事件清场后使用 Q97.5；P0 使用 Q99 或直接 No Trade。最终分位数与阈值必须由 walk-forward 回测校准，不能把初始值永久硬编码。</w:t>
      </w:r>
    </w:p>
    <w:p>
      <w:pPr>
        <w:pStyle w:val="Heading2"/>
        <w:keepNext/>
        <w:widowControl w:val="1"/>
      </w:pPr>
      <w:r>
        <w:rPr>
          <w:rFonts w:ascii="Aptos" w:hAnsi="Aptos" w:eastAsia="FangSong" w:cs="Aptos"/>
          <w:b/>
          <w:color w:val="000000"/>
          <w:sz w:val="26"/>
        </w:rPr>
        <w:t>10.4 信用、最大损失与期望值</w:t>
      </w:r>
    </w:p>
    <w:p>
      <w:pPr>
        <w:widowControl w:val="1"/>
      </w:pPr>
      <w:r>
        <w:rPr>
          <w:rFonts w:ascii="Aptos" w:hAnsi="Aptos" w:eastAsia="FangSong" w:cs="Aptos"/>
          <w:i w:val="0"/>
          <w:color w:val="000000"/>
          <w:sz w:val="21"/>
        </w:rPr>
        <w:t>候选组合使用保守可执行价：卖出腿按 bid 或基于排队/滑点模型的卖价，买入腿按 ask 或更差；不得用四腿 mid 的理想成交。</w:t>
      </w:r>
    </w:p>
    <w:p>
      <w:pPr>
        <w:spacing w:before="100" w:after="160"/>
        <w:jc w:val="center"/>
        <w:widowControl w:val="1"/>
      </w:pPr>
      <w:r>
        <w:rPr>
          <w:rFonts w:ascii="Cambria Math" w:hAnsi="Cambria Math" w:eastAsia="FangSong" w:cs="Cambria Math"/>
          <w:b/>
          <w:color w:val="000000"/>
          <w:sz w:val="22"/>
        </w:rPr>
        <w:t>MaxLoss = (5 − NetCredit) × 100</w:t>
      </w:r>
    </w:p>
    <w:p>
      <w:pPr>
        <w:widowControl w:val="1"/>
      </w:pPr>
      <w:r>
        <w:rPr>
          <w:rFonts w:ascii="Aptos" w:hAnsi="Aptos" w:eastAsia="FangSong" w:cs="Aptos"/>
          <w:i w:val="0"/>
          <w:color w:val="000000"/>
          <w:sz w:val="21"/>
        </w:rPr>
        <w:t>系统至少计算 fees/slippage 后的条件期望值、CVaR、触及概率、到期穿越概率和最大盯市不利变化。若满足风险区间的最远安全腿仍无足够信用或条件期望值为负，输出 No Trade。</w:t>
      </w:r>
    </w:p>
    <w:p>
      <w:pPr>
        <w:pStyle w:val="Heading2"/>
        <w:keepNext/>
        <w:widowControl w:val="1"/>
      </w:pPr>
      <w:r>
        <w:rPr>
          <w:rFonts w:ascii="Aptos" w:hAnsi="Aptos" w:eastAsia="FangSong" w:cs="Aptos"/>
          <w:b/>
          <w:color w:val="000000"/>
          <w:sz w:val="26"/>
        </w:rPr>
        <w:t>10.5 初始风险约束</w:t>
      </w:r>
    </w:p>
    <w:p>
      <w:pPr>
        <w:numPr>
          <w:ilvl w:val="0"/>
          <w:numId w:val="10"/>
        </w:numPr>
        <w:widowControl w:val="1"/>
      </w:pPr>
      <w:r>
        <w:rPr>
          <w:rFonts w:ascii="Aptos" w:hAnsi="Aptos" w:eastAsia="FangSong" w:cs="Aptos"/>
          <w:color w:val="000000"/>
          <w:sz w:val="21"/>
        </w:rPr>
        <w:t>单侧到期穿越概率目标不高于 5%（分状态校准）。</w:t>
      </w:r>
    </w:p>
    <w:p>
      <w:pPr>
        <w:numPr>
          <w:ilvl w:val="0"/>
          <w:numId w:val="10"/>
        </w:numPr>
        <w:widowControl w:val="1"/>
      </w:pPr>
      <w:r>
        <w:rPr>
          <w:rFonts w:ascii="Aptos" w:hAnsi="Aptos" w:eastAsia="FangSong" w:cs="Aptos"/>
          <w:color w:val="000000"/>
          <w:sz w:val="21"/>
        </w:rPr>
        <w:t>单侧盘中触及概率目标不高于 10%（以使用者是否会因触及管理仓位为准）。</w:t>
      </w:r>
    </w:p>
    <w:p>
      <w:pPr>
        <w:numPr>
          <w:ilvl w:val="0"/>
          <w:numId w:val="10"/>
        </w:numPr>
        <w:widowControl w:val="1"/>
      </w:pPr>
      <w:r>
        <w:rPr>
          <w:rFonts w:ascii="Aptos" w:hAnsi="Aptos" w:eastAsia="FangSong" w:cs="Aptos"/>
          <w:color w:val="000000"/>
          <w:sz w:val="21"/>
        </w:rPr>
        <w:t>联合走廊覆盖率必须在样本外按事件/波动/gap regime 报告。</w:t>
      </w:r>
    </w:p>
    <w:p>
      <w:pPr>
        <w:numPr>
          <w:ilvl w:val="0"/>
          <w:numId w:val="10"/>
        </w:numPr>
        <w:widowControl w:val="1"/>
      </w:pPr>
      <w:r>
        <w:rPr>
          <w:rFonts w:ascii="Aptos" w:hAnsi="Aptos" w:eastAsia="FangSong" w:cs="Aptos"/>
          <w:color w:val="000000"/>
          <w:sz w:val="21"/>
        </w:rPr>
        <w:t>任一候选腿 spread 过宽、无 bid、quote_age 超限或组合信用不可信时，不给精确腿位。</w:t>
      </w:r>
    </w:p>
    <w:p>
      <w:pPr>
        <w:pStyle w:val="Heading1"/>
        <w:keepNext/>
        <w:pageBreakBefore/>
        <w:widowControl w:val="1"/>
      </w:pPr>
      <w:r>
        <w:rPr>
          <w:rFonts w:ascii="Aptos" w:hAnsi="Aptos" w:eastAsia="FangSong" w:cs="Aptos"/>
          <w:b/>
          <w:color w:val="000000"/>
          <w:sz w:val="32"/>
        </w:rPr>
        <w:t>11. 建仓机会与 No Trade 引擎</w:t>
      </w:r>
    </w:p>
    <w:p>
      <w:pPr>
        <w:pStyle w:val="Heading2"/>
        <w:keepNext/>
        <w:widowControl w:val="1"/>
      </w:pPr>
      <w:r>
        <w:rPr>
          <w:rFonts w:ascii="Aptos" w:hAnsi="Aptos" w:eastAsia="FangSong" w:cs="Aptos"/>
          <w:b/>
          <w:color w:val="000000"/>
          <w:sz w:val="26"/>
        </w:rPr>
        <w:t>11.1 可建仓条件</w:t>
      </w:r>
    </w:p>
    <w:p>
      <w:pPr>
        <w:numPr>
          <w:ilvl w:val="0"/>
          <w:numId w:val="10"/>
        </w:numPr>
        <w:widowControl w:val="1"/>
      </w:pPr>
      <w:r>
        <w:rPr>
          <w:rFonts w:ascii="Aptos" w:hAnsi="Aptos" w:eastAsia="FangSong" w:cs="Aptos"/>
          <w:color w:val="000000"/>
          <w:sz w:val="21"/>
        </w:rPr>
        <w:t>data_quality = Green，或允许的 Amber 且不涉及信用/腿位输出。</w:t>
      </w:r>
    </w:p>
    <w:p>
      <w:pPr>
        <w:numPr>
          <w:ilvl w:val="0"/>
          <w:numId w:val="10"/>
        </w:numPr>
        <w:widowControl w:val="1"/>
      </w:pPr>
      <w:r>
        <w:rPr>
          <w:rFonts w:ascii="Aptos" w:hAnsi="Aptos" w:eastAsia="FangSong" w:cs="Aptos"/>
          <w:color w:val="000000"/>
          <w:sz w:val="21"/>
        </w:rPr>
        <w:t>Event-cleared = true；持有期内无下一 P0/P1。</w:t>
      </w:r>
    </w:p>
    <w:p>
      <w:pPr>
        <w:numPr>
          <w:ilvl w:val="0"/>
          <w:numId w:val="10"/>
        </w:numPr>
        <w:widowControl w:val="1"/>
      </w:pPr>
      <w:r>
        <w:rPr>
          <w:rFonts w:ascii="Aptos" w:hAnsi="Aptos" w:eastAsia="FangSong" w:cs="Aptos"/>
          <w:color w:val="000000"/>
          <w:sz w:val="21"/>
        </w:rPr>
        <w:t>上/下尾部分位数连续两次重跑不再显著扩张。</w:t>
      </w:r>
    </w:p>
    <w:p>
      <w:pPr>
        <w:numPr>
          <w:ilvl w:val="0"/>
          <w:numId w:val="10"/>
        </w:numPr>
        <w:widowControl w:val="1"/>
      </w:pPr>
      <w:r>
        <w:rPr>
          <w:rFonts w:ascii="Aptos" w:hAnsi="Aptos" w:eastAsia="FangSong" w:cs="Aptos"/>
          <w:color w:val="000000"/>
          <w:sz w:val="21"/>
        </w:rPr>
        <w:t>ES 5/15 分钟区间收缩；VIX/VIX1D 不再上升；跨资产反应一致。</w:t>
      </w:r>
    </w:p>
    <w:p>
      <w:pPr>
        <w:numPr>
          <w:ilvl w:val="0"/>
          <w:numId w:val="10"/>
        </w:numPr>
        <w:widowControl w:val="1"/>
      </w:pPr>
      <w:r>
        <w:rPr>
          <w:rFonts w:ascii="Aptos" w:hAnsi="Aptos" w:eastAsia="FangSong" w:cs="Aptos"/>
          <w:color w:val="000000"/>
          <w:sz w:val="21"/>
        </w:rPr>
        <w:t>期权隐含剩余波动 / 模型预测剩余实现波动达到候选阈值（MVP 可从 1.20 开始回测）。</w:t>
      </w:r>
    </w:p>
    <w:p>
      <w:pPr>
        <w:numPr>
          <w:ilvl w:val="0"/>
          <w:numId w:val="10"/>
        </w:numPr>
        <w:widowControl w:val="1"/>
      </w:pPr>
      <w:r>
        <w:rPr>
          <w:rFonts w:ascii="Aptos" w:hAnsi="Aptos" w:eastAsia="FangSong" w:cs="Aptos"/>
          <w:color w:val="000000"/>
          <w:sz w:val="21"/>
        </w:rPr>
        <w:t>5 点 wing 的可执行净信用满足费用后期望值与使用者风险预算。</w:t>
      </w:r>
    </w:p>
    <w:p>
      <w:pPr>
        <w:pStyle w:val="Heading2"/>
        <w:keepNext/>
        <w:widowControl w:val="1"/>
      </w:pPr>
      <w:r>
        <w:rPr>
          <w:rFonts w:ascii="Aptos" w:hAnsi="Aptos" w:eastAsia="FangSong" w:cs="Aptos"/>
          <w:b/>
          <w:color w:val="000000"/>
          <w:sz w:val="26"/>
        </w:rPr>
        <w:t>11.2 硬性 No Trade</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00"/>
        <w:gridCol w:w="6660"/>
      </w:tblGrid>
      <w:tr>
        <w:trPr>
          <w:tblHeader w:val="true"/>
        </w:trPr>
        <w:tc>
          <w:tcPr>
            <w:tcW w:type="dxa" w:w="27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原因码</w:t>
            </w:r>
          </w:p>
        </w:tc>
        <w:tc>
          <w:tcPr>
            <w:tcW w:type="dxa" w:w="66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触发</w:t>
            </w:r>
          </w:p>
        </w:tc>
      </w:tr>
      <w:tr>
        <w:tc>
          <w:tcPr>
            <w:tcW w:type="dxa" w:w="2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STALE_MARKET_DATA</w:t>
            </w:r>
          </w:p>
        </w:tc>
        <w:tc>
          <w:tcPr>
            <w:tcW w:type="dxa" w:w="6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关键行情超过新鲜度阈值</w:t>
            </w:r>
          </w:p>
        </w:tc>
      </w:tr>
      <w:tr>
        <w:tc>
          <w:tcPr>
            <w:tcW w:type="dxa" w:w="2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CONTRACT_MISMATCH</w:t>
            </w:r>
          </w:p>
        </w:tc>
        <w:tc>
          <w:tcPr>
            <w:tcW w:type="dxa" w:w="6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ES anchor 与 current 合约不一致或发生未标记 roll</w:t>
            </w:r>
          </w:p>
        </w:tc>
      </w:tr>
      <w:tr>
        <w:tc>
          <w:tcPr>
            <w:tcW w:type="dxa" w:w="2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EVENT_PENDING</w:t>
            </w:r>
          </w:p>
        </w:tc>
        <w:tc>
          <w:tcPr>
            <w:tcW w:type="dxa" w:w="6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P0/P1 尚未发布或事件 reaction 未稳定</w:t>
            </w:r>
          </w:p>
        </w:tc>
      </w:tr>
      <w:tr>
        <w:tc>
          <w:tcPr>
            <w:tcW w:type="dxa" w:w="2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UNSCHEDULED_SHOCK</w:t>
            </w:r>
          </w:p>
        </w:tc>
        <w:tc>
          <w:tcPr>
            <w:tcW w:type="dxa" w:w="6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无已知事件下出现异常跳变/交易中断/新闻冲击</w:t>
            </w:r>
          </w:p>
        </w:tc>
      </w:tr>
      <w:tr>
        <w:tc>
          <w:tcPr>
            <w:tcW w:type="dxa" w:w="2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OPTION_CHAIN_UNUSABLE</w:t>
            </w:r>
          </w:p>
        </w:tc>
        <w:tc>
          <w:tcPr>
            <w:tcW w:type="dxa" w:w="6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链覆盖不足、spread/quote_age 不合格、无可执行信用</w:t>
            </w:r>
          </w:p>
        </w:tc>
      </w:tr>
      <w:tr>
        <w:tc>
          <w:tcPr>
            <w:tcW w:type="dxa" w:w="2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TAIL_EXPANDING</w:t>
            </w:r>
          </w:p>
        </w:tc>
        <w:tc>
          <w:tcPr>
            <w:tcW w:type="dxa" w:w="6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预测尾部或事件区间仍在扩大</w:t>
            </w:r>
          </w:p>
        </w:tc>
      </w:tr>
      <w:tr>
        <w:tc>
          <w:tcPr>
            <w:tcW w:type="dxa" w:w="2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NEXT_EVENT_TOO_CLOSE</w:t>
            </w:r>
          </w:p>
        </w:tc>
        <w:tc>
          <w:tcPr>
            <w:tcW w:type="dxa" w:w="6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下一重大事件落在计划持有期内</w:t>
            </w:r>
          </w:p>
        </w:tc>
      </w:tr>
      <w:tr>
        <w:tc>
          <w:tcPr>
            <w:tcW w:type="dxa" w:w="2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NEGATIVE_EDGE</w:t>
            </w:r>
          </w:p>
        </w:tc>
        <w:tc>
          <w:tcPr>
            <w:tcW w:type="dxa" w:w="6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安全腿的费用后条件期望值不足</w:t>
            </w:r>
          </w:p>
        </w:tc>
      </w:tr>
      <w:tr>
        <w:tc>
          <w:tcPr>
            <w:tcW w:type="dxa" w:w="2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RISK_BUDGET_EXCEEDED</w:t>
            </w:r>
          </w:p>
        </w:tc>
        <w:tc>
          <w:tcPr>
            <w:tcW w:type="dxa" w:w="6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最大损失或 CVaR 超过用户预算</w:t>
            </w:r>
          </w:p>
        </w:tc>
      </w:tr>
    </w:tbl>
    <w:p>
      <w:pPr>
        <w:spacing w:after="40"/>
        <w:widowControl w:val="1"/>
      </w:pPr>
    </w:p>
    <w:p>
      <w:pPr>
        <w:pStyle w:val="Heading2"/>
        <w:keepNext/>
        <w:widowControl w:val="1"/>
      </w:pPr>
      <w:r>
        <w:rPr>
          <w:rFonts w:ascii="Aptos" w:hAnsi="Aptos" w:eastAsia="FangSong" w:cs="Aptos"/>
          <w:b/>
          <w:color w:val="000000"/>
          <w:sz w:val="26"/>
        </w:rPr>
        <w:t>11.3 建仓后的失效条件</w:t>
      </w:r>
    </w:p>
    <w:p>
      <w:pPr>
        <w:widowControl w:val="1"/>
      </w:pPr>
      <w:r>
        <w:rPr>
          <w:rFonts w:ascii="Aptos" w:hAnsi="Aptos" w:eastAsia="FangSong" w:cs="Aptos"/>
          <w:i w:val="0"/>
          <w:color w:val="000000"/>
          <w:sz w:val="21"/>
        </w:rPr>
        <w:t>简报必须同时输出失效条件，例如：SPX 突破校准走廊、event range 再次扩张、VIX/2Y 重新加速、下一突发事件被识别、盘口失真、组合 mark 超过预设风险阈值。首期只发提示，不自动平仓；使用者在 Webull 人工执行。</w:t>
      </w:r>
    </w:p>
    <w:p>
      <w:pPr>
        <w:pStyle w:val="Heading1"/>
        <w:keepNext/>
        <w:pageBreakBefore/>
        <w:widowControl w:val="1"/>
      </w:pPr>
      <w:r>
        <w:rPr>
          <w:rFonts w:ascii="Aptos" w:hAnsi="Aptos" w:eastAsia="FangSong" w:cs="Aptos"/>
          <w:b/>
          <w:color w:val="000000"/>
          <w:sz w:val="32"/>
        </w:rPr>
        <w:t>12. 决策简报与服务接口</w:t>
      </w:r>
    </w:p>
    <w:p>
      <w:pPr>
        <w:widowControl w:val="1"/>
      </w:pPr>
      <w:r>
        <w:rPr>
          <w:rFonts w:ascii="Aptos" w:hAnsi="Aptos" w:eastAsia="FangSong" w:cs="Aptos"/>
          <w:i w:val="0"/>
          <w:color w:val="000000"/>
          <w:sz w:val="21"/>
        </w:rPr>
        <w:t>平台级简报统一称为 MarketPilot Brief；具体模型的核心决策对象使用各自名称。StrikePilot 的腿位结果称为 Strike Map，期货模型未来可输出 Entry Map，跨模型风险结果统一为 Risk Boundary。</w:t>
      </w:r>
    </w:p>
    <w:p>
      <w:pPr>
        <w:pStyle w:val="Heading2"/>
        <w:keepNext/>
        <w:widowControl w:val="1"/>
      </w:pPr>
      <w:r>
        <w:rPr>
          <w:rFonts w:ascii="Aptos" w:hAnsi="Aptos" w:eastAsia="FangSong" w:cs="Aptos"/>
          <w:b/>
          <w:color w:val="000000"/>
          <w:sz w:val="26"/>
        </w:rPr>
        <w:t>12.1 简报最小字段</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00"/>
        <w:gridCol w:w="7560"/>
      </w:tblGrid>
      <w:tr>
        <w:trPr>
          <w:tblHeader w:val="true"/>
        </w:trPr>
        <w:tc>
          <w:tcPr>
            <w:tcW w:type="dxa" w:w="18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区块</w:t>
            </w:r>
          </w:p>
        </w:tc>
        <w:tc>
          <w:tcPr>
            <w:tcW w:type="dxa" w:w="75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字段</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数据状态</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data_asof、quality、stale_fields、exact ES contract、source/latency</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坐标</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SPX current、implied SPX、actual open、prev close、gap points/GapZ</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盘面</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gap acceptance、VWAP/opening range、overnight location、VIX state、breadth</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事件</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current/next event、countdown、actual/consensus、Event-cleared、reaction coherence</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风险</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Q95/Q97.5/Q99 上/下剩余移动、residual buffer、joint coverage</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腿位</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short Put/Call、5-point wings、距 current/open/implied 的距离</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经济性</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conservative credit、max loss、fees、EV、CVaR、spread/quote age</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动作</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Enter/Wait/No Trade、原因、失效条件、下一重跑触发</w:t>
            </w:r>
          </w:p>
        </w:tc>
      </w:tr>
    </w:tbl>
    <w:p>
      <w:pPr>
        <w:spacing w:after="40"/>
        <w:widowControl w:val="1"/>
      </w:pPr>
    </w:p>
    <w:p>
      <w:pPr>
        <w:pStyle w:val="Heading2"/>
        <w:keepNext/>
        <w:widowControl w:val="1"/>
      </w:pPr>
      <w:r>
        <w:rPr>
          <w:rFonts w:ascii="Aptos" w:hAnsi="Aptos" w:eastAsia="FangSong" w:cs="Aptos"/>
          <w:b/>
          <w:color w:val="000000"/>
          <w:sz w:val="26"/>
        </w:rPr>
        <w:t>12.2 概念 API</w:t>
      </w:r>
    </w:p>
    <w:p>
      <w:pPr>
        <w:widowControl w:val="1"/>
      </w:pPr>
      <w:r>
        <w:rPr>
          <w:rFonts w:ascii="Aptos" w:hAnsi="Aptos" w:eastAsia="FangSong" w:cs="Aptos"/>
          <w:i w:val="0"/>
          <w:color w:val="000000"/>
          <w:sz w:val="21"/>
        </w:rPr>
        <w:t>下列是服务边界，不是代码骨架。具体路径可在 Codex 实现阶段调整，但输入输出语义必须稳定：</w:t>
      </w:r>
    </w:p>
    <w:p>
      <w:pPr>
        <w:numPr>
          <w:ilvl w:val="0"/>
          <w:numId w:val="10"/>
        </w:numPr>
        <w:widowControl w:val="1"/>
      </w:pPr>
      <w:r>
        <w:rPr>
          <w:rFonts w:ascii="Aptos" w:hAnsi="Aptos" w:eastAsia="FangSong" w:cs="Aptos"/>
          <w:color w:val="000000"/>
          <w:sz w:val="21"/>
        </w:rPr>
        <w:t>GET /v1/models - 获取可用决策模型、适用资产、版本与输入要求。</w:t>
      </w:r>
    </w:p>
    <w:p>
      <w:pPr>
        <w:numPr>
          <w:ilvl w:val="0"/>
          <w:numId w:val="10"/>
        </w:numPr>
        <w:widowControl w:val="1"/>
      </w:pPr>
      <w:r>
        <w:rPr>
          <w:rFonts w:ascii="Aptos" w:hAnsi="Aptos" w:eastAsia="FangSong" w:cs="Aptos"/>
          <w:color w:val="000000"/>
          <w:sz w:val="21"/>
        </w:rPr>
        <w:t>GET /v1/market/state - 当前坐标、合约、数据质量与盘面状态。</w:t>
      </w:r>
    </w:p>
    <w:p>
      <w:pPr>
        <w:numPr>
          <w:ilvl w:val="0"/>
          <w:numId w:val="10"/>
        </w:numPr>
        <w:widowControl w:val="1"/>
      </w:pPr>
      <w:r>
        <w:rPr>
          <w:rFonts w:ascii="Aptos" w:hAnsi="Aptos" w:eastAsia="FangSong" w:cs="Aptos"/>
          <w:color w:val="000000"/>
          <w:sz w:val="21"/>
        </w:rPr>
        <w:t>GET /v1/events/today - 当日事件、倒计时、actual/consensus、cleared 状态。</w:t>
      </w:r>
    </w:p>
    <w:p>
      <w:pPr>
        <w:numPr>
          <w:ilvl w:val="0"/>
          <w:numId w:val="10"/>
        </w:numPr>
        <w:widowControl w:val="1"/>
      </w:pPr>
      <w:r>
        <w:rPr>
          <w:rFonts w:ascii="Aptos" w:hAnsi="Aptos" w:eastAsia="FangSong" w:cs="Aptos"/>
          <w:color w:val="000000"/>
          <w:sz w:val="21"/>
        </w:rPr>
        <w:t>POST /v1/decision/run - 指定 model_id，以冻结 snapshot 运行模型与决策。</w:t>
      </w:r>
    </w:p>
    <w:p>
      <w:pPr>
        <w:numPr>
          <w:ilvl w:val="0"/>
          <w:numId w:val="10"/>
        </w:numPr>
        <w:widowControl w:val="1"/>
      </w:pPr>
      <w:r>
        <w:rPr>
          <w:rFonts w:ascii="Aptos" w:hAnsi="Aptos" w:eastAsia="FangSong" w:cs="Aptos"/>
          <w:color w:val="000000"/>
          <w:sz w:val="21"/>
        </w:rPr>
        <w:t>GET /v1/decisions/{id} - 获取完整简报与可追溯输入。</w:t>
      </w:r>
    </w:p>
    <w:p>
      <w:pPr>
        <w:numPr>
          <w:ilvl w:val="0"/>
          <w:numId w:val="10"/>
        </w:numPr>
        <w:widowControl w:val="1"/>
      </w:pPr>
      <w:r>
        <w:rPr>
          <w:rFonts w:ascii="Aptos" w:hAnsi="Aptos" w:eastAsia="FangSong" w:cs="Aptos"/>
          <w:color w:val="000000"/>
          <w:sz w:val="21"/>
        </w:rPr>
        <w:t>GET /v1/model/health - 覆盖率、漂移、最近校准和版本。</w:t>
      </w:r>
    </w:p>
    <w:p>
      <w:pPr>
        <w:pStyle w:val="Heading2"/>
        <w:keepNext/>
        <w:pageBreakBefore/>
        <w:widowControl w:val="1"/>
      </w:pPr>
      <w:r>
        <w:rPr>
          <w:rFonts w:ascii="Aptos" w:hAnsi="Aptos" w:eastAsia="FangSong" w:cs="Aptos"/>
          <w:b/>
          <w:color w:val="000000"/>
          <w:sz w:val="26"/>
        </w:rPr>
        <w:t>12.3 推荐结果对象示例</w:t>
      </w:r>
    </w:p>
    <w:p>
      <w:pPr>
        <w:pStyle w:val="CodeBlock"/>
        <w:spacing w:after="0"/>
        <w:widowControl w:val="1"/>
      </w:pPr>
      <w:r>
        <w:rPr>
          <w:rFonts w:ascii="Aptos Mono" w:hAnsi="Aptos Mono" w:eastAsia="FangSong" w:cs="Aptos Mono"/>
          <w:color w:val="000000"/>
          <w:sz w:val="16"/>
        </w:rPr>
        <w:t>{</w:t>
      </w:r>
    </w:p>
    <w:p>
      <w:pPr>
        <w:pStyle w:val="CodeBlock"/>
        <w:spacing w:after="0"/>
        <w:widowControl w:val="1"/>
      </w:pPr>
      <w:r>
        <w:rPr>
          <w:rFonts w:ascii="Aptos Mono" w:hAnsi="Aptos Mono" w:eastAsia="FangSong" w:cs="Aptos Mono"/>
          <w:color w:val="000000"/>
          <w:sz w:val="16"/>
        </w:rPr>
        <w:t xml:space="preserve">  "run_id": "2026-08-17T13:45:00Z__post_event_15m",</w:t>
      </w:r>
    </w:p>
    <w:p>
      <w:pPr>
        <w:pStyle w:val="CodeBlock"/>
        <w:spacing w:after="0"/>
        <w:widowControl w:val="1"/>
      </w:pPr>
      <w:r>
        <w:rPr>
          <w:rFonts w:ascii="Aptos Mono" w:hAnsi="Aptos Mono" w:eastAsia="FangSong" w:cs="Aptos Mono"/>
          <w:color w:val="000000"/>
          <w:sz w:val="16"/>
        </w:rPr>
        <w:t xml:space="preserve">  "platform": "MarketPilot",</w:t>
      </w:r>
    </w:p>
    <w:p>
      <w:pPr>
        <w:pStyle w:val="CodeBlock"/>
        <w:spacing w:after="0"/>
        <w:widowControl w:val="1"/>
      </w:pPr>
      <w:r>
        <w:rPr>
          <w:rFonts w:ascii="Aptos Mono" w:hAnsi="Aptos Mono" w:eastAsia="FangSong" w:cs="Aptos Mono"/>
          <w:color w:val="000000"/>
          <w:sz w:val="16"/>
        </w:rPr>
        <w:t xml:space="preserve">  "model_id": "strikepilot_spxw_0dte_ic",</w:t>
      </w:r>
    </w:p>
    <w:p>
      <w:pPr>
        <w:pStyle w:val="CodeBlock"/>
        <w:spacing w:after="0"/>
        <w:widowControl w:val="1"/>
      </w:pPr>
      <w:r>
        <w:rPr>
          <w:rFonts w:ascii="Aptos Mono" w:hAnsi="Aptos Mono" w:eastAsia="FangSong" w:cs="Aptos Mono"/>
          <w:color w:val="000000"/>
          <w:sz w:val="16"/>
        </w:rPr>
        <w:t xml:space="preserve">  "model_name": "StrikePilot",</w:t>
      </w:r>
    </w:p>
    <w:p>
      <w:pPr>
        <w:pStyle w:val="CodeBlock"/>
        <w:spacing w:after="0"/>
        <w:widowControl w:val="1"/>
      </w:pPr>
      <w:r>
        <w:rPr>
          <w:rFonts w:ascii="Aptos Mono" w:hAnsi="Aptos Mono" w:eastAsia="FangSong" w:cs="Aptos Mono"/>
          <w:color w:val="000000"/>
          <w:sz w:val="16"/>
        </w:rPr>
        <w:t xml:space="preserve">  "decision_type": "STRIKE_MAP",</w:t>
      </w:r>
    </w:p>
    <w:p>
      <w:pPr>
        <w:pStyle w:val="CodeBlock"/>
        <w:spacing w:after="0"/>
        <w:widowControl w:val="1"/>
      </w:pPr>
      <w:r>
        <w:rPr>
          <w:rFonts w:ascii="Aptos Mono" w:hAnsi="Aptos Mono" w:eastAsia="FangSong" w:cs="Aptos Mono"/>
          <w:color w:val="000000"/>
          <w:sz w:val="16"/>
        </w:rPr>
        <w:t xml:space="preserve">  "action": "WAIT",</w:t>
      </w:r>
    </w:p>
    <w:p>
      <w:pPr>
        <w:pStyle w:val="CodeBlock"/>
        <w:spacing w:after="0"/>
        <w:widowControl w:val="1"/>
      </w:pPr>
      <w:r>
        <w:rPr>
          <w:rFonts w:ascii="Aptos Mono" w:hAnsi="Aptos Mono" w:eastAsia="FangSong" w:cs="Aptos Mono"/>
          <w:color w:val="000000"/>
          <w:sz w:val="16"/>
        </w:rPr>
        <w:t xml:space="preserve">  "data_quality": "GREEN",</w:t>
      </w:r>
    </w:p>
    <w:p>
      <w:pPr>
        <w:pStyle w:val="CodeBlock"/>
        <w:spacing w:after="0"/>
        <w:widowControl w:val="1"/>
      </w:pPr>
      <w:r>
        <w:rPr>
          <w:rFonts w:ascii="Aptos Mono" w:hAnsi="Aptos Mono" w:eastAsia="FangSong" w:cs="Aptos Mono"/>
          <w:color w:val="000000"/>
          <w:sz w:val="16"/>
        </w:rPr>
        <w:t xml:space="preserve">  "as_of_et": "2026-08-17 09:45:00",</w:t>
      </w:r>
    </w:p>
    <w:p>
      <w:pPr>
        <w:pStyle w:val="CodeBlock"/>
        <w:spacing w:after="0"/>
        <w:widowControl w:val="1"/>
      </w:pPr>
      <w:r>
        <w:rPr>
          <w:rFonts w:ascii="Aptos Mono" w:hAnsi="Aptos Mono" w:eastAsia="FangSong" w:cs="Aptos Mono"/>
          <w:color w:val="000000"/>
          <w:sz w:val="16"/>
        </w:rPr>
        <w:t xml:space="preserve">  "es_contract": "ESU6",</w:t>
      </w:r>
    </w:p>
    <w:p>
      <w:pPr>
        <w:pStyle w:val="CodeBlock"/>
        <w:spacing w:after="0"/>
        <w:widowControl w:val="1"/>
      </w:pPr>
      <w:r>
        <w:rPr>
          <w:rFonts w:ascii="Aptos Mono" w:hAnsi="Aptos Mono" w:eastAsia="FangSong" w:cs="Aptos Mono"/>
          <w:color w:val="000000"/>
          <w:sz w:val="16"/>
        </w:rPr>
        <w:t xml:space="preserve">  "center": {"spx": 7812.4, "actual_open": 7804.1, "implied_spx": 7811.9},</w:t>
      </w:r>
    </w:p>
    <w:p>
      <w:pPr>
        <w:pStyle w:val="CodeBlock"/>
        <w:spacing w:after="0"/>
        <w:widowControl w:val="1"/>
      </w:pPr>
      <w:r>
        <w:rPr>
          <w:rFonts w:ascii="Aptos Mono" w:hAnsi="Aptos Mono" w:eastAsia="FangSong" w:cs="Aptos Mono"/>
          <w:color w:val="000000"/>
          <w:sz w:val="16"/>
        </w:rPr>
        <w:t xml:space="preserve">  "event": {"tier": "P1", "cleared": true, "next_event_minutes": 135},</w:t>
      </w:r>
    </w:p>
    <w:p>
      <w:pPr>
        <w:pStyle w:val="CodeBlock"/>
        <w:spacing w:after="0"/>
        <w:widowControl w:val="1"/>
      </w:pPr>
      <w:r>
        <w:rPr>
          <w:rFonts w:ascii="Aptos Mono" w:hAnsi="Aptos Mono" w:eastAsia="FangSong" w:cs="Aptos Mono"/>
          <w:color w:val="000000"/>
          <w:sz w:val="16"/>
        </w:rPr>
        <w:t xml:space="preserve">  "tail": {"up_q975": 28.6, "down_q975": 34.2, "joint_buffer": 3.5},</w:t>
      </w:r>
    </w:p>
    <w:p>
      <w:pPr>
        <w:pStyle w:val="CodeBlock"/>
        <w:spacing w:after="0"/>
        <w:widowControl w:val="1"/>
      </w:pPr>
      <w:r>
        <w:rPr>
          <w:rFonts w:ascii="Aptos Mono" w:hAnsi="Aptos Mono" w:eastAsia="FangSong" w:cs="Aptos Mono"/>
          <w:color w:val="000000"/>
          <w:sz w:val="16"/>
        </w:rPr>
        <w:t xml:space="preserve">  "candidate": {"short_put": 7770, "long_put": 7765,</w:t>
      </w:r>
    </w:p>
    <w:p>
      <w:pPr>
        <w:pStyle w:val="CodeBlock"/>
        <w:spacing w:after="0"/>
        <w:widowControl w:val="1"/>
      </w:pPr>
      <w:r>
        <w:rPr>
          <w:rFonts w:ascii="Aptos Mono" w:hAnsi="Aptos Mono" w:eastAsia="FangSong" w:cs="Aptos Mono"/>
          <w:color w:val="000000"/>
          <w:sz w:val="16"/>
        </w:rPr>
        <w:t xml:space="preserve">                "short_call": 7845, "long_call": 7850},</w:t>
      </w:r>
    </w:p>
    <w:p>
      <w:pPr>
        <w:pStyle w:val="CodeBlock"/>
        <w:spacing w:after="0"/>
        <w:widowControl w:val="1"/>
      </w:pPr>
      <w:r>
        <w:rPr>
          <w:rFonts w:ascii="Aptos Mono" w:hAnsi="Aptos Mono" w:eastAsia="FangSong" w:cs="Aptos Mono"/>
          <w:color w:val="000000"/>
          <w:sz w:val="16"/>
        </w:rPr>
        <w:t xml:space="preserve">  "economics": {"net_credit": 0.62, "max_loss": 438, "edge_ok": false},</w:t>
      </w:r>
    </w:p>
    <w:p>
      <w:pPr>
        <w:pStyle w:val="CodeBlock"/>
        <w:spacing w:after="0"/>
        <w:widowControl w:val="1"/>
      </w:pPr>
      <w:r>
        <w:rPr>
          <w:rFonts w:ascii="Aptos Mono" w:hAnsi="Aptos Mono" w:eastAsia="FangSong" w:cs="Aptos Mono"/>
          <w:color w:val="000000"/>
          <w:sz w:val="16"/>
        </w:rPr>
        <w:t xml:space="preserve">  "reason": "NEGATIVE_EDGE",</w:t>
      </w:r>
    </w:p>
    <w:p>
      <w:pPr>
        <w:pStyle w:val="CodeBlock"/>
        <w:spacing w:after="0"/>
        <w:widowControl w:val="1"/>
      </w:pPr>
      <w:r>
        <w:rPr>
          <w:rFonts w:ascii="Aptos Mono" w:hAnsi="Aptos Mono" w:eastAsia="FangSong" w:cs="Aptos Mono"/>
          <w:color w:val="000000"/>
          <w:sz w:val="16"/>
        </w:rPr>
        <w:t xml:space="preserve">  "rerun": "when executable_credit &gt;= 0.75 and tail is not expanding"</w:t>
      </w:r>
    </w:p>
    <w:p>
      <w:pPr>
        <w:pStyle w:val="CodeBlock"/>
        <w:spacing w:after="0"/>
        <w:widowControl w:val="1"/>
      </w:pPr>
      <w:r>
        <w:rPr>
          <w:rFonts w:ascii="Aptos Mono" w:hAnsi="Aptos Mono" w:eastAsia="FangSong" w:cs="Aptos Mono"/>
          <w:color w:val="000000"/>
          <w:sz w:val="16"/>
        </w:rPr>
        <w:t>}</w:t>
      </w:r>
    </w:p>
    <w:p>
      <w:pPr>
        <w:pStyle w:val="Heading1"/>
        <w:keepNext/>
        <w:pageBreakBefore/>
        <w:widowControl w:val="1"/>
      </w:pPr>
      <w:r>
        <w:rPr>
          <w:rFonts w:ascii="Aptos" w:hAnsi="Aptos" w:eastAsia="FangSong" w:cs="Aptos"/>
          <w:b/>
          <w:color w:val="000000"/>
          <w:sz w:val="32"/>
        </w:rPr>
        <w:t>13. 回测、验证与模型验收</w:t>
      </w:r>
    </w:p>
    <w:p>
      <w:pPr>
        <w:pStyle w:val="Heading2"/>
        <w:keepNext/>
        <w:widowControl w:val="1"/>
      </w:pPr>
      <w:r>
        <w:rPr>
          <w:rFonts w:ascii="Aptos" w:hAnsi="Aptos" w:eastAsia="FangSong" w:cs="Aptos"/>
          <w:b/>
          <w:color w:val="000000"/>
          <w:sz w:val="26"/>
        </w:rPr>
        <w:t>13.1 数据切分</w:t>
      </w:r>
    </w:p>
    <w:p>
      <w:pPr>
        <w:numPr>
          <w:ilvl w:val="0"/>
          <w:numId w:val="10"/>
        </w:numPr>
        <w:widowControl w:val="1"/>
      </w:pPr>
      <w:r>
        <w:rPr>
          <w:rFonts w:ascii="Aptos" w:hAnsi="Aptos" w:eastAsia="FangSong" w:cs="Aptos"/>
          <w:color w:val="000000"/>
          <w:sz w:val="21"/>
        </w:rPr>
        <w:t>使用 walk-forward 与 purged time split；同一交易日的全部时点必须位于同一 fold。</w:t>
      </w:r>
    </w:p>
    <w:p>
      <w:pPr>
        <w:numPr>
          <w:ilvl w:val="0"/>
          <w:numId w:val="10"/>
        </w:numPr>
        <w:widowControl w:val="1"/>
      </w:pPr>
      <w:r>
        <w:rPr>
          <w:rFonts w:ascii="Aptos" w:hAnsi="Aptos" w:eastAsia="FangSong" w:cs="Aptos"/>
          <w:color w:val="000000"/>
          <w:sz w:val="21"/>
        </w:rPr>
        <w:t>禁止随机拆分分钟样本，避免同日状态泄漏。</w:t>
      </w:r>
    </w:p>
    <w:p>
      <w:pPr>
        <w:numPr>
          <w:ilvl w:val="0"/>
          <w:numId w:val="10"/>
        </w:numPr>
        <w:widowControl w:val="1"/>
      </w:pPr>
      <w:r>
        <w:rPr>
          <w:rFonts w:ascii="Aptos" w:hAnsi="Aptos" w:eastAsia="FangSong" w:cs="Aptos"/>
          <w:color w:val="000000"/>
          <w:sz w:val="21"/>
        </w:rPr>
        <w:t>主要训练期建议以 2023 年以来为主，因每日 0DTE 市场结构更可比；更早数据用于压力测试。</w:t>
      </w:r>
    </w:p>
    <w:p>
      <w:pPr>
        <w:numPr>
          <w:ilvl w:val="0"/>
          <w:numId w:val="10"/>
        </w:numPr>
        <w:widowControl w:val="1"/>
      </w:pPr>
      <w:r>
        <w:rPr>
          <w:rFonts w:ascii="Aptos" w:hAnsi="Aptos" w:eastAsia="FangSong" w:cs="Aptos"/>
          <w:color w:val="000000"/>
          <w:sz w:val="21"/>
        </w:rPr>
        <w:t>事件 consensus、权重、合约和成分版本必须按当时可见值保存。</w:t>
      </w:r>
    </w:p>
    <w:p>
      <w:pPr>
        <w:pStyle w:val="Heading2"/>
        <w:keepNext/>
        <w:widowControl w:val="1"/>
      </w:pPr>
      <w:r>
        <w:rPr>
          <w:rFonts w:ascii="Aptos" w:hAnsi="Aptos" w:eastAsia="FangSong" w:cs="Aptos"/>
          <w:b/>
          <w:color w:val="000000"/>
          <w:sz w:val="26"/>
        </w:rPr>
        <w:t>13.2 三层验证</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50"/>
        <w:gridCol w:w="4160"/>
        <w:gridCol w:w="3750"/>
      </w:tblGrid>
      <w:tr>
        <w:trPr>
          <w:tblHeader w:val="true"/>
        </w:trPr>
        <w:tc>
          <w:tcPr>
            <w:tcW w:type="dxa" w:w="14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层</w:t>
            </w:r>
          </w:p>
        </w:tc>
        <w:tc>
          <w:tcPr>
            <w:tcW w:type="dxa" w:w="41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问题</w:t>
            </w:r>
          </w:p>
        </w:tc>
        <w:tc>
          <w:tcPr>
            <w:tcW w:type="dxa" w:w="37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指标</w:t>
            </w:r>
          </w:p>
        </w:tc>
      </w:tr>
      <w:tr>
        <w:tc>
          <w:tcPr>
            <w:tcW w:type="dxa" w:w="14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坐标层</w:t>
            </w:r>
          </w:p>
        </w:tc>
        <w:tc>
          <w:tcPr>
            <w:tcW w:type="dxa" w:w="4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SPX-ES 映射是否准确、换月是否无污染</w:t>
            </w:r>
          </w:p>
        </w:tc>
        <w:tc>
          <w:tcPr>
            <w:tcW w:type="dxa" w:w="3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MAE/RMSE/bias、基差异常、roll 周误差</w:t>
            </w:r>
          </w:p>
        </w:tc>
      </w:tr>
      <w:tr>
        <w:tc>
          <w:tcPr>
            <w:tcW w:type="dxa" w:w="14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风险层</w:t>
            </w:r>
          </w:p>
        </w:tc>
        <w:tc>
          <w:tcPr>
            <w:tcW w:type="dxa" w:w="4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上/下分位数和联合走廊是否校准</w:t>
            </w:r>
          </w:p>
        </w:tc>
        <w:tc>
          <w:tcPr>
            <w:tcW w:type="dxa" w:w="3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coverage、pinball loss、PIT/分桶、tail residual</w:t>
            </w:r>
          </w:p>
        </w:tc>
      </w:tr>
      <w:tr>
        <w:tc>
          <w:tcPr>
            <w:tcW w:type="dxa" w:w="14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交易层</w:t>
            </w:r>
          </w:p>
        </w:tc>
        <w:tc>
          <w:tcPr>
            <w:tcW w:type="dxa" w:w="4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真实可执行铁鹰是否有条件优势</w:t>
            </w:r>
          </w:p>
        </w:tc>
        <w:tc>
          <w:tcPr>
            <w:tcW w:type="dxa" w:w="37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P&amp;L、CVaR、max DD、fill rate、费用、No Trade 效果</w:t>
            </w:r>
          </w:p>
        </w:tc>
      </w:tr>
    </w:tbl>
    <w:p>
      <w:pPr>
        <w:spacing w:after="40"/>
        <w:widowControl w:val="1"/>
      </w:pPr>
    </w:p>
    <w:p>
      <w:pPr>
        <w:pStyle w:val="Heading2"/>
        <w:keepNext/>
        <w:widowControl w:val="1"/>
      </w:pPr>
      <w:r>
        <w:rPr>
          <w:rFonts w:ascii="Aptos" w:hAnsi="Aptos" w:eastAsia="FangSong" w:cs="Aptos"/>
          <w:b/>
          <w:color w:val="000000"/>
          <w:sz w:val="26"/>
        </w:rPr>
        <w:t>13.3 必报指标</w:t>
      </w:r>
    </w:p>
    <w:p>
      <w:pPr>
        <w:numPr>
          <w:ilvl w:val="0"/>
          <w:numId w:val="10"/>
        </w:numPr>
        <w:widowControl w:val="1"/>
      </w:pPr>
      <w:r>
        <w:rPr>
          <w:rFonts w:ascii="Aptos" w:hAnsi="Aptos" w:eastAsia="FangSong" w:cs="Aptos"/>
          <w:color w:val="000000"/>
          <w:sz w:val="21"/>
        </w:rPr>
        <w:t>单侧与联合覆盖率；按时间、VIX、GapZ、accept/reject、P0/P1/P2、OPEX/roll 分层。</w:t>
      </w:r>
    </w:p>
    <w:p>
      <w:pPr>
        <w:numPr>
          <w:ilvl w:val="0"/>
          <w:numId w:val="10"/>
        </w:numPr>
        <w:widowControl w:val="1"/>
      </w:pPr>
      <w:r>
        <w:rPr>
          <w:rFonts w:ascii="Aptos" w:hAnsi="Aptos" w:eastAsia="FangSong" w:cs="Aptos"/>
          <w:color w:val="000000"/>
          <w:sz w:val="21"/>
        </w:rPr>
        <w:t>触及与到期穿越概率的 Brier score / reliability curve。</w:t>
      </w:r>
    </w:p>
    <w:p>
      <w:pPr>
        <w:numPr>
          <w:ilvl w:val="0"/>
          <w:numId w:val="10"/>
        </w:numPr>
        <w:widowControl w:val="1"/>
      </w:pPr>
      <w:r>
        <w:rPr>
          <w:rFonts w:ascii="Aptos" w:hAnsi="Aptos" w:eastAsia="FangSong" w:cs="Aptos"/>
          <w:color w:val="000000"/>
          <w:sz w:val="21"/>
        </w:rPr>
        <w:t>分位数 pinball loss、平均与 P90 误差、残差漂移。</w:t>
      </w:r>
    </w:p>
    <w:p>
      <w:pPr>
        <w:numPr>
          <w:ilvl w:val="0"/>
          <w:numId w:val="10"/>
        </w:numPr>
        <w:widowControl w:val="1"/>
      </w:pPr>
      <w:r>
        <w:rPr>
          <w:rFonts w:ascii="Aptos" w:hAnsi="Aptos" w:eastAsia="FangSong" w:cs="Aptos"/>
          <w:color w:val="000000"/>
          <w:sz w:val="21"/>
        </w:rPr>
        <w:t>保守成交后的平均 P&amp;L、胜率、CVaR、最大回撤、最大单日损失、盈亏偏度。</w:t>
      </w:r>
    </w:p>
    <w:p>
      <w:pPr>
        <w:numPr>
          <w:ilvl w:val="0"/>
          <w:numId w:val="10"/>
        </w:numPr>
        <w:widowControl w:val="1"/>
      </w:pPr>
      <w:r>
        <w:rPr>
          <w:rFonts w:ascii="Aptos" w:hAnsi="Aptos" w:eastAsia="FangSong" w:cs="Aptos"/>
          <w:color w:val="000000"/>
          <w:sz w:val="21"/>
        </w:rPr>
        <w:t>No Trade 过滤前后收益/尾部损失变化，以及误杀的可交易机会。</w:t>
      </w:r>
    </w:p>
    <w:p>
      <w:pPr>
        <w:numPr>
          <w:ilvl w:val="0"/>
          <w:numId w:val="10"/>
        </w:numPr>
        <w:widowControl w:val="1"/>
      </w:pPr>
      <w:r>
        <w:rPr>
          <w:rFonts w:ascii="Aptos" w:hAnsi="Aptos" w:eastAsia="FangSong" w:cs="Aptos"/>
          <w:color w:val="000000"/>
          <w:sz w:val="21"/>
        </w:rPr>
        <w:t>候选腿的 quote_age、spread、实际成交偏离和未成交率。</w:t>
      </w:r>
    </w:p>
    <w:p>
      <w:pPr>
        <w:pStyle w:val="Heading2"/>
        <w:keepNext/>
        <w:widowControl w:val="1"/>
      </w:pPr>
      <w:r>
        <w:rPr>
          <w:rFonts w:ascii="Aptos" w:hAnsi="Aptos" w:eastAsia="FangSong" w:cs="Aptos"/>
          <w:b/>
          <w:color w:val="000000"/>
          <w:sz w:val="26"/>
        </w:rPr>
        <w:t>13.4 防止虚假回测</w:t>
      </w:r>
    </w:p>
    <w:p>
      <w:pPr>
        <w:numPr>
          <w:ilvl w:val="0"/>
          <w:numId w:val="10"/>
        </w:numPr>
        <w:widowControl w:val="1"/>
      </w:pPr>
      <w:r>
        <w:rPr>
          <w:rFonts w:ascii="Aptos" w:hAnsi="Aptos" w:eastAsia="FangSong" w:cs="Aptos"/>
          <w:color w:val="000000"/>
          <w:sz w:val="21"/>
        </w:rPr>
        <w:t>不使用四腿 mid 作为默认成交；应用 bid/ask、队列、滑点和费用。</w:t>
      </w:r>
    </w:p>
    <w:p>
      <w:pPr>
        <w:numPr>
          <w:ilvl w:val="0"/>
          <w:numId w:val="10"/>
        </w:numPr>
        <w:widowControl w:val="1"/>
      </w:pPr>
      <w:r>
        <w:rPr>
          <w:rFonts w:ascii="Aptos" w:hAnsi="Aptos" w:eastAsia="FangSong" w:cs="Aptos"/>
          <w:color w:val="000000"/>
          <w:sz w:val="21"/>
        </w:rPr>
        <w:t>不使用 SPX 09:30 第一跳作为唯一真值；同时评估 09:35/09:45 及实际建仓时点。</w:t>
      </w:r>
    </w:p>
    <w:p>
      <w:pPr>
        <w:numPr>
          <w:ilvl w:val="0"/>
          <w:numId w:val="10"/>
        </w:numPr>
        <w:widowControl w:val="1"/>
      </w:pPr>
      <w:r>
        <w:rPr>
          <w:rFonts w:ascii="Aptos" w:hAnsi="Aptos" w:eastAsia="FangSong" w:cs="Aptos"/>
          <w:color w:val="000000"/>
          <w:sz w:val="21"/>
        </w:rPr>
        <w:t>不使用连续合约的回溯调整价做当天基差。</w:t>
      </w:r>
    </w:p>
    <w:p>
      <w:pPr>
        <w:numPr>
          <w:ilvl w:val="0"/>
          <w:numId w:val="10"/>
        </w:numPr>
        <w:widowControl w:val="1"/>
      </w:pPr>
      <w:r>
        <w:rPr>
          <w:rFonts w:ascii="Aptos" w:hAnsi="Aptos" w:eastAsia="FangSong" w:cs="Aptos"/>
          <w:color w:val="000000"/>
          <w:sz w:val="21"/>
        </w:rPr>
        <w:t>不在事件发布后回填此前并不存在的 consensus 或修订值。</w:t>
      </w:r>
    </w:p>
    <w:p>
      <w:pPr>
        <w:numPr>
          <w:ilvl w:val="0"/>
          <w:numId w:val="10"/>
        </w:numPr>
        <w:widowControl w:val="1"/>
      </w:pPr>
      <w:r>
        <w:rPr>
          <w:rFonts w:ascii="Aptos" w:hAnsi="Aptos" w:eastAsia="FangSong" w:cs="Aptos"/>
          <w:color w:val="000000"/>
          <w:sz w:val="21"/>
        </w:rPr>
        <w:t>所有阈值在训练窗确定，在测试窗冻结；不得逐日手工调参。</w:t>
      </w:r>
    </w:p>
    <w:p>
      <w:pPr>
        <w:pStyle w:val="Heading2"/>
        <w:keepNext/>
        <w:widowControl w:val="1"/>
      </w:pPr>
      <w:r>
        <w:rPr>
          <w:rFonts w:ascii="Aptos" w:hAnsi="Aptos" w:eastAsia="FangSong" w:cs="Aptos"/>
          <w:b/>
          <w:color w:val="000000"/>
          <w:sz w:val="26"/>
        </w:rPr>
        <w:t>13.5 上线前路径</w:t>
      </w:r>
    </w:p>
    <w:p>
      <w:pPr>
        <w:numPr>
          <w:ilvl w:val="0"/>
          <w:numId w:val="11"/>
        </w:numPr>
        <w:widowControl w:val="1"/>
      </w:pPr>
      <w:r>
        <w:rPr>
          <w:rFonts w:ascii="Aptos" w:hAnsi="Aptos" w:eastAsia="FangSong" w:cs="Aptos"/>
          <w:color w:val="000000"/>
          <w:sz w:val="21"/>
        </w:rPr>
        <w:t>完成数据 capability probe 和至少一个完整合约周期的数据采集。</w:t>
      </w:r>
    </w:p>
    <w:p>
      <w:pPr>
        <w:numPr>
          <w:ilvl w:val="0"/>
          <w:numId w:val="11"/>
        </w:numPr>
        <w:widowControl w:val="1"/>
      </w:pPr>
      <w:r>
        <w:rPr>
          <w:rFonts w:ascii="Aptos" w:hAnsi="Aptos" w:eastAsia="FangSong" w:cs="Aptos"/>
          <w:color w:val="000000"/>
          <w:sz w:val="21"/>
        </w:rPr>
        <w:t>坐标层与事件层单独回测并通过数据质量验收。</w:t>
      </w:r>
    </w:p>
    <w:p>
      <w:pPr>
        <w:numPr>
          <w:ilvl w:val="0"/>
          <w:numId w:val="11"/>
        </w:numPr>
        <w:widowControl w:val="1"/>
      </w:pPr>
      <w:r>
        <w:rPr>
          <w:rFonts w:ascii="Aptos" w:hAnsi="Aptos" w:eastAsia="FangSong" w:cs="Aptos"/>
          <w:color w:val="000000"/>
          <w:sz w:val="21"/>
        </w:rPr>
        <w:t>模型 walk-forward 通过后进行 20-30 个交易日影子运行。</w:t>
      </w:r>
    </w:p>
    <w:p>
      <w:pPr>
        <w:numPr>
          <w:ilvl w:val="0"/>
          <w:numId w:val="11"/>
        </w:numPr>
        <w:widowControl w:val="1"/>
      </w:pPr>
      <w:r>
        <w:rPr>
          <w:rFonts w:ascii="Aptos" w:hAnsi="Aptos" w:eastAsia="FangSong" w:cs="Aptos"/>
          <w:color w:val="000000"/>
          <w:sz w:val="21"/>
        </w:rPr>
        <w:t>纸面交易，记录推荐、人工判断、模拟成交与结果。</w:t>
      </w:r>
    </w:p>
    <w:p>
      <w:pPr>
        <w:numPr>
          <w:ilvl w:val="0"/>
          <w:numId w:val="11"/>
        </w:numPr>
        <w:widowControl w:val="1"/>
      </w:pPr>
      <w:r>
        <w:rPr>
          <w:rFonts w:ascii="Aptos" w:hAnsi="Aptos" w:eastAsia="FangSong" w:cs="Aptos"/>
          <w:color w:val="000000"/>
          <w:sz w:val="21"/>
        </w:rPr>
        <w:t>小规模人工实盘；继续禁止自动下单。</w:t>
      </w:r>
    </w:p>
    <w:p>
      <w:pPr>
        <w:numPr>
          <w:ilvl w:val="0"/>
          <w:numId w:val="11"/>
        </w:numPr>
        <w:widowControl w:val="1"/>
      </w:pPr>
      <w:r>
        <w:rPr>
          <w:rFonts w:ascii="Aptos" w:hAnsi="Aptos" w:eastAsia="FangSong" w:cs="Aptos"/>
          <w:color w:val="000000"/>
          <w:sz w:val="21"/>
        </w:rPr>
        <w:t>只有在稳定性、权限、风控、审计和用户明确授权均满足后，另立自动执行项目。</w:t>
      </w:r>
    </w:p>
    <w:p>
      <w:pPr>
        <w:pStyle w:val="Heading1"/>
        <w:keepNext/>
        <w:pageBreakBefore/>
        <w:widowControl w:val="1"/>
      </w:pPr>
      <w:r>
        <w:rPr>
          <w:rFonts w:ascii="Aptos" w:hAnsi="Aptos" w:eastAsia="FangSong" w:cs="Aptos"/>
          <w:b/>
          <w:color w:val="000000"/>
          <w:sz w:val="32"/>
        </w:rPr>
        <w:t>14. 部署、安全、可观测性与故障降级</w:t>
      </w:r>
    </w:p>
    <w:p>
      <w:pPr>
        <w:pStyle w:val="Heading2"/>
        <w:keepNext/>
        <w:widowControl w:val="1"/>
      </w:pPr>
      <w:r>
        <w:rPr>
          <w:rFonts w:ascii="Aptos" w:hAnsi="Aptos" w:eastAsia="FangSong" w:cs="Aptos"/>
          <w:b/>
          <w:color w:val="000000"/>
          <w:sz w:val="26"/>
        </w:rPr>
        <w:t>14.1 部署原则</w:t>
      </w:r>
    </w:p>
    <w:p>
      <w:pPr>
        <w:widowControl w:val="1"/>
      </w:pPr>
      <w:r>
        <w:rPr>
          <w:rFonts w:ascii="Aptos" w:hAnsi="Aptos" w:eastAsia="FangSong" w:cs="Aptos"/>
          <w:i w:val="0"/>
          <w:color w:val="000000"/>
          <w:sz w:val="21"/>
        </w:rPr>
        <w:t>collector 与事件 worker 应运行在持续在线的 VPS 或容器平台，避免使用会休眠或不适合持久连接的 serverless 环境承载行情流。Next.js 面板可以部署在 Vercel；高频原始数据写入 Parquet/对象存储，结构化决策日志进入 Postgres。</w:t>
      </w:r>
    </w:p>
    <w:p>
      <w:pPr>
        <w:pStyle w:val="Heading2"/>
        <w:keepNext/>
        <w:widowControl w:val="1"/>
      </w:pPr>
      <w:r>
        <w:rPr>
          <w:rFonts w:ascii="Aptos" w:hAnsi="Aptos" w:eastAsia="FangSong" w:cs="Aptos"/>
          <w:b/>
          <w:color w:val="000000"/>
          <w:sz w:val="26"/>
        </w:rPr>
        <w:t>14.2 安全</w:t>
      </w:r>
    </w:p>
    <w:p>
      <w:pPr>
        <w:numPr>
          <w:ilvl w:val="0"/>
          <w:numId w:val="10"/>
        </w:numPr>
        <w:widowControl w:val="1"/>
      </w:pPr>
      <w:r>
        <w:rPr>
          <w:rFonts w:ascii="Aptos" w:hAnsi="Aptos" w:eastAsia="FangSong" w:cs="Aptos"/>
          <w:color w:val="000000"/>
          <w:sz w:val="21"/>
        </w:rPr>
        <w:t>API key、OAuth token、证书只存环境变量或 secret manager，不进入聊天、文档正文或 Git。</w:t>
      </w:r>
    </w:p>
    <w:p>
      <w:pPr>
        <w:numPr>
          <w:ilvl w:val="0"/>
          <w:numId w:val="10"/>
        </w:numPr>
        <w:widowControl w:val="1"/>
      </w:pPr>
      <w:r>
        <w:rPr>
          <w:rFonts w:ascii="Aptos" w:hAnsi="Aptos" w:eastAsia="FangSong" w:cs="Aptos"/>
          <w:color w:val="000000"/>
          <w:sz w:val="21"/>
        </w:rPr>
        <w:t>最小权限；首期尽可能不开订单写权限，只读行情与账户对账。</w:t>
      </w:r>
    </w:p>
    <w:p>
      <w:pPr>
        <w:numPr>
          <w:ilvl w:val="0"/>
          <w:numId w:val="10"/>
        </w:numPr>
        <w:widowControl w:val="1"/>
      </w:pPr>
      <w:r>
        <w:rPr>
          <w:rFonts w:ascii="Aptos" w:hAnsi="Aptos" w:eastAsia="FangSong" w:cs="Aptos"/>
          <w:color w:val="000000"/>
          <w:sz w:val="21"/>
        </w:rPr>
        <w:t>Webull 连接与其他身份/财务网关隔离进程或容器，限制网络出口。</w:t>
      </w:r>
    </w:p>
    <w:p>
      <w:pPr>
        <w:numPr>
          <w:ilvl w:val="0"/>
          <w:numId w:val="10"/>
        </w:numPr>
        <w:widowControl w:val="1"/>
      </w:pPr>
      <w:r>
        <w:rPr>
          <w:rFonts w:ascii="Aptos" w:hAnsi="Aptos" w:eastAsia="FangSong" w:cs="Aptos"/>
          <w:color w:val="000000"/>
          <w:sz w:val="21"/>
        </w:rPr>
        <w:t>每次 decision_run 记录输入快照哈希、模型版本、代码 commit 和规则版本。</w:t>
      </w:r>
    </w:p>
    <w:p>
      <w:pPr>
        <w:numPr>
          <w:ilvl w:val="0"/>
          <w:numId w:val="10"/>
        </w:numPr>
        <w:widowControl w:val="1"/>
      </w:pPr>
      <w:r>
        <w:rPr>
          <w:rFonts w:ascii="Aptos" w:hAnsi="Aptos" w:eastAsia="FangSong" w:cs="Aptos"/>
          <w:color w:val="000000"/>
          <w:sz w:val="21"/>
        </w:rPr>
        <w:t>日志脱敏；不得记录完整 token、cookie、账户号码或个人身份信息。</w:t>
      </w:r>
    </w:p>
    <w:p>
      <w:pPr>
        <w:pStyle w:val="Heading2"/>
        <w:keepNext/>
        <w:widowControl w:val="1"/>
      </w:pPr>
      <w:r>
        <w:rPr>
          <w:rFonts w:ascii="Aptos" w:hAnsi="Aptos" w:eastAsia="FangSong" w:cs="Aptos"/>
          <w:b/>
          <w:color w:val="000000"/>
          <w:sz w:val="26"/>
        </w:rPr>
        <w:t>14.3 可观测性</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7660"/>
      </w:tblGrid>
      <w:tr>
        <w:trPr>
          <w:tblHeader w:val="true"/>
        </w:trPr>
        <w:tc>
          <w:tcPr>
            <w:tcW w:type="dxa" w:w="17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类别</w:t>
            </w:r>
          </w:p>
        </w:tc>
        <w:tc>
          <w:tcPr>
            <w:tcW w:type="dxa" w:w="76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监控</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数据</w:t>
            </w:r>
          </w:p>
        </w:tc>
        <w:tc>
          <w:tcPr>
            <w:tcW w:type="dxa" w:w="7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订阅状态、重连次数、延迟分位数、缺口/重复、合约与基差异常</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事件</w:t>
            </w:r>
          </w:p>
        </w:tc>
        <w:tc>
          <w:tcPr>
            <w:tcW w:type="dxa" w:w="7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日历刷新、actual 延迟、consensus 冻结、parser 失败、state transition</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模型</w:t>
            </w:r>
          </w:p>
        </w:tc>
        <w:tc>
          <w:tcPr>
            <w:tcW w:type="dxa" w:w="7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coverage 漂移、残差分位数、特征缺失、版本加载、推理耗时</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决策</w:t>
            </w:r>
          </w:p>
        </w:tc>
        <w:tc>
          <w:tcPr>
            <w:tcW w:type="dxa" w:w="7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Enter/Wait/No Trade 分布、原因码、信用失效、建议稳定性</w:t>
            </w:r>
          </w:p>
        </w:tc>
      </w:tr>
      <w:tr>
        <w:tc>
          <w:tcPr>
            <w:tcW w:type="dxa" w:w="17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系统</w:t>
            </w:r>
          </w:p>
        </w:tc>
        <w:tc>
          <w:tcPr>
            <w:tcW w:type="dxa" w:w="76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CPU/内存/磁盘、队列延迟、数据库连接、对象存储写入、时钟偏差</w:t>
            </w:r>
          </w:p>
        </w:tc>
      </w:tr>
    </w:tbl>
    <w:p>
      <w:pPr>
        <w:spacing w:after="40"/>
        <w:widowControl w:val="1"/>
      </w:pPr>
    </w:p>
    <w:p>
      <w:pPr>
        <w:pStyle w:val="Heading2"/>
        <w:keepNext/>
        <w:widowControl w:val="1"/>
      </w:pPr>
      <w:r>
        <w:rPr>
          <w:rFonts w:ascii="Aptos" w:hAnsi="Aptos" w:eastAsia="FangSong" w:cs="Aptos"/>
          <w:b/>
          <w:color w:val="000000"/>
          <w:sz w:val="26"/>
        </w:rPr>
        <w:t>14.4 故障降级</w:t>
      </w:r>
    </w:p>
    <w:p>
      <w:pPr>
        <w:numPr>
          <w:ilvl w:val="0"/>
          <w:numId w:val="10"/>
        </w:numPr>
        <w:widowControl w:val="1"/>
      </w:pPr>
      <w:r>
        <w:rPr>
          <w:rFonts w:ascii="Aptos" w:hAnsi="Aptos" w:eastAsia="FangSong" w:cs="Aptos"/>
          <w:color w:val="000000"/>
          <w:sz w:val="21"/>
        </w:rPr>
        <w:t>期权链失效但 ES/SPX 正常：只给风险走廊，不给精确信用与可执行腿。</w:t>
      </w:r>
    </w:p>
    <w:p>
      <w:pPr>
        <w:numPr>
          <w:ilvl w:val="0"/>
          <w:numId w:val="10"/>
        </w:numPr>
        <w:widowControl w:val="1"/>
      </w:pPr>
      <w:r>
        <w:rPr>
          <w:rFonts w:ascii="Aptos" w:hAnsi="Aptos" w:eastAsia="FangSong" w:cs="Aptos"/>
          <w:color w:val="000000"/>
          <w:sz w:val="21"/>
        </w:rPr>
        <w:t>breadth 缺失：降低置信度并增加 buffer，但可继续运行。</w:t>
      </w:r>
    </w:p>
    <w:p>
      <w:pPr>
        <w:numPr>
          <w:ilvl w:val="0"/>
          <w:numId w:val="10"/>
        </w:numPr>
        <w:widowControl w:val="1"/>
      </w:pPr>
      <w:r>
        <w:rPr>
          <w:rFonts w:ascii="Aptos" w:hAnsi="Aptos" w:eastAsia="FangSong" w:cs="Aptos"/>
          <w:color w:val="000000"/>
          <w:sz w:val="21"/>
        </w:rPr>
        <w:t>SPX 流失效：使用同步基差 implied SPX 临时定位，并显著标记。</w:t>
      </w:r>
    </w:p>
    <w:p>
      <w:pPr>
        <w:numPr>
          <w:ilvl w:val="0"/>
          <w:numId w:val="10"/>
        </w:numPr>
        <w:widowControl w:val="1"/>
      </w:pPr>
      <w:r>
        <w:rPr>
          <w:rFonts w:ascii="Aptos" w:hAnsi="Aptos" w:eastAsia="FangSong" w:cs="Aptos"/>
          <w:color w:val="000000"/>
          <w:sz w:val="21"/>
        </w:rPr>
        <w:t>ES 实时失效或延迟：Red，停止实盘简报。</w:t>
      </w:r>
    </w:p>
    <w:p>
      <w:pPr>
        <w:numPr>
          <w:ilvl w:val="0"/>
          <w:numId w:val="10"/>
        </w:numPr>
        <w:widowControl w:val="1"/>
      </w:pPr>
      <w:r>
        <w:rPr>
          <w:rFonts w:ascii="Aptos" w:hAnsi="Aptos" w:eastAsia="FangSong" w:cs="Aptos"/>
          <w:color w:val="000000"/>
          <w:sz w:val="21"/>
        </w:rPr>
        <w:t>事件 actual 未知：事件窗口 No Trade，不得假定 actual = consensus。</w:t>
      </w:r>
    </w:p>
    <w:p>
      <w:pPr>
        <w:numPr>
          <w:ilvl w:val="0"/>
          <w:numId w:val="10"/>
        </w:numPr>
        <w:widowControl w:val="1"/>
      </w:pPr>
      <w:r>
        <w:rPr>
          <w:rFonts w:ascii="Aptos" w:hAnsi="Aptos" w:eastAsia="FangSong" w:cs="Aptos"/>
          <w:color w:val="000000"/>
          <w:sz w:val="21"/>
        </w:rPr>
        <w:t>主源与备用源冲突：冻结决策，保留原始消息用于排查。</w:t>
      </w:r>
    </w:p>
    <w:p>
      <w:pPr>
        <w:pStyle w:val="Heading1"/>
        <w:keepNext/>
        <w:pageBreakBefore/>
        <w:widowControl w:val="1"/>
      </w:pPr>
      <w:r>
        <w:rPr>
          <w:rFonts w:ascii="Aptos" w:hAnsi="Aptos" w:eastAsia="FangSong" w:cs="Aptos"/>
          <w:b/>
          <w:color w:val="000000"/>
          <w:sz w:val="32"/>
        </w:rPr>
        <w:t>15. Codex 开发阶段与工作包</w:t>
      </w:r>
    </w:p>
    <w:p>
      <w:pPr>
        <w:pStyle w:val="Heading2"/>
        <w:keepNext/>
        <w:widowControl w:val="1"/>
      </w:pPr>
      <w:r>
        <w:rPr>
          <w:rFonts w:ascii="Aptos" w:hAnsi="Aptos" w:eastAsia="FangSong" w:cs="Aptos"/>
          <w:b/>
          <w:color w:val="000000"/>
          <w:sz w:val="26"/>
        </w:rPr>
        <w:t>15.1 实施顺序</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50"/>
        <w:gridCol w:w="1950"/>
        <w:gridCol w:w="3250"/>
        <w:gridCol w:w="2910"/>
      </w:tblGrid>
      <w:tr>
        <w:trPr>
          <w:tblHeader w:val="true"/>
        </w:trPr>
        <w:tc>
          <w:tcPr>
            <w:tcW w:type="dxa" w:w="12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5"/>
              </w:rPr>
              <w:t>阶段</w:t>
            </w:r>
          </w:p>
        </w:tc>
        <w:tc>
          <w:tcPr>
            <w:tcW w:type="dxa" w:w="19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5"/>
              </w:rPr>
              <w:t>目标</w:t>
            </w:r>
          </w:p>
        </w:tc>
        <w:tc>
          <w:tcPr>
            <w:tcW w:type="dxa" w:w="325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5"/>
              </w:rPr>
              <w:t>关键交付物</w:t>
            </w:r>
          </w:p>
        </w:tc>
        <w:tc>
          <w:tcPr>
            <w:tcW w:type="dxa" w:w="291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5"/>
              </w:rPr>
              <w:t>退出条件</w:t>
            </w:r>
          </w:p>
        </w:tc>
      </w:tr>
      <w:tr>
        <w:tc>
          <w:tcPr>
            <w:tcW w:type="dxa" w:w="1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0. 需求冻结</w:t>
            </w:r>
          </w:p>
        </w:tc>
        <w:tc>
          <w:tcPr>
            <w:tcW w:type="dxa" w:w="19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把本文档转为 repo 约束</w:t>
            </w:r>
          </w:p>
        </w:tc>
        <w:tc>
          <w:tcPr>
            <w:tcW w:type="dxa" w:w="3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ADR、术语表、模型插件契约、配置/阈值清单</w:t>
            </w:r>
          </w:p>
        </w:tc>
        <w:tc>
          <w:tcPr>
            <w:tcW w:type="dxa" w:w="29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平台/模型边界、核心公式与 No Trade 语义无歧义</w:t>
            </w:r>
          </w:p>
        </w:tc>
      </w:tr>
      <w:tr>
        <w:tc>
          <w:tcPr>
            <w:tcW w:type="dxa" w:w="1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1. 数据探测</w:t>
            </w:r>
          </w:p>
        </w:tc>
        <w:tc>
          <w:tcPr>
            <w:tcW w:type="dxa" w:w="19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验证 Webull 与备选源</w:t>
            </w:r>
          </w:p>
        </w:tc>
        <w:tc>
          <w:tcPr>
            <w:tcW w:type="dxa" w:w="3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capability matrix、原始样本、延迟报告</w:t>
            </w:r>
          </w:p>
        </w:tc>
        <w:tc>
          <w:tcPr>
            <w:tcW w:type="dxa" w:w="29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明确 Green/Amber/Red 可用字段</w:t>
            </w:r>
          </w:p>
        </w:tc>
      </w:tr>
      <w:tr>
        <w:tc>
          <w:tcPr>
            <w:tcW w:type="dxa" w:w="1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2. 数据底座</w:t>
            </w:r>
          </w:p>
        </w:tc>
        <w:tc>
          <w:tcPr>
            <w:tcW w:type="dxa" w:w="19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统一合约、时区、质量、存储</w:t>
            </w:r>
          </w:p>
        </w:tc>
        <w:tc>
          <w:tcPr>
            <w:tcW w:type="dxa" w:w="3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schema、collector、roll/session tests</w:t>
            </w:r>
          </w:p>
        </w:tc>
        <w:tc>
          <w:tcPr>
            <w:tcW w:type="dxa" w:w="29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连续运行 5 个交易日无关键缺口</w:t>
            </w:r>
          </w:p>
        </w:tc>
      </w:tr>
      <w:tr>
        <w:tc>
          <w:tcPr>
            <w:tcW w:type="dxa" w:w="1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3. 坐标与事件</w:t>
            </w:r>
          </w:p>
        </w:tc>
        <w:tc>
          <w:tcPr>
            <w:tcW w:type="dxa" w:w="19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实现 SPX-ES 与事件状态机</w:t>
            </w:r>
          </w:p>
        </w:tc>
        <w:tc>
          <w:tcPr>
            <w:tcW w:type="dxa" w:w="3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implied SPX、calendar、reaction monitor</w:t>
            </w:r>
          </w:p>
        </w:tc>
        <w:tc>
          <w:tcPr>
            <w:tcW w:type="dxa" w:w="29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坐标回测与事件回放通过</w:t>
            </w:r>
          </w:p>
        </w:tc>
      </w:tr>
      <w:tr>
        <w:tc>
          <w:tcPr>
            <w:tcW w:type="dxa" w:w="1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4. 基线模型</w:t>
            </w:r>
          </w:p>
        </w:tc>
        <w:tc>
          <w:tcPr>
            <w:tcW w:type="dxa" w:w="19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经验分位数与联合校准</w:t>
            </w:r>
          </w:p>
        </w:tc>
        <w:tc>
          <w:tcPr>
            <w:tcW w:type="dxa" w:w="3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walk-forward report、calibration dashboard</w:t>
            </w:r>
          </w:p>
        </w:tc>
        <w:tc>
          <w:tcPr>
            <w:tcW w:type="dxa" w:w="29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样本外覆盖达标</w:t>
            </w:r>
          </w:p>
        </w:tc>
      </w:tr>
      <w:tr>
        <w:tc>
          <w:tcPr>
            <w:tcW w:type="dxa" w:w="1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5. 决策层</w:t>
            </w:r>
          </w:p>
        </w:tc>
        <w:tc>
          <w:tcPr>
            <w:tcW w:type="dxa" w:w="19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腿位、信用、No Trade、简报</w:t>
            </w:r>
          </w:p>
        </w:tc>
        <w:tc>
          <w:tcPr>
            <w:tcW w:type="dxa" w:w="3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decision API、报告、原因码</w:t>
            </w:r>
          </w:p>
        </w:tc>
        <w:tc>
          <w:tcPr>
            <w:tcW w:type="dxa" w:w="29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回放无未来数据且可审计</w:t>
            </w:r>
          </w:p>
        </w:tc>
      </w:tr>
      <w:tr>
        <w:tc>
          <w:tcPr>
            <w:tcW w:type="dxa" w:w="1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6. 影子运行</w:t>
            </w:r>
          </w:p>
        </w:tc>
        <w:tc>
          <w:tcPr>
            <w:tcW w:type="dxa" w:w="19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实时验证</w:t>
            </w:r>
          </w:p>
        </w:tc>
        <w:tc>
          <w:tcPr>
            <w:tcW w:type="dxa" w:w="325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20-30 日影子日志与复盘</w:t>
            </w:r>
          </w:p>
        </w:tc>
        <w:tc>
          <w:tcPr>
            <w:tcW w:type="dxa" w:w="291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5"/>
              </w:rPr>
              <w:t>稳定后进入纸面交易</w:t>
            </w:r>
          </w:p>
        </w:tc>
      </w:tr>
    </w:tbl>
    <w:p>
      <w:pPr>
        <w:spacing w:after="40"/>
        <w:widowControl w:val="1"/>
      </w:pPr>
    </w:p>
    <w:p>
      <w:pPr>
        <w:pStyle w:val="Heading2"/>
        <w:keepNext/>
        <w:widowControl w:val="1"/>
      </w:pPr>
      <w:r>
        <w:rPr>
          <w:rFonts w:ascii="Aptos" w:hAnsi="Aptos" w:eastAsia="FangSong" w:cs="Aptos"/>
          <w:b/>
          <w:color w:val="000000"/>
          <w:sz w:val="26"/>
        </w:rPr>
        <w:t>15.2 Codex 工作规则</w:t>
      </w:r>
    </w:p>
    <w:p>
      <w:pPr>
        <w:numPr>
          <w:ilvl w:val="0"/>
          <w:numId w:val="10"/>
        </w:numPr>
        <w:widowControl w:val="1"/>
      </w:pPr>
      <w:r>
        <w:rPr>
          <w:rFonts w:ascii="Aptos" w:hAnsi="Aptos" w:eastAsia="FangSong" w:cs="Aptos"/>
          <w:color w:val="000000"/>
          <w:sz w:val="21"/>
        </w:rPr>
        <w:t>平台仓库和接口使用 MarketPilot 命名；首期模型包使用 strikepilot_spxw_0dte_ic，不把 SPXW 语义硬编码到公共层。</w:t>
      </w:r>
    </w:p>
    <w:p>
      <w:pPr>
        <w:numPr>
          <w:ilvl w:val="0"/>
          <w:numId w:val="10"/>
        </w:numPr>
        <w:widowControl w:val="1"/>
      </w:pPr>
      <w:r>
        <w:rPr>
          <w:rFonts w:ascii="Aptos" w:hAnsi="Aptos" w:eastAsia="FangSong" w:cs="Aptos"/>
          <w:color w:val="000000"/>
          <w:sz w:val="21"/>
        </w:rPr>
        <w:t>每个工作包先写/更新测试，再实现；测试必须覆盖时区、DST、半日市、roll、事件延迟和 stale quote。</w:t>
      </w:r>
    </w:p>
    <w:p>
      <w:pPr>
        <w:numPr>
          <w:ilvl w:val="0"/>
          <w:numId w:val="10"/>
        </w:numPr>
        <w:widowControl w:val="1"/>
      </w:pPr>
      <w:r>
        <w:rPr>
          <w:rFonts w:ascii="Aptos" w:hAnsi="Aptos" w:eastAsia="FangSong" w:cs="Aptos"/>
          <w:color w:val="000000"/>
          <w:sz w:val="21"/>
        </w:rPr>
        <w:t>模型与规则分离：阈值进入版本化配置，不散落在业务代码。</w:t>
      </w:r>
    </w:p>
    <w:p>
      <w:pPr>
        <w:numPr>
          <w:ilvl w:val="0"/>
          <w:numId w:val="10"/>
        </w:numPr>
        <w:widowControl w:val="1"/>
      </w:pPr>
      <w:r>
        <w:rPr>
          <w:rFonts w:ascii="Aptos" w:hAnsi="Aptos" w:eastAsia="FangSong" w:cs="Aptos"/>
          <w:color w:val="000000"/>
          <w:sz w:val="21"/>
        </w:rPr>
        <w:t>所有数据接口用 adapter；领域层不得依赖 Webull 特定字段名。</w:t>
      </w:r>
    </w:p>
    <w:p>
      <w:pPr>
        <w:numPr>
          <w:ilvl w:val="0"/>
          <w:numId w:val="10"/>
        </w:numPr>
        <w:widowControl w:val="1"/>
      </w:pPr>
      <w:r>
        <w:rPr>
          <w:rFonts w:ascii="Aptos" w:hAnsi="Aptos" w:eastAsia="FangSong" w:cs="Aptos"/>
          <w:color w:val="000000"/>
          <w:sz w:val="21"/>
        </w:rPr>
        <w:t>任何 feature 需要明确 as_of 语义和可用时间；禁止默认使用日终修订值。</w:t>
      </w:r>
    </w:p>
    <w:p>
      <w:pPr>
        <w:numPr>
          <w:ilvl w:val="0"/>
          <w:numId w:val="10"/>
        </w:numPr>
        <w:widowControl w:val="1"/>
      </w:pPr>
      <w:r>
        <w:rPr>
          <w:rFonts w:ascii="Aptos" w:hAnsi="Aptos" w:eastAsia="FangSong" w:cs="Aptos"/>
          <w:color w:val="000000"/>
          <w:sz w:val="21"/>
        </w:rPr>
        <w:t>每次推荐可从 snapshot 重放并产生相同结果；浮点与取整规则固定。</w:t>
      </w:r>
    </w:p>
    <w:p>
      <w:pPr>
        <w:numPr>
          <w:ilvl w:val="0"/>
          <w:numId w:val="10"/>
        </w:numPr>
        <w:widowControl w:val="1"/>
      </w:pPr>
      <w:r>
        <w:rPr>
          <w:rFonts w:ascii="Aptos" w:hAnsi="Aptos" w:eastAsia="FangSong" w:cs="Aptos"/>
          <w:color w:val="000000"/>
          <w:sz w:val="21"/>
        </w:rPr>
        <w:t>先实现基线与校准，再加入更复杂 ML；神经网络不属于首期。</w:t>
      </w:r>
    </w:p>
    <w:p>
      <w:pPr>
        <w:numPr>
          <w:ilvl w:val="0"/>
          <w:numId w:val="10"/>
        </w:numPr>
        <w:widowControl w:val="1"/>
      </w:pPr>
      <w:r>
        <w:rPr>
          <w:rFonts w:ascii="Aptos" w:hAnsi="Aptos" w:eastAsia="FangSong" w:cs="Aptos"/>
          <w:color w:val="000000"/>
          <w:sz w:val="21"/>
        </w:rPr>
        <w:t>不得在未通过 capability probe 前为 Webull options/futures 字段编写假定性生产逻辑。</w:t>
      </w:r>
    </w:p>
    <w:p>
      <w:pPr>
        <w:pStyle w:val="Heading2"/>
        <w:keepNext/>
        <w:widowControl w:val="1"/>
      </w:pPr>
      <w:r>
        <w:rPr>
          <w:rFonts w:ascii="Aptos" w:hAnsi="Aptos" w:eastAsia="FangSong" w:cs="Aptos"/>
          <w:b/>
          <w:color w:val="000000"/>
          <w:sz w:val="26"/>
        </w:rPr>
        <w:t>15.3 推荐仓库模块边界</w:t>
      </w:r>
    </w:p>
    <w:p>
      <w:pPr>
        <w:widowControl w:val="1"/>
      </w:pPr>
      <w:r>
        <w:rPr>
          <w:rFonts w:ascii="Aptos" w:hAnsi="Aptos" w:eastAsia="FangSong" w:cs="Aptos"/>
          <w:i w:val="0"/>
          <w:color w:val="000000"/>
          <w:sz w:val="21"/>
        </w:rPr>
        <w:t>此处只规定模块职责，不提供代码骨架：</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00"/>
        <w:gridCol w:w="7560"/>
      </w:tblGrid>
      <w:tr>
        <w:trPr>
          <w:tblHeader w:val="true"/>
        </w:trPr>
        <w:tc>
          <w:tcPr>
            <w:tcW w:type="dxa" w:w="18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模块</w:t>
            </w:r>
          </w:p>
        </w:tc>
        <w:tc>
          <w:tcPr>
            <w:tcW w:type="dxa" w:w="75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职责</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domain</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instrument/session/event/model/decision 的跨资产纯领域对象与校验</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adapters</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Webull、Databento、Massive、Cboe/CME、事件供应商适配器</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ingestion</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流订阅、重连、幂等、raw landing、质量检测</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features</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SPX-ES、overnight、gap、acceptance、volatility、breadth、reaction</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models</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模型插件契约、StrikePilot、经验分位数、GBM、conformal、model registry</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decision</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通用决策运行、RiskPilot 硬门、模型专用规则、原因码</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services</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API、scheduler、event trigger、outcome reconciliation</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ui</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仪表板、简报、错误状态和人工确认</w:t>
            </w:r>
          </w:p>
        </w:tc>
      </w:tr>
      <w:tr>
        <w:tc>
          <w:tcPr>
            <w:tcW w:type="dxa" w:w="18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tests</w:t>
            </w:r>
          </w:p>
        </w:tc>
        <w:tc>
          <w:tcPr>
            <w:tcW w:type="dxa" w:w="75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unit、contract、replay、walk-forward、data-quality、shadow</w:t>
            </w:r>
          </w:p>
        </w:tc>
      </w:tr>
    </w:tbl>
    <w:p>
      <w:pPr>
        <w:spacing w:after="40"/>
        <w:widowControl w:val="1"/>
      </w:pPr>
    </w:p>
    <w:p>
      <w:pPr>
        <w:pStyle w:val="Heading1"/>
        <w:keepNext/>
        <w:pageBreakBefore/>
        <w:widowControl w:val="1"/>
      </w:pPr>
      <w:r>
        <w:rPr>
          <w:rFonts w:ascii="Aptos" w:hAnsi="Aptos" w:eastAsia="FangSong" w:cs="Aptos"/>
          <w:b/>
          <w:color w:val="000000"/>
          <w:sz w:val="32"/>
        </w:rPr>
        <w:t>16. 测试矩阵与最终验收标准</w:t>
      </w:r>
    </w:p>
    <w:p>
      <w:pPr>
        <w:pStyle w:val="Heading2"/>
        <w:keepNext/>
        <w:widowControl w:val="1"/>
      </w:pPr>
      <w:r>
        <w:rPr>
          <w:rFonts w:ascii="Aptos" w:hAnsi="Aptos" w:eastAsia="FangSong" w:cs="Aptos"/>
          <w:b/>
          <w:color w:val="000000"/>
          <w:sz w:val="26"/>
        </w:rPr>
        <w:t>16.1 功能验收</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100"/>
        <w:gridCol w:w="8260"/>
      </w:tblGrid>
      <w:tr>
        <w:trPr>
          <w:tblHeader w:val="true"/>
        </w:trPr>
        <w:tc>
          <w:tcPr>
            <w:tcW w:type="dxa" w:w="11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编号</w:t>
            </w:r>
          </w:p>
        </w:tc>
        <w:tc>
          <w:tcPr>
            <w:tcW w:type="dxa" w:w="82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验收条件</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F-00</w:t>
            </w:r>
          </w:p>
        </w:tc>
        <w:tc>
          <w:tcPr>
            <w:tcW w:type="dxa" w:w="8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MarketPilot 可通过 model_id 注册和运行模型；公共层不依赖 SPXW/Webull 专用字段。</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F-01</w:t>
            </w:r>
          </w:p>
        </w:tc>
        <w:tc>
          <w:tcPr>
            <w:tcW w:type="dxa" w:w="8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系统能识别明确 ES 合约并拒绝 ES Main/expiry mismatch。</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F-02</w:t>
            </w:r>
          </w:p>
        </w:tc>
        <w:tc>
          <w:tcPr>
            <w:tcW w:type="dxa" w:w="8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16:00 同步锚点与 09:29:59 截止规则有自动测试。</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F-03</w:t>
            </w:r>
          </w:p>
        </w:tc>
        <w:tc>
          <w:tcPr>
            <w:tcW w:type="dxa" w:w="8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SPX 缺失时输出 implied 标签；ES 缺失时强制 Red。</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F-04</w:t>
            </w:r>
          </w:p>
        </w:tc>
        <w:tc>
          <w:tcPr>
            <w:tcW w:type="dxa" w:w="8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事件 actual 未到、下一重大事件过近、区间仍扩张均输出可解释 No Trade。</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F-05</w:t>
            </w:r>
          </w:p>
        </w:tc>
        <w:tc>
          <w:tcPr>
            <w:tcW w:type="dxa" w:w="8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短腿按 5 点整数档取整，翼宽恒为 5 点，Put/Call 距离允许非对称。</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F-06</w:t>
            </w:r>
          </w:p>
        </w:tc>
        <w:tc>
          <w:tcPr>
            <w:tcW w:type="dxa" w:w="8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所有建议显示距 current/open/implied 的点数与风险概率。</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F-07</w:t>
            </w:r>
          </w:p>
        </w:tc>
        <w:tc>
          <w:tcPr>
            <w:tcW w:type="dxa" w:w="8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期权链不合格时不输出虚构信用或精确可执行腿。</w:t>
            </w:r>
          </w:p>
        </w:tc>
      </w:tr>
      <w:tr>
        <w:tc>
          <w:tcPr>
            <w:tcW w:type="dxa" w:w="1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F-08</w:t>
            </w:r>
          </w:p>
        </w:tc>
        <w:tc>
          <w:tcPr>
            <w:tcW w:type="dxa" w:w="8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任一 run 可由 snapshot + version 完整重放。</w:t>
            </w:r>
          </w:p>
        </w:tc>
      </w:tr>
    </w:tbl>
    <w:p>
      <w:pPr>
        <w:spacing w:after="40"/>
        <w:widowControl w:val="1"/>
      </w:pPr>
    </w:p>
    <w:p>
      <w:pPr>
        <w:pStyle w:val="Heading2"/>
        <w:keepNext/>
        <w:widowControl w:val="1"/>
      </w:pPr>
      <w:r>
        <w:rPr>
          <w:rFonts w:ascii="Aptos" w:hAnsi="Aptos" w:eastAsia="FangSong" w:cs="Aptos"/>
          <w:b/>
          <w:color w:val="000000"/>
          <w:sz w:val="26"/>
        </w:rPr>
        <w:t>16.2 数据与性能验收</w:t>
      </w:r>
    </w:p>
    <w:p>
      <w:pPr>
        <w:numPr>
          <w:ilvl w:val="0"/>
          <w:numId w:val="10"/>
        </w:numPr>
        <w:widowControl w:val="1"/>
      </w:pPr>
      <w:r>
        <w:rPr>
          <w:rFonts w:ascii="Aptos" w:hAnsi="Aptos" w:eastAsia="FangSong" w:cs="Aptos"/>
          <w:color w:val="000000"/>
          <w:sz w:val="21"/>
        </w:rPr>
        <w:t>Green 模式下：ES ≤2 秒、SPX/VIX ≤3 秒、期权链 ≤5 秒；阈值可配置且有监控。</w:t>
      </w:r>
    </w:p>
    <w:p>
      <w:pPr>
        <w:numPr>
          <w:ilvl w:val="0"/>
          <w:numId w:val="10"/>
        </w:numPr>
        <w:widowControl w:val="1"/>
      </w:pPr>
      <w:r>
        <w:rPr>
          <w:rFonts w:ascii="Aptos" w:hAnsi="Aptos" w:eastAsia="FangSong" w:cs="Aptos"/>
          <w:color w:val="000000"/>
          <w:sz w:val="21"/>
        </w:rPr>
        <w:t>采集服务跨维护窗口、断线重连、重复消息和乱序消息后保持幂等。</w:t>
      </w:r>
    </w:p>
    <w:p>
      <w:pPr>
        <w:numPr>
          <w:ilvl w:val="0"/>
          <w:numId w:val="10"/>
        </w:numPr>
        <w:widowControl w:val="1"/>
      </w:pPr>
      <w:r>
        <w:rPr>
          <w:rFonts w:ascii="Aptos" w:hAnsi="Aptos" w:eastAsia="FangSong" w:cs="Aptos"/>
          <w:color w:val="000000"/>
          <w:sz w:val="21"/>
        </w:rPr>
        <w:t>时间转换覆盖 DST 开始/结束、节假日、半日市和跨 UTC 日期。</w:t>
      </w:r>
    </w:p>
    <w:p>
      <w:pPr>
        <w:numPr>
          <w:ilvl w:val="0"/>
          <w:numId w:val="10"/>
        </w:numPr>
        <w:widowControl w:val="1"/>
      </w:pPr>
      <w:r>
        <w:rPr>
          <w:rFonts w:ascii="Aptos" w:hAnsi="Aptos" w:eastAsia="FangSong" w:cs="Aptos"/>
          <w:color w:val="000000"/>
          <w:sz w:val="21"/>
        </w:rPr>
        <w:t>关键决策路径从输入快照到简报的计算延迟满足预先定义的 SLO，并记录 P50/P95/P99。</w:t>
      </w:r>
    </w:p>
    <w:p>
      <w:pPr>
        <w:pStyle w:val="Heading2"/>
        <w:keepNext/>
        <w:widowControl w:val="1"/>
      </w:pPr>
      <w:r>
        <w:rPr>
          <w:rFonts w:ascii="Aptos" w:hAnsi="Aptos" w:eastAsia="FangSong" w:cs="Aptos"/>
          <w:b/>
          <w:color w:val="000000"/>
          <w:sz w:val="26"/>
        </w:rPr>
        <w:t>16.3 模型验收</w:t>
      </w:r>
    </w:p>
    <w:p>
      <w:pPr>
        <w:widowControl w:val="1"/>
      </w:pPr>
      <w:r>
        <w:rPr>
          <w:rFonts w:ascii="Aptos" w:hAnsi="Aptos" w:eastAsia="FangSong" w:cs="Aptos"/>
          <w:i w:val="0"/>
          <w:color w:val="000000"/>
          <w:sz w:val="21"/>
        </w:rPr>
        <w:t>模型验收必须基于样本外、按 regime 分层的结果。初始建议是目标 Q95 的实际覆盖率在主要分层中落在 93%-97% 区间；事件小样本应给置信区间而不是强行判定。联合走廊、触及概率、CVaR 和 No Trade 过滤效果必须同时达标。若覆盖不足，优先扩大 residual buffer 或退回基线，不以平均 P&amp;L 掩盖失准。</w:t>
      </w:r>
    </w:p>
    <w:p>
      <w:pPr>
        <w:pStyle w:val="Heading2"/>
        <w:keepNext/>
        <w:widowControl w:val="1"/>
      </w:pPr>
      <w:r>
        <w:rPr>
          <w:rFonts w:ascii="Aptos" w:hAnsi="Aptos" w:eastAsia="FangSong" w:cs="Aptos"/>
          <w:b/>
          <w:color w:val="000000"/>
          <w:sz w:val="26"/>
        </w:rPr>
        <w:t>16.4 生产前硬门</w:t>
      </w:r>
    </w:p>
    <w:p>
      <w:pPr>
        <w:numPr>
          <w:ilvl w:val="0"/>
          <w:numId w:val="10"/>
        </w:numPr>
        <w:widowControl w:val="1"/>
      </w:pPr>
      <w:r>
        <w:rPr>
          <w:rFonts w:ascii="Aptos" w:hAnsi="Aptos" w:eastAsia="FangSong" w:cs="Aptos"/>
          <w:color w:val="000000"/>
          <w:sz w:val="21"/>
        </w:rPr>
        <w:t>至少 20-30 个交易日影子运行完成，并包含至少一个 P0/P1 事件日。</w:t>
      </w:r>
    </w:p>
    <w:p>
      <w:pPr>
        <w:numPr>
          <w:ilvl w:val="0"/>
          <w:numId w:val="10"/>
        </w:numPr>
        <w:widowControl w:val="1"/>
      </w:pPr>
      <w:r>
        <w:rPr>
          <w:rFonts w:ascii="Aptos" w:hAnsi="Aptos" w:eastAsia="FangSong" w:cs="Aptos"/>
          <w:color w:val="000000"/>
          <w:sz w:val="21"/>
        </w:rPr>
        <w:t>Webull 实际账户的行情授权、字段和延迟经过再次验证。</w:t>
      </w:r>
    </w:p>
    <w:p>
      <w:pPr>
        <w:numPr>
          <w:ilvl w:val="0"/>
          <w:numId w:val="10"/>
        </w:numPr>
        <w:widowControl w:val="1"/>
      </w:pPr>
      <w:r>
        <w:rPr>
          <w:rFonts w:ascii="Aptos" w:hAnsi="Aptos" w:eastAsia="FangSong" w:cs="Aptos"/>
          <w:color w:val="000000"/>
          <w:sz w:val="21"/>
        </w:rPr>
        <w:t>安全审查通过，代码仓库无 secret，日志无账户敏感信息。</w:t>
      </w:r>
    </w:p>
    <w:p>
      <w:pPr>
        <w:numPr>
          <w:ilvl w:val="0"/>
          <w:numId w:val="10"/>
        </w:numPr>
        <w:widowControl w:val="1"/>
      </w:pPr>
      <w:r>
        <w:rPr>
          <w:rFonts w:ascii="Aptos" w:hAnsi="Aptos" w:eastAsia="FangSong" w:cs="Aptos"/>
          <w:color w:val="000000"/>
          <w:sz w:val="21"/>
        </w:rPr>
        <w:t>用户风险预算、最大单次损失、最大日损失和人工停止规则已配置。</w:t>
      </w:r>
    </w:p>
    <w:p>
      <w:pPr>
        <w:numPr>
          <w:ilvl w:val="0"/>
          <w:numId w:val="10"/>
        </w:numPr>
        <w:widowControl w:val="1"/>
      </w:pPr>
      <w:r>
        <w:rPr>
          <w:rFonts w:ascii="Aptos" w:hAnsi="Aptos" w:eastAsia="FangSong" w:cs="Aptos"/>
          <w:color w:val="000000"/>
          <w:sz w:val="21"/>
        </w:rPr>
        <w:t>首期仍保持人工在 Webull 确认与执行。</w:t>
      </w:r>
    </w:p>
    <w:p>
      <w:pPr>
        <w:pStyle w:val="Heading1"/>
        <w:keepNext/>
        <w:pageBreakBefore/>
        <w:widowControl w:val="1"/>
      </w:pPr>
      <w:r>
        <w:rPr>
          <w:rFonts w:ascii="Aptos" w:hAnsi="Aptos" w:eastAsia="FangSong" w:cs="Aptos"/>
          <w:b/>
          <w:color w:val="000000"/>
          <w:sz w:val="32"/>
        </w:rPr>
        <w:t>附录 A. 决策简报模板</w:t>
      </w:r>
    </w:p>
    <w:p>
      <w:pPr>
        <w:widowControl w:val="1"/>
      </w:pPr>
      <w:r>
        <w:rPr>
          <w:rFonts w:ascii="Aptos" w:hAnsi="Aptos" w:eastAsia="FangSong" w:cs="Aptos"/>
          <w:i w:val="0"/>
          <w:color w:val="000000"/>
          <w:sz w:val="21"/>
        </w:rPr>
        <w:t>MarketPilot Brief · Model 01 / StrikePilot · Decision Type: Strike Map</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100"/>
        <w:gridCol w:w="7260"/>
      </w:tblGrid>
      <w:tr>
        <w:trPr>
          <w:tblHeader w:val="true"/>
        </w:trPr>
        <w:tc>
          <w:tcPr>
            <w:tcW w:type="dxa" w:w="21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字段</w:t>
            </w:r>
          </w:p>
        </w:tc>
        <w:tc>
          <w:tcPr>
            <w:tcW w:type="dxa" w:w="72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示例/要求</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时间与数据</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2026-08-17 09:45:00 ET；Green；ESU6；所有关键字段新鲜</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坐标</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SPX 7812.4；实际开盘 7804.1；implied 7811.9；GapZ +0.42</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状态</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Gap Up Accepted；在 VWAP 上方；opening range 收缩；breadth 确认</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事件</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08:30 P1 已 cleared；下一 P1 135 分钟后</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剩余尾部</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Up Q97.5 28.6；Down Q97.5 34.2；joint buffer 3.5</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腿位</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Short Put 7770 / Long Put 7765；Short Call 7845 / Long Call 7850</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距离</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Put 距 current 42.4；Call 距 current 32.6；同时列距 open/implied</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经济性</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净信用 0.62；最大损失 $438；费用后 edge 不足</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动作</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WAIT；原因 NEGATIVE_EDGE</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重跑</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可执行信用 ≥0.75 且 tail 不扩张，或 5 分钟后</w:t>
            </w:r>
          </w:p>
        </w:tc>
      </w:tr>
      <w:tr>
        <w:tc>
          <w:tcPr>
            <w:tcW w:type="dxa" w:w="21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失效</w:t>
            </w:r>
          </w:p>
        </w:tc>
        <w:tc>
          <w:tcPr>
            <w:tcW w:type="dxa" w:w="72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event range 再扩张、VIX/2Y 加速、下一重大事件提前</w:t>
            </w:r>
          </w:p>
        </w:tc>
      </w:tr>
    </w:tbl>
    <w:p>
      <w:pPr>
        <w:spacing w:after="40"/>
        <w:widowControl w:val="1"/>
      </w:pPr>
    </w:p>
    <w:p>
      <w:pPr>
        <w:pStyle w:val="Heading1"/>
        <w:keepNext/>
        <w:pageBreakBefore/>
        <w:widowControl w:val="1"/>
      </w:pPr>
      <w:r>
        <w:rPr>
          <w:rFonts w:ascii="Aptos" w:hAnsi="Aptos" w:eastAsia="FangSong" w:cs="Aptos"/>
          <w:b/>
          <w:color w:val="000000"/>
          <w:sz w:val="32"/>
        </w:rPr>
        <w:t>附录 B. 关键术语</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00"/>
        <w:gridCol w:w="7160"/>
      </w:tblGrid>
      <w:tr>
        <w:trPr>
          <w:tblHeader w:val="true"/>
        </w:trPr>
        <w:tc>
          <w:tcPr>
            <w:tcW w:type="dxa" w:w="220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术语</w:t>
            </w:r>
          </w:p>
        </w:tc>
        <w:tc>
          <w:tcPr>
            <w:tcW w:type="dxa" w:w="7160"/>
            <w:tcMar>
              <w:top w:w="90" w:type="dxa"/>
              <w:start w:w="120" w:type="dxa"/>
              <w:bottom w:w="90" w:type="dxa"/>
              <w:end w:w="120" w:type="dxa"/>
            </w:tcMar>
            <w:vAlign w:val="center"/>
            <w:shd w:fill="F2F2F2"/>
          </w:tcPr>
          <w:p>
            <w:pPr>
              <w:spacing w:after="0"/>
              <w:jc w:val="center"/>
            </w:pPr>
            <w:r>
              <w:rPr>
                <w:rFonts w:ascii="Aptos" w:hAnsi="Aptos" w:eastAsia="FangSong" w:cs="Aptos"/>
                <w:b/>
                <w:color w:val="000000"/>
                <w:sz w:val="17"/>
              </w:rPr>
              <w:t>定义</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MarketPilot</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连接现货、期权与期货的跨市场决策智能平台。</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StrikePilot</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MarketPilot 的期权执行价与多腿结构模型；首期模型为 SPXW 0DTE 铁鹰。</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SPX</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S&amp;P 500 现金价格指数，不含股息再投资。</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SPXW</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SPX 周度/日度到期、现金结算期权；需区分到期与交易截止。</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ES</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CME E-mini S&amp;P 500 期货；系统必须使用明确到期月份。</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Basis</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期货价格减现货价格；受融资、股息、期限与市场残差影响。</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Implied SPX</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由同合约同步锚点与 ES 相对变动推算的现金坐标。</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MFE/MAE</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从建仓至收盘的最大有利/不利移动；本文按上/下尾部分开定义。</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GapZ</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缺口点数除以前一时点的期权预期波动。</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Event-cleared</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事件已发布且市场反应通过稳定门，并非单纯等待固定分钟。</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Joint calibration</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同时控制上/下走廊任一侧超出的联合风险校准。</w:t>
            </w:r>
          </w:p>
        </w:tc>
      </w:tr>
      <w:tr>
        <w:tc>
          <w:tcPr>
            <w:tcW w:type="dxa" w:w="220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No Trade</w:t>
            </w:r>
          </w:p>
        </w:tc>
        <w:tc>
          <w:tcPr>
            <w:tcW w:type="dxa" w:w="7160"/>
            <w:tcMar>
              <w:top w:w="90" w:type="dxa"/>
              <w:start w:w="120" w:type="dxa"/>
              <w:bottom w:w="90" w:type="dxa"/>
              <w:end w:w="120" w:type="dxa"/>
            </w:tcMar>
            <w:vAlign w:val="center"/>
          </w:tcPr>
          <w:p>
            <w:pPr>
              <w:spacing w:after="0" w:line="264" w:lineRule="auto"/>
              <w:jc w:val="left"/>
            </w:pPr>
            <w:r>
              <w:rPr>
                <w:rFonts w:ascii="Aptos" w:hAnsi="Aptos" w:eastAsia="FangSong" w:cs="Aptos"/>
                <w:color w:val="000000"/>
                <w:sz w:val="17"/>
              </w:rPr>
              <w:t>硬门不满足时的正确一级决策输出。</w:t>
            </w:r>
          </w:p>
        </w:tc>
      </w:tr>
    </w:tbl>
    <w:p>
      <w:pPr>
        <w:spacing w:after="40"/>
        <w:widowControl w:val="1"/>
      </w:pPr>
    </w:p>
    <w:p>
      <w:pPr>
        <w:pStyle w:val="Heading1"/>
        <w:keepNext/>
        <w:pageBreakBefore/>
        <w:widowControl w:val="1"/>
      </w:pPr>
      <w:r>
        <w:rPr>
          <w:rFonts w:ascii="Aptos" w:hAnsi="Aptos" w:eastAsia="FangSong" w:cs="Aptos"/>
          <w:b/>
          <w:color w:val="000000"/>
          <w:sz w:val="32"/>
        </w:rPr>
        <w:t>附录 C. 公式汇总</w:t>
      </w:r>
    </w:p>
    <w:p>
      <w:pPr>
        <w:spacing w:before="100" w:after="40"/>
        <w:jc w:val="center"/>
        <w:widowControl w:val="1"/>
      </w:pPr>
      <w:r>
        <w:rPr>
          <w:rFonts w:ascii="Cambria Math" w:hAnsi="Cambria Math" w:eastAsia="FangSong" w:cs="Cambria Math"/>
          <w:b/>
          <w:color w:val="000000"/>
          <w:sz w:val="22"/>
        </w:rPr>
        <w:t>F = S[1 + r×x/360] − D</w:t>
      </w:r>
    </w:p>
    <w:p>
      <w:pPr>
        <w:spacing w:after="160"/>
        <w:jc w:val="center"/>
        <w:widowControl w:val="1"/>
      </w:pPr>
      <w:r>
        <w:rPr>
          <w:rFonts w:ascii="Aptos" w:hAnsi="Aptos" w:eastAsia="FangSong" w:cs="Aptos"/>
          <w:i/>
          <w:color w:val="666666"/>
          <w:sz w:val="17"/>
        </w:rPr>
        <w:t>CME 公允价值离散口径。</w:t>
      </w:r>
    </w:p>
    <w:p>
      <w:pPr>
        <w:spacing w:before="100" w:after="40"/>
        <w:jc w:val="center"/>
        <w:widowControl w:val="1"/>
      </w:pPr>
      <w:r>
        <w:rPr>
          <w:rFonts w:ascii="Cambria Math" w:hAnsi="Cambria Math" w:eastAsia="FangSong" w:cs="Cambria Math"/>
          <w:b/>
          <w:color w:val="000000"/>
          <w:sz w:val="22"/>
        </w:rPr>
        <w:t>F ≈ S exp[(r−q)τ]</w:t>
      </w:r>
    </w:p>
    <w:p>
      <w:pPr>
        <w:spacing w:after="160"/>
        <w:jc w:val="center"/>
        <w:widowControl w:val="1"/>
      </w:pPr>
      <w:r>
        <w:rPr>
          <w:rFonts w:ascii="Aptos" w:hAnsi="Aptos" w:eastAsia="FangSong" w:cs="Aptos"/>
          <w:i/>
          <w:color w:val="666666"/>
          <w:sz w:val="17"/>
        </w:rPr>
        <w:t>连续股息率近似。</w:t>
      </w:r>
    </w:p>
    <w:p>
      <w:pPr>
        <w:spacing w:before="100" w:after="40"/>
        <w:jc w:val="center"/>
        <w:widowControl w:val="1"/>
      </w:pPr>
      <w:r>
        <w:rPr>
          <w:rFonts w:ascii="Cambria Math" w:hAnsi="Cambria Math" w:eastAsia="FangSong" w:cs="Cambria Math"/>
          <w:b/>
          <w:color w:val="000000"/>
          <w:sz w:val="22"/>
        </w:rPr>
        <w:t>Ŝ_t = SPX_a(F_t/F_a)exp[∫(r−q)du]</w:t>
      </w:r>
    </w:p>
    <w:p>
      <w:pPr>
        <w:spacing w:after="160"/>
        <w:jc w:val="center"/>
        <w:widowControl w:val="1"/>
      </w:pPr>
      <w:r>
        <w:rPr>
          <w:rFonts w:ascii="Aptos" w:hAnsi="Aptos" w:eastAsia="FangSong" w:cs="Aptos"/>
          <w:i/>
          <w:color w:val="666666"/>
          <w:sz w:val="17"/>
        </w:rPr>
        <w:t>同步锚定的隐含 SPX。</w:t>
      </w:r>
    </w:p>
    <w:p>
      <w:pPr>
        <w:spacing w:before="100" w:after="40"/>
        <w:jc w:val="center"/>
        <w:widowControl w:val="1"/>
      </w:pPr>
      <w:r>
        <w:rPr>
          <w:rFonts w:ascii="Cambria Math" w:hAnsi="Cambria Math" w:eastAsia="FangSong" w:cs="Cambria Math"/>
          <w:b/>
          <w:color w:val="000000"/>
          <w:sz w:val="22"/>
        </w:rPr>
        <w:t>Y_up = max(SPX_u−SPX_t)</w:t>
      </w:r>
    </w:p>
    <w:p>
      <w:pPr>
        <w:spacing w:after="160"/>
        <w:jc w:val="center"/>
        <w:widowControl w:val="1"/>
      </w:pPr>
      <w:r>
        <w:rPr>
          <w:rFonts w:ascii="Aptos" w:hAnsi="Aptos" w:eastAsia="FangSong" w:cs="Aptos"/>
          <w:i/>
          <w:color w:val="666666"/>
          <w:sz w:val="17"/>
        </w:rPr>
        <w:t>从建仓至收盘的最大上行不利移动。</w:t>
      </w:r>
    </w:p>
    <w:p>
      <w:pPr>
        <w:spacing w:before="100" w:after="40"/>
        <w:jc w:val="center"/>
        <w:widowControl w:val="1"/>
      </w:pPr>
      <w:r>
        <w:rPr>
          <w:rFonts w:ascii="Cambria Math" w:hAnsi="Cambria Math" w:eastAsia="FangSong" w:cs="Cambria Math"/>
          <w:b/>
          <w:color w:val="000000"/>
          <w:sz w:val="22"/>
        </w:rPr>
        <w:t>Y_down = max(SPX_t−SPX_u)</w:t>
      </w:r>
    </w:p>
    <w:p>
      <w:pPr>
        <w:spacing w:after="160"/>
        <w:jc w:val="center"/>
        <w:widowControl w:val="1"/>
      </w:pPr>
      <w:r>
        <w:rPr>
          <w:rFonts w:ascii="Aptos" w:hAnsi="Aptos" w:eastAsia="FangSong" w:cs="Aptos"/>
          <w:i/>
          <w:color w:val="666666"/>
          <w:sz w:val="17"/>
        </w:rPr>
        <w:t>从建仓至收盘的最大下行不利移动。</w:t>
      </w:r>
    </w:p>
    <w:p>
      <w:pPr>
        <w:spacing w:before="100" w:after="40"/>
        <w:jc w:val="center"/>
        <w:widowControl w:val="1"/>
      </w:pPr>
      <w:r>
        <w:rPr>
          <w:rFonts w:ascii="Cambria Math" w:hAnsi="Cambria Math" w:eastAsia="FangSong" w:cs="Cambria Math"/>
          <w:b/>
          <w:color w:val="000000"/>
          <w:sz w:val="22"/>
        </w:rPr>
        <w:t>R = max(Y_up−Q_up, Y_down−Q_down)</w:t>
      </w:r>
    </w:p>
    <w:p>
      <w:pPr>
        <w:spacing w:after="160"/>
        <w:jc w:val="center"/>
        <w:widowControl w:val="1"/>
      </w:pPr>
      <w:r>
        <w:rPr>
          <w:rFonts w:ascii="Aptos" w:hAnsi="Aptos" w:eastAsia="FangSong" w:cs="Aptos"/>
          <w:i/>
          <w:color w:val="666666"/>
          <w:sz w:val="17"/>
        </w:rPr>
        <w:t>联合残差。</w:t>
      </w:r>
    </w:p>
    <w:p>
      <w:pPr>
        <w:spacing w:before="100" w:after="40"/>
        <w:jc w:val="center"/>
        <w:widowControl w:val="1"/>
      </w:pPr>
      <w:r>
        <w:rPr>
          <w:rFonts w:ascii="Cambria Math" w:hAnsi="Cambria Math" w:eastAsia="FangSong" w:cs="Cambria Math"/>
          <w:b/>
          <w:color w:val="000000"/>
          <w:sz w:val="22"/>
        </w:rPr>
        <w:t>K_call = 5 ceil[(S+D_call)/5]</w:t>
      </w:r>
    </w:p>
    <w:p>
      <w:pPr>
        <w:spacing w:after="160"/>
        <w:jc w:val="center"/>
        <w:widowControl w:val="1"/>
      </w:pPr>
      <w:r>
        <w:rPr>
          <w:rFonts w:ascii="Aptos" w:hAnsi="Aptos" w:eastAsia="FangSong" w:cs="Aptos"/>
          <w:i/>
          <w:color w:val="666666"/>
          <w:sz w:val="17"/>
        </w:rPr>
        <w:t>短 Call 取 5 点上档。</w:t>
      </w:r>
    </w:p>
    <w:p>
      <w:pPr>
        <w:spacing w:before="100" w:after="40"/>
        <w:jc w:val="center"/>
        <w:widowControl w:val="1"/>
      </w:pPr>
      <w:r>
        <w:rPr>
          <w:rFonts w:ascii="Cambria Math" w:hAnsi="Cambria Math" w:eastAsia="FangSong" w:cs="Cambria Math"/>
          <w:b/>
          <w:color w:val="000000"/>
          <w:sz w:val="22"/>
        </w:rPr>
        <w:t>K_put = 5 floor[(S−D_put)/5]</w:t>
      </w:r>
    </w:p>
    <w:p>
      <w:pPr>
        <w:spacing w:after="160"/>
        <w:jc w:val="center"/>
        <w:widowControl w:val="1"/>
      </w:pPr>
      <w:r>
        <w:rPr>
          <w:rFonts w:ascii="Aptos" w:hAnsi="Aptos" w:eastAsia="FangSong" w:cs="Aptos"/>
          <w:i/>
          <w:color w:val="666666"/>
          <w:sz w:val="17"/>
        </w:rPr>
        <w:t>短 Put 取 5 点下档。</w:t>
      </w:r>
    </w:p>
    <w:p>
      <w:pPr>
        <w:spacing w:before="100" w:after="40"/>
        <w:jc w:val="center"/>
        <w:widowControl w:val="1"/>
      </w:pPr>
      <w:r>
        <w:rPr>
          <w:rFonts w:ascii="Cambria Math" w:hAnsi="Cambria Math" w:eastAsia="FangSong" w:cs="Cambria Math"/>
          <w:b/>
          <w:color w:val="000000"/>
          <w:sz w:val="22"/>
        </w:rPr>
        <w:t>MaxLoss = (5−Credit)×100</w:t>
      </w:r>
    </w:p>
    <w:p>
      <w:pPr>
        <w:spacing w:after="160"/>
        <w:jc w:val="center"/>
        <w:widowControl w:val="1"/>
      </w:pPr>
      <w:r>
        <w:rPr>
          <w:rFonts w:ascii="Aptos" w:hAnsi="Aptos" w:eastAsia="FangSong" w:cs="Aptos"/>
          <w:i/>
          <w:color w:val="666666"/>
          <w:sz w:val="17"/>
        </w:rPr>
        <w:t>每组 5 点宽铁鹰的最大理论损失，未含额外费用。</w:t>
      </w:r>
    </w:p>
    <w:p>
      <w:pPr>
        <w:pStyle w:val="Heading1"/>
        <w:keepNext/>
        <w:pageBreakBefore/>
        <w:widowControl w:val="1"/>
      </w:pPr>
      <w:r>
        <w:rPr>
          <w:rFonts w:ascii="Aptos" w:hAnsi="Aptos" w:eastAsia="FangSong" w:cs="Aptos"/>
          <w:b/>
          <w:color w:val="000000"/>
          <w:sz w:val="32"/>
        </w:rPr>
        <w:t>附录 D. 官方与技术来源</w:t>
      </w:r>
    </w:p>
    <w:p>
      <w:pPr>
        <w:numPr>
          <w:ilvl w:val="0"/>
          <w:numId w:val="12"/>
        </w:numPr>
        <w:widowControl w:val="1"/>
      </w:pPr>
      <w:hyperlink r:id="rId11">
        <w:r>
          <w:rPr>
            <w:rFonts w:ascii="Aptos" w:hAnsi="Aptos" w:eastAsia="FangSong"/>
            <w:color w:val="000000"/>
            <w:u w:val="single"/>
          </w:rPr>
          <w:t>CME Equity Index Fair Value</w:t>
        </w:r>
      </w:hyperlink>
      <w:r>
        <w:rPr>
          <w:rFonts w:ascii="Aptos" w:hAnsi="Aptos" w:eastAsia="FangSong" w:cs="Aptos"/>
          <w:color w:val="666666"/>
          <w:sz w:val="17"/>
        </w:rPr>
        <w:t xml:space="preserve">  https://www.cmegroup.com/trading/equity-index/fairvalue.html</w:t>
      </w:r>
    </w:p>
    <w:p>
      <w:pPr>
        <w:numPr>
          <w:ilvl w:val="0"/>
          <w:numId w:val="12"/>
        </w:numPr>
        <w:widowControl w:val="1"/>
      </w:pPr>
      <w:hyperlink r:id="rId12">
        <w:r>
          <w:rPr>
            <w:rFonts w:ascii="Aptos" w:hAnsi="Aptos" w:eastAsia="FangSong"/>
            <w:color w:val="000000"/>
            <w:u w:val="single"/>
          </w:rPr>
          <w:t>CME Equity Index Basis</w:t>
        </w:r>
      </w:hyperlink>
      <w:r>
        <w:rPr>
          <w:rFonts w:ascii="Aptos" w:hAnsi="Aptos" w:eastAsia="FangSong" w:cs="Aptos"/>
          <w:color w:val="666666"/>
          <w:sz w:val="17"/>
        </w:rPr>
        <w:t xml:space="preserve">  https://www.cmegroup.com/education/courses/introduction-to-equity-index-products/what-is-equity-index-basis</w:t>
      </w:r>
    </w:p>
    <w:p>
      <w:pPr>
        <w:numPr>
          <w:ilvl w:val="0"/>
          <w:numId w:val="12"/>
        </w:numPr>
        <w:widowControl w:val="1"/>
      </w:pPr>
      <w:hyperlink r:id="rId13">
        <w:r>
          <w:rPr>
            <w:rFonts w:ascii="Aptos" w:hAnsi="Aptos" w:eastAsia="FangSong"/>
            <w:color w:val="000000"/>
            <w:u w:val="single"/>
          </w:rPr>
          <w:t>CME Trade at Cash Open (TACO)</w:t>
        </w:r>
      </w:hyperlink>
      <w:r>
        <w:rPr>
          <w:rFonts w:ascii="Aptos" w:hAnsi="Aptos" w:eastAsia="FangSong" w:cs="Aptos"/>
          <w:color w:val="666666"/>
          <w:sz w:val="17"/>
        </w:rPr>
        <w:t xml:space="preserve">  https://www.cmegroup.com/trading/equity-index/trade-at-cash-open.html</w:t>
      </w:r>
    </w:p>
    <w:p>
      <w:pPr>
        <w:numPr>
          <w:ilvl w:val="0"/>
          <w:numId w:val="12"/>
        </w:numPr>
        <w:widowControl w:val="1"/>
      </w:pPr>
      <w:hyperlink r:id="rId14">
        <w:r>
          <w:rPr>
            <w:rFonts w:ascii="Aptos" w:hAnsi="Aptos" w:eastAsia="FangSong"/>
            <w:color w:val="000000"/>
            <w:u w:val="single"/>
          </w:rPr>
          <w:t>CME E-mini S&amp;P 500 product and hours</w:t>
        </w:r>
      </w:hyperlink>
      <w:r>
        <w:rPr>
          <w:rFonts w:ascii="Aptos" w:hAnsi="Aptos" w:eastAsia="FangSong" w:cs="Aptos"/>
          <w:color w:val="666666"/>
          <w:sz w:val="17"/>
        </w:rPr>
        <w:t xml:space="preserve">  https://www.cmegroup.com/markets/equities/sp/e-mini-sandp500.html</w:t>
      </w:r>
    </w:p>
    <w:p>
      <w:pPr>
        <w:numPr>
          <w:ilvl w:val="0"/>
          <w:numId w:val="12"/>
        </w:numPr>
        <w:widowControl w:val="1"/>
      </w:pPr>
      <w:hyperlink r:id="rId15">
        <w:r>
          <w:rPr>
            <w:rFonts w:ascii="Aptos" w:hAnsi="Aptos" w:eastAsia="FangSong"/>
            <w:color w:val="000000"/>
            <w:u w:val="single"/>
          </w:rPr>
          <w:t>CME E-mini S&amp;P 500 quotes / delay notice</w:t>
        </w:r>
      </w:hyperlink>
      <w:r>
        <w:rPr>
          <w:rFonts w:ascii="Aptos" w:hAnsi="Aptos" w:eastAsia="FangSong" w:cs="Aptos"/>
          <w:color w:val="666666"/>
          <w:sz w:val="17"/>
        </w:rPr>
        <w:t xml:space="preserve">  https://www.cmegroup.com/markets/equities/sp/e-mini-sandp500.quotes.html</w:t>
      </w:r>
    </w:p>
    <w:p>
      <w:pPr>
        <w:numPr>
          <w:ilvl w:val="0"/>
          <w:numId w:val="12"/>
        </w:numPr>
        <w:widowControl w:val="1"/>
      </w:pPr>
      <w:hyperlink r:id="rId16">
        <w:r>
          <w:rPr>
            <w:rFonts w:ascii="Aptos" w:hAnsi="Aptos" w:eastAsia="FangSong"/>
            <w:color w:val="000000"/>
            <w:u w:val="single"/>
          </w:rPr>
          <w:t>CME DataMine</w:t>
        </w:r>
      </w:hyperlink>
      <w:r>
        <w:rPr>
          <w:rFonts w:ascii="Aptos" w:hAnsi="Aptos" w:eastAsia="FangSong" w:cs="Aptos"/>
          <w:color w:val="666666"/>
          <w:sz w:val="17"/>
        </w:rPr>
        <w:t xml:space="preserve">  https://www.cmegroup.com/datamine.html</w:t>
      </w:r>
    </w:p>
    <w:p>
      <w:pPr>
        <w:numPr>
          <w:ilvl w:val="0"/>
          <w:numId w:val="12"/>
        </w:numPr>
        <w:widowControl w:val="1"/>
      </w:pPr>
      <w:hyperlink r:id="rId17">
        <w:r>
          <w:rPr>
            <w:rFonts w:ascii="Aptos" w:hAnsi="Aptos" w:eastAsia="FangSong"/>
            <w:color w:val="000000"/>
            <w:u w:val="single"/>
          </w:rPr>
          <w:t>Cboe SPX options</w:t>
        </w:r>
      </w:hyperlink>
      <w:r>
        <w:rPr>
          <w:rFonts w:ascii="Aptos" w:hAnsi="Aptos" w:eastAsia="FangSong" w:cs="Aptos"/>
          <w:color w:val="666666"/>
          <w:sz w:val="17"/>
        </w:rPr>
        <w:t xml:space="preserve">  https://www.cboe.com/tradable-products/sp-500/spx-options/</w:t>
      </w:r>
    </w:p>
    <w:p>
      <w:pPr>
        <w:numPr>
          <w:ilvl w:val="0"/>
          <w:numId w:val="12"/>
        </w:numPr>
        <w:widowControl w:val="1"/>
      </w:pPr>
      <w:hyperlink r:id="rId18">
        <w:r>
          <w:rPr>
            <w:rFonts w:ascii="Aptos" w:hAnsi="Aptos" w:eastAsia="FangSong"/>
            <w:color w:val="000000"/>
            <w:u w:val="single"/>
          </w:rPr>
          <w:t>Cboe US options hours</w:t>
        </w:r>
      </w:hyperlink>
      <w:r>
        <w:rPr>
          <w:rFonts w:ascii="Aptos" w:hAnsi="Aptos" w:eastAsia="FangSong" w:cs="Aptos"/>
          <w:color w:val="666666"/>
          <w:sz w:val="17"/>
        </w:rPr>
        <w:t xml:space="preserve">  https://www.cboe.com/en/about/hours/us-options/</w:t>
      </w:r>
    </w:p>
    <w:p>
      <w:pPr>
        <w:numPr>
          <w:ilvl w:val="0"/>
          <w:numId w:val="12"/>
        </w:numPr>
        <w:widowControl w:val="1"/>
      </w:pPr>
      <w:hyperlink r:id="rId19">
        <w:r>
          <w:rPr>
            <w:rFonts w:ascii="Aptos" w:hAnsi="Aptos" w:eastAsia="FangSong"/>
            <w:color w:val="000000"/>
            <w:u w:val="single"/>
          </w:rPr>
          <w:t>Cboe Option Quote Intervals</w:t>
        </w:r>
      </w:hyperlink>
      <w:r>
        <w:rPr>
          <w:rFonts w:ascii="Aptos" w:hAnsi="Aptos" w:eastAsia="FangSong" w:cs="Aptos"/>
          <w:color w:val="666666"/>
          <w:sz w:val="17"/>
        </w:rPr>
        <w:t xml:space="preserve">  https://datashop.cboe.com/option-quote-intervals</w:t>
      </w:r>
    </w:p>
    <w:p>
      <w:pPr>
        <w:numPr>
          <w:ilvl w:val="0"/>
          <w:numId w:val="12"/>
        </w:numPr>
        <w:widowControl w:val="1"/>
      </w:pPr>
      <w:hyperlink r:id="rId20">
        <w:r>
          <w:rPr>
            <w:rFonts w:ascii="Aptos" w:hAnsi="Aptos" w:eastAsia="FangSong"/>
            <w:color w:val="000000"/>
            <w:u w:val="single"/>
          </w:rPr>
          <w:t>Webull OpenAPI overview</w:t>
        </w:r>
      </w:hyperlink>
      <w:r>
        <w:rPr>
          <w:rFonts w:ascii="Aptos" w:hAnsi="Aptos" w:eastAsia="FangSong" w:cs="Aptos"/>
          <w:color w:val="666666"/>
          <w:sz w:val="17"/>
        </w:rPr>
        <w:t xml:space="preserve">  https://developer.webull.com/apis/docs/</w:t>
      </w:r>
    </w:p>
    <w:p>
      <w:pPr>
        <w:numPr>
          <w:ilvl w:val="0"/>
          <w:numId w:val="12"/>
        </w:numPr>
        <w:widowControl w:val="1"/>
      </w:pPr>
      <w:hyperlink r:id="rId21">
        <w:r>
          <w:rPr>
            <w:rFonts w:ascii="Aptos" w:hAnsi="Aptos" w:eastAsia="FangSong"/>
            <w:color w:val="000000"/>
            <w:u w:val="single"/>
          </w:rPr>
          <w:t>Webull Market Data API overview</w:t>
        </w:r>
      </w:hyperlink>
      <w:r>
        <w:rPr>
          <w:rFonts w:ascii="Aptos" w:hAnsi="Aptos" w:eastAsia="FangSong" w:cs="Aptos"/>
          <w:color w:val="666666"/>
          <w:sz w:val="17"/>
        </w:rPr>
        <w:t xml:space="preserve">  https://developer.webull.com/apis/docs/market-data-api/overview/</w:t>
      </w:r>
    </w:p>
    <w:p>
      <w:pPr>
        <w:numPr>
          <w:ilvl w:val="0"/>
          <w:numId w:val="12"/>
        </w:numPr>
        <w:widowControl w:val="1"/>
      </w:pPr>
      <w:hyperlink r:id="rId22">
        <w:r>
          <w:rPr>
            <w:rFonts w:ascii="Aptos" w:hAnsi="Aptos" w:eastAsia="FangSong"/>
            <w:color w:val="000000"/>
            <w:u w:val="single"/>
          </w:rPr>
          <w:t>Webull quote subscriptions</w:t>
        </w:r>
      </w:hyperlink>
      <w:r>
        <w:rPr>
          <w:rFonts w:ascii="Aptos" w:hAnsi="Aptos" w:eastAsia="FangSong" w:cs="Aptos"/>
          <w:color w:val="666666"/>
          <w:sz w:val="17"/>
        </w:rPr>
        <w:t xml:space="preserve">  https://developer.webull.com/apis/docs/market-data-api/subscribe-quotes/</w:t>
      </w:r>
    </w:p>
    <w:p>
      <w:pPr>
        <w:numPr>
          <w:ilvl w:val="0"/>
          <w:numId w:val="12"/>
        </w:numPr>
        <w:widowControl w:val="1"/>
      </w:pPr>
      <w:hyperlink r:id="rId23">
        <w:r>
          <w:rPr>
            <w:rFonts w:ascii="Aptos" w:hAnsi="Aptos" w:eastAsia="FangSong"/>
            <w:color w:val="000000"/>
            <w:u w:val="single"/>
          </w:rPr>
          <w:t>Webull futures market data reference</w:t>
        </w:r>
      </w:hyperlink>
      <w:r>
        <w:rPr>
          <w:rFonts w:ascii="Aptos" w:hAnsi="Aptos" w:eastAsia="FangSong" w:cs="Aptos"/>
          <w:color w:val="666666"/>
          <w:sz w:val="17"/>
        </w:rPr>
        <w:t xml:space="preserve">  https://developer.webull.com/apis/docs/reference/futures-market-data/</w:t>
      </w:r>
    </w:p>
    <w:p>
      <w:pPr>
        <w:numPr>
          <w:ilvl w:val="0"/>
          <w:numId w:val="12"/>
        </w:numPr>
        <w:widowControl w:val="1"/>
      </w:pPr>
      <w:hyperlink r:id="rId24">
        <w:r>
          <w:rPr>
            <w:rFonts w:ascii="Aptos" w:hAnsi="Aptos" w:eastAsia="FangSong"/>
            <w:color w:val="000000"/>
            <w:u w:val="single"/>
          </w:rPr>
          <w:t>Webull options market data reference</w:t>
        </w:r>
      </w:hyperlink>
      <w:r>
        <w:rPr>
          <w:rFonts w:ascii="Aptos" w:hAnsi="Aptos" w:eastAsia="FangSong" w:cs="Aptos"/>
          <w:color w:val="666666"/>
          <w:sz w:val="17"/>
        </w:rPr>
        <w:t xml:space="preserve">  https://developer.webull.com/apis/docs/reference/options-market-data</w:t>
      </w:r>
    </w:p>
    <w:p>
      <w:pPr>
        <w:numPr>
          <w:ilvl w:val="0"/>
          <w:numId w:val="12"/>
        </w:numPr>
        <w:widowControl w:val="1"/>
      </w:pPr>
      <w:hyperlink r:id="rId25">
        <w:r>
          <w:rPr>
            <w:rFonts w:ascii="Aptos" w:hAnsi="Aptos" w:eastAsia="FangSong"/>
            <w:color w:val="000000"/>
            <w:u w:val="single"/>
          </w:rPr>
          <w:t>Webull SDK</w:t>
        </w:r>
      </w:hyperlink>
      <w:r>
        <w:rPr>
          <w:rFonts w:ascii="Aptos" w:hAnsi="Aptos" w:eastAsia="FangSong" w:cs="Aptos"/>
          <w:color w:val="666666"/>
          <w:sz w:val="17"/>
        </w:rPr>
        <w:t xml:space="preserve">  https://developer.webull.com/apis/docs/sdk/</w:t>
      </w:r>
    </w:p>
    <w:p>
      <w:pPr>
        <w:numPr>
          <w:ilvl w:val="0"/>
          <w:numId w:val="12"/>
        </w:numPr>
        <w:widowControl w:val="1"/>
      </w:pPr>
      <w:hyperlink r:id="rId26">
        <w:r>
          <w:rPr>
            <w:rFonts w:ascii="Aptos" w:hAnsi="Aptos" w:eastAsia="FangSong"/>
            <w:color w:val="000000"/>
            <w:u w:val="single"/>
          </w:rPr>
          <w:t>Webull index options</w:t>
        </w:r>
      </w:hyperlink>
      <w:r>
        <w:rPr>
          <w:rFonts w:ascii="Aptos" w:hAnsi="Aptos" w:eastAsia="FangSong" w:cs="Aptos"/>
          <w:color w:val="666666"/>
          <w:sz w:val="17"/>
        </w:rPr>
        <w:t xml:space="preserve">  https://www.webull.com/trading-investing/index-options</w:t>
      </w:r>
    </w:p>
    <w:p>
      <w:pPr>
        <w:numPr>
          <w:ilvl w:val="0"/>
          <w:numId w:val="12"/>
        </w:numPr>
        <w:widowControl w:val="1"/>
      </w:pPr>
      <w:hyperlink r:id="rId27">
        <w:r>
          <w:rPr>
            <w:rFonts w:ascii="Aptos" w:hAnsi="Aptos" w:eastAsia="FangSong"/>
            <w:color w:val="000000"/>
            <w:u w:val="single"/>
          </w:rPr>
          <w:t>Databento zero-DTE example</w:t>
        </w:r>
      </w:hyperlink>
      <w:r>
        <w:rPr>
          <w:rFonts w:ascii="Aptos" w:hAnsi="Aptos" w:eastAsia="FangSong" w:cs="Aptos"/>
          <w:color w:val="666666"/>
          <w:sz w:val="17"/>
        </w:rPr>
        <w:t xml:space="preserve">  https://databento.com/docs/examples/options/zero-dte-options</w:t>
      </w:r>
    </w:p>
    <w:p>
      <w:pPr>
        <w:numPr>
          <w:ilvl w:val="0"/>
          <w:numId w:val="12"/>
        </w:numPr>
        <w:widowControl w:val="1"/>
      </w:pPr>
      <w:hyperlink r:id="rId28">
        <w:r>
          <w:rPr>
            <w:rFonts w:ascii="Aptos" w:hAnsi="Aptos" w:eastAsia="FangSong"/>
            <w:color w:val="000000"/>
            <w:u w:val="single"/>
          </w:rPr>
          <w:t>Databento GLBX.MDP3</w:t>
        </w:r>
      </w:hyperlink>
      <w:r>
        <w:rPr>
          <w:rFonts w:ascii="Aptos" w:hAnsi="Aptos" w:eastAsia="FangSong" w:cs="Aptos"/>
          <w:color w:val="666666"/>
          <w:sz w:val="17"/>
        </w:rPr>
        <w:t xml:space="preserve">  https://databento.com/docs/venues-and-datasets/glbx-mdp3</w:t>
      </w:r>
    </w:p>
    <w:p>
      <w:pPr>
        <w:numPr>
          <w:ilvl w:val="0"/>
          <w:numId w:val="12"/>
        </w:numPr>
        <w:widowControl w:val="1"/>
      </w:pPr>
      <w:hyperlink r:id="rId29">
        <w:r>
          <w:rPr>
            <w:rFonts w:ascii="Aptos" w:hAnsi="Aptos" w:eastAsia="FangSong"/>
            <w:color w:val="000000"/>
            <w:u w:val="single"/>
          </w:rPr>
          <w:t>Databento OPRA.PILLAR</w:t>
        </w:r>
      </w:hyperlink>
      <w:r>
        <w:rPr>
          <w:rFonts w:ascii="Aptos" w:hAnsi="Aptos" w:eastAsia="FangSong" w:cs="Aptos"/>
          <w:color w:val="666666"/>
          <w:sz w:val="17"/>
        </w:rPr>
        <w:t xml:space="preserve">  https://databento.com/docs/venues-and-datasets/opra-pillar</w:t>
      </w:r>
    </w:p>
    <w:p>
      <w:pPr>
        <w:numPr>
          <w:ilvl w:val="0"/>
          <w:numId w:val="12"/>
        </w:numPr>
        <w:widowControl w:val="1"/>
      </w:pPr>
      <w:hyperlink r:id="rId30">
        <w:r>
          <w:rPr>
            <w:rFonts w:ascii="Aptos" w:hAnsi="Aptos" w:eastAsia="FangSong"/>
            <w:color w:val="000000"/>
            <w:u w:val="single"/>
          </w:rPr>
          <w:t>Massive futures aggregates</w:t>
        </w:r>
      </w:hyperlink>
      <w:r>
        <w:rPr>
          <w:rFonts w:ascii="Aptos" w:hAnsi="Aptos" w:eastAsia="FangSong" w:cs="Aptos"/>
          <w:color w:val="666666"/>
          <w:sz w:val="17"/>
        </w:rPr>
        <w:t xml:space="preserve">  https://massive.com/docs/rest/futures/aggregates</w:t>
      </w:r>
    </w:p>
    <w:p>
      <w:pPr>
        <w:numPr>
          <w:ilvl w:val="0"/>
          <w:numId w:val="12"/>
        </w:numPr>
        <w:widowControl w:val="1"/>
      </w:pPr>
      <w:hyperlink r:id="rId31">
        <w:r>
          <w:rPr>
            <w:rFonts w:ascii="Aptos" w:hAnsi="Aptos" w:eastAsia="FangSong"/>
            <w:color w:val="000000"/>
            <w:u w:val="single"/>
          </w:rPr>
          <w:t>Massive options overview</w:t>
        </w:r>
      </w:hyperlink>
      <w:r>
        <w:rPr>
          <w:rFonts w:ascii="Aptos" w:hAnsi="Aptos" w:eastAsia="FangSong" w:cs="Aptos"/>
          <w:color w:val="666666"/>
          <w:sz w:val="17"/>
        </w:rPr>
        <w:t xml:space="preserve">  https://massive.com/docs/rest/options/overview</w:t>
      </w:r>
    </w:p>
    <w:p>
      <w:pPr>
        <w:numPr>
          <w:ilvl w:val="0"/>
          <w:numId w:val="12"/>
        </w:numPr>
        <w:widowControl w:val="1"/>
      </w:pPr>
      <w:hyperlink r:id="rId32">
        <w:r>
          <w:rPr>
            <w:rFonts w:ascii="Aptos" w:hAnsi="Aptos" w:eastAsia="FangSong"/>
            <w:color w:val="000000"/>
            <w:u w:val="single"/>
          </w:rPr>
          <w:t>Massive indices overview</w:t>
        </w:r>
      </w:hyperlink>
      <w:r>
        <w:rPr>
          <w:rFonts w:ascii="Aptos" w:hAnsi="Aptos" w:eastAsia="FangSong" w:cs="Aptos"/>
          <w:color w:val="666666"/>
          <w:sz w:val="17"/>
        </w:rPr>
        <w:t xml:space="preserve">  https://massive.com/docs/rest/indices/overview</w:t>
      </w:r>
    </w:p>
    <w:p>
      <w:pPr>
        <w:numPr>
          <w:ilvl w:val="0"/>
          <w:numId w:val="12"/>
        </w:numPr>
        <w:widowControl w:val="1"/>
      </w:pPr>
      <w:hyperlink r:id="rId33">
        <w:r>
          <w:rPr>
            <w:rFonts w:ascii="Aptos" w:hAnsi="Aptos" w:eastAsia="FangSong"/>
            <w:color w:val="000000"/>
            <w:u w:val="single"/>
          </w:rPr>
          <w:t>BLS release calendar</w:t>
        </w:r>
      </w:hyperlink>
      <w:r>
        <w:rPr>
          <w:rFonts w:ascii="Aptos" w:hAnsi="Aptos" w:eastAsia="FangSong" w:cs="Aptos"/>
          <w:color w:val="666666"/>
          <w:sz w:val="17"/>
        </w:rPr>
        <w:t xml:space="preserve">  https://www.bls.gov/schedule/</w:t>
      </w:r>
    </w:p>
    <w:p>
      <w:pPr>
        <w:numPr>
          <w:ilvl w:val="0"/>
          <w:numId w:val="12"/>
        </w:numPr>
        <w:widowControl w:val="1"/>
      </w:pPr>
      <w:hyperlink r:id="rId34">
        <w:r>
          <w:rPr>
            <w:rFonts w:ascii="Aptos" w:hAnsi="Aptos" w:eastAsia="FangSong"/>
            <w:color w:val="000000"/>
            <w:u w:val="single"/>
          </w:rPr>
          <w:t>BEA news release schedule</w:t>
        </w:r>
      </w:hyperlink>
      <w:r>
        <w:rPr>
          <w:rFonts w:ascii="Aptos" w:hAnsi="Aptos" w:eastAsia="FangSong" w:cs="Aptos"/>
          <w:color w:val="666666"/>
          <w:sz w:val="17"/>
        </w:rPr>
        <w:t xml:space="preserve">  https://www.bea.gov/news/schedule</w:t>
      </w:r>
    </w:p>
    <w:p>
      <w:pPr>
        <w:numPr>
          <w:ilvl w:val="0"/>
          <w:numId w:val="12"/>
        </w:numPr>
        <w:widowControl w:val="1"/>
      </w:pPr>
      <w:hyperlink r:id="rId35">
        <w:r>
          <w:rPr>
            <w:rFonts w:ascii="Aptos" w:hAnsi="Aptos" w:eastAsia="FangSong"/>
            <w:color w:val="000000"/>
            <w:u w:val="single"/>
          </w:rPr>
          <w:t>Federal Reserve FOMC calendars</w:t>
        </w:r>
      </w:hyperlink>
      <w:r>
        <w:rPr>
          <w:rFonts w:ascii="Aptos" w:hAnsi="Aptos" w:eastAsia="FangSong" w:cs="Aptos"/>
          <w:color w:val="666666"/>
          <w:sz w:val="17"/>
        </w:rPr>
        <w:t xml:space="preserve">  https://www.federalreserve.gov/monetarypolicy/fomccalendars.htm</w:t>
      </w:r>
    </w:p>
    <w:p>
      <w:pPr>
        <w:numPr>
          <w:ilvl w:val="0"/>
          <w:numId w:val="12"/>
        </w:numPr>
        <w:widowControl w:val="1"/>
      </w:pPr>
      <w:hyperlink r:id="rId36">
        <w:r>
          <w:rPr>
            <w:rFonts w:ascii="Aptos" w:hAnsi="Aptos" w:eastAsia="FangSong"/>
            <w:color w:val="000000"/>
            <w:u w:val="single"/>
          </w:rPr>
          <w:t>SEC EDGAR APIs</w:t>
        </w:r>
      </w:hyperlink>
      <w:r>
        <w:rPr>
          <w:rFonts w:ascii="Aptos" w:hAnsi="Aptos" w:eastAsia="FangSong" w:cs="Aptos"/>
          <w:color w:val="666666"/>
          <w:sz w:val="17"/>
        </w:rPr>
        <w:t xml:space="preserve">  https://www.sec.gov/search-filings/edgar-application-programming-interfaces</w:t>
      </w:r>
    </w:p>
    <w:p>
      <w:pPr>
        <w:numPr>
          <w:ilvl w:val="0"/>
          <w:numId w:val="12"/>
        </w:numPr>
        <w:widowControl w:val="1"/>
      </w:pPr>
      <w:hyperlink r:id="rId37">
        <w:r>
          <w:rPr>
            <w:rFonts w:ascii="Aptos" w:hAnsi="Aptos" w:eastAsia="FangSong"/>
            <w:color w:val="000000"/>
            <w:u w:val="single"/>
          </w:rPr>
          <w:t>US Treasury quarterly refunding</w:t>
        </w:r>
      </w:hyperlink>
      <w:r>
        <w:rPr>
          <w:rFonts w:ascii="Aptos" w:hAnsi="Aptos" w:eastAsia="FangSong" w:cs="Aptos"/>
          <w:color w:val="666666"/>
          <w:sz w:val="17"/>
        </w:rPr>
        <w:t xml:space="preserve">  https://home.treasury.gov/policy-issues/financing-the-government/quarterly-refunding/most-recent-quarterly-refunding-documents</w:t>
      </w:r>
    </w:p>
    <w:p>
      <w:pPr>
        <w:widowControl w:val="1"/>
      </w:pPr>
      <w:r>
        <w:rPr>
          <w:rFonts w:ascii="Aptos" w:hAnsi="Aptos" w:eastAsia="FangSong" w:cs="Aptos"/>
          <w:i/>
          <w:color w:val="000000"/>
          <w:sz w:val="21"/>
        </w:rPr>
        <w:t>来源用于定义产品、交易时段、数据接口与事件日历。供应商套餐、授权、字段覆盖和接口状态可能变化；开发时必须重新核对官方文档与账户实际响应。</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FangSong" w:cs="Aptos"/>
        <w:color w:val="666666"/>
        <w:sz w:val="17"/>
      </w:rPr>
      <w:t xml:space="preserve">内部开发文件  |  </w:t>
    </w:r>
    <w:r>
      <w:rPr>
        <w:rFonts w:ascii="Aptos" w:hAnsi="Aptos" w:eastAsia="FangSong" w:cs="Aptos"/>
        <w:color w:val="666666"/>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FangSong" w:cs="Aptos"/>
        <w:color w:val="666666"/>
        <w:sz w:val="17"/>
      </w:rPr>
      <w:t>MarketPilot 跨市场决策智能平台  |  技术设计说明书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00" w:line="30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00" w:line="30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after="10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eastAsia="FangSo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Aptos" w:hAnsi="Aptos" w:eastAsia="FangSong"/>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ptos" w:hAnsi="Aptos" w:eastAsia="FangSong"/>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Aptos" w:hAnsi="Aptos" w:eastAsia="FangSong"/>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88" w:right="288"/>
    </w:pPr>
    <w:rPr>
      <w:rFonts w:ascii="Aptos Mono" w:hAnsi="Aptos Mono" w:eastAsia="FangSong"/>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megroup.com/trading/equity-index/fairvalue.html" TargetMode="External"/><Relationship Id="rId12" Type="http://schemas.openxmlformats.org/officeDocument/2006/relationships/hyperlink" Target="https://www.cmegroup.com/education/courses/introduction-to-equity-index-products/what-is-equity-index-basis" TargetMode="External"/><Relationship Id="rId13" Type="http://schemas.openxmlformats.org/officeDocument/2006/relationships/hyperlink" Target="https://www.cmegroup.com/trading/equity-index/trade-at-cash-open.html" TargetMode="External"/><Relationship Id="rId14" Type="http://schemas.openxmlformats.org/officeDocument/2006/relationships/hyperlink" Target="https://www.cmegroup.com/markets/equities/sp/e-mini-sandp500.html" TargetMode="External"/><Relationship Id="rId15" Type="http://schemas.openxmlformats.org/officeDocument/2006/relationships/hyperlink" Target="https://www.cmegroup.com/markets/equities/sp/e-mini-sandp500.quotes.html" TargetMode="External"/><Relationship Id="rId16" Type="http://schemas.openxmlformats.org/officeDocument/2006/relationships/hyperlink" Target="https://www.cmegroup.com/datamine.html" TargetMode="External"/><Relationship Id="rId17" Type="http://schemas.openxmlformats.org/officeDocument/2006/relationships/hyperlink" Target="https://www.cboe.com/tradable-products/sp-500/spx-options/" TargetMode="External"/><Relationship Id="rId18" Type="http://schemas.openxmlformats.org/officeDocument/2006/relationships/hyperlink" Target="https://www.cboe.com/en/about/hours/us-options/" TargetMode="External"/><Relationship Id="rId19" Type="http://schemas.openxmlformats.org/officeDocument/2006/relationships/hyperlink" Target="https://datashop.cboe.com/option-quote-intervals" TargetMode="External"/><Relationship Id="rId20" Type="http://schemas.openxmlformats.org/officeDocument/2006/relationships/hyperlink" Target="https://developer.webull.com/apis/docs/" TargetMode="External"/><Relationship Id="rId21" Type="http://schemas.openxmlformats.org/officeDocument/2006/relationships/hyperlink" Target="https://developer.webull.com/apis/docs/market-data-api/overview/" TargetMode="External"/><Relationship Id="rId22" Type="http://schemas.openxmlformats.org/officeDocument/2006/relationships/hyperlink" Target="https://developer.webull.com/apis/docs/market-data-api/subscribe-quotes/" TargetMode="External"/><Relationship Id="rId23" Type="http://schemas.openxmlformats.org/officeDocument/2006/relationships/hyperlink" Target="https://developer.webull.com/apis/docs/reference/futures-market-data/" TargetMode="External"/><Relationship Id="rId24" Type="http://schemas.openxmlformats.org/officeDocument/2006/relationships/hyperlink" Target="https://developer.webull.com/apis/docs/reference/options-market-data" TargetMode="External"/><Relationship Id="rId25" Type="http://schemas.openxmlformats.org/officeDocument/2006/relationships/hyperlink" Target="https://developer.webull.com/apis/docs/sdk/" TargetMode="External"/><Relationship Id="rId26" Type="http://schemas.openxmlformats.org/officeDocument/2006/relationships/hyperlink" Target="https://www.webull.com/trading-investing/index-options" TargetMode="External"/><Relationship Id="rId27" Type="http://schemas.openxmlformats.org/officeDocument/2006/relationships/hyperlink" Target="https://databento.com/docs/examples/options/zero-dte-options" TargetMode="External"/><Relationship Id="rId28" Type="http://schemas.openxmlformats.org/officeDocument/2006/relationships/hyperlink" Target="https://databento.com/docs/venues-and-datasets/glbx-mdp3" TargetMode="External"/><Relationship Id="rId29" Type="http://schemas.openxmlformats.org/officeDocument/2006/relationships/hyperlink" Target="https://databento.com/docs/venues-and-datasets/opra-pillar" TargetMode="External"/><Relationship Id="rId30" Type="http://schemas.openxmlformats.org/officeDocument/2006/relationships/hyperlink" Target="https://massive.com/docs/rest/futures/aggregates" TargetMode="External"/><Relationship Id="rId31" Type="http://schemas.openxmlformats.org/officeDocument/2006/relationships/hyperlink" Target="https://massive.com/docs/rest/options/overview" TargetMode="External"/><Relationship Id="rId32" Type="http://schemas.openxmlformats.org/officeDocument/2006/relationships/hyperlink" Target="https://massive.com/docs/rest/indices/overview" TargetMode="External"/><Relationship Id="rId33" Type="http://schemas.openxmlformats.org/officeDocument/2006/relationships/hyperlink" Target="https://www.bls.gov/schedule/" TargetMode="External"/><Relationship Id="rId34" Type="http://schemas.openxmlformats.org/officeDocument/2006/relationships/hyperlink" Target="https://www.bea.gov/news/schedule" TargetMode="External"/><Relationship Id="rId35" Type="http://schemas.openxmlformats.org/officeDocument/2006/relationships/hyperlink" Target="https://www.federalreserve.gov/monetarypolicy/fomccalendars.htm" TargetMode="External"/><Relationship Id="rId36" Type="http://schemas.openxmlformats.org/officeDocument/2006/relationships/hyperlink" Target="https://www.sec.gov/search-filings/edgar-application-programming-interfaces" TargetMode="External"/><Relationship Id="rId37" Type="http://schemas.openxmlformats.org/officeDocument/2006/relationships/hyperlink" Target="https://home.treasury.gov/policy-issues/financing-the-government/quarterly-refunding/most-recent-quarterly-refunding-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MarketPilot 跨市场决策智能平台 技术设计与 Codex 开发说明书</dc:title>
  <dc:subject>MarketPilot 平台架构与 Model 01 StrikePilot：SPX-ES 坐标、事件后重跑、双侧尾部风险和 SPXW 短腿决策</dc:subject>
  <dc:creator/>
  <cp:keywords>MarketPilot, StrikePilot, Spot, Options, Futures, SPX, SPXW, ES, 0DTE, Webull, Codex, Decision Intelligence</cp:keywords>
  <dc:description>Version 1.1 - MarketPilot platform with Model 01 StrikePilot; decision-support only; no automated order execution.</dc:description>
  <cp:lastModifiedBy/>
  <cp:revision>1</cp:revision>
  <dcterms:created xsi:type="dcterms:W3CDTF">2013-12-23T23:15:00Z</dcterms:created>
  <dcterms:modified xsi:type="dcterms:W3CDTF">2013-12-23T23:15:00Z</dcterms:modified>
  <cp:category/>
</cp:coreProperties>
</file>