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12020" w:val="clear"/>
            <w:tcMar>
              <w:top w:type="dxa" w:w="260"/>
              <w:left w:type="dxa" w:w="400"/>
              <w:bottom w:type="dxa" w:w="220"/>
              <w:right w:type="dxa" w:w="4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CE08B"/>
                <w:sz w:val="28"/>
                <w:szCs w:val="28"/>
              </w:rPr>
              <w:t xml:space="preserve">THE LEGIT TALKS</w:t>
            </w:r>
          </w:p>
          <w:p>
            <w:pPr>
              <w:spacing w:before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8"/>
                <w:szCs w:val="58"/>
              </w:rPr>
              <w:t xml:space="preserve">NAARI LED VYAPAAR</w:t>
            </w:r>
          </w:p>
          <w:p>
            <w:pPr>
              <w:spacing w:before="10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CE08B"/>
                <w:sz w:val="40"/>
                <w:szCs w:val="40"/>
              </w:rPr>
              <w:t xml:space="preserve">Internal Team Handbook</w:t>
            </w:r>
          </w:p>
          <w:p>
            <w:pPr>
              <w:spacing w:before="8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FFFFFF"/>
                <w:sz w:val="22"/>
                <w:szCs w:val="22"/>
              </w:rPr>
              <w:t xml:space="preserve">Team Culture, Collaboration &amp; Operational Standards</w:t>
            </w:r>
          </w:p>
        </w:tc>
      </w:tr>
    </w:tbl>
    <w:p>
      <w:pPr>
        <w:spacing w:after="6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00"/>
              <w:left w:type="dxa" w:w="400"/>
              <w:bottom w:type="dxa" w:w="10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Version 1.0  |  For Internal Team Members Only</w:t>
            </w:r>
          </w:p>
        </w:tc>
      </w:tr>
    </w:tbl>
    <w:p>
      <w:pPr>
        <w:spacing w:after="120" w:before="2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D4A0C0"/>
          <w:sz w:val="32"/>
          <w:szCs w:val="32"/>
        </w:rPr>
        <w:t xml:space="preserve">Discover. Connect. Rise.</w:t>
      </w:r>
    </w:p>
    <w:p>
      <w:pPr>
        <w:spacing w:after="80" w:before="8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D4A0C0"/>
          <w:sz w:val="20"/>
          <w:szCs w:val="20"/>
        </w:rPr>
        <w:t xml:space="preserve">An Initiative by The Legit Talks</w:t>
      </w:r>
    </w:p>
    <w:p>
      <w:pPr>
        <w:spacing w:after="0" w:before="400"/>
      </w:pPr>
    </w:p>
    <w:p>
      <w:r>
        <w:br w:type="page"/>
      </w:r>
    </w:p>
    <w:p>
      <w:pPr>
        <w:spacing w:after="200" w:before="200"/>
      </w:pPr>
      <w:r>
        <w:rPr>
          <w:rFonts w:ascii="Georgia" w:cs="Georgia" w:eastAsia="Georgia" w:hAnsi="Georgia"/>
          <w:b/>
          <w:bCs/>
          <w:color w:val="E12020"/>
          <w:sz w:val="36"/>
          <w:szCs w:val="36"/>
        </w:rPr>
        <w:t xml:space="preserve">Table of Contents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120"/>
      </w:pP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1.  Our Mission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2.  Our Working Philosophy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3.  Team Values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4.  Organizational Structure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5.  Team Roles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6.  Communication Standards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7.  Decision-Making Framework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8.  Meeting Structure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9.  Campaign War Room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10.  File Management Standards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11.  Approval Workflow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12.  Founder Interaction Guidelines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13.  Content Collaboration Workflow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14.  Internal Escalation Matrix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15.  Daily &amp; Weekly Checklists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16.  Performance Standards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17.  Team Culture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18.  Post-Campaign Reflection</w:t>
      </w: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Welcome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24"/>
              <w:bottom w:val="none"/>
              <w:right w:val="none"/>
            </w:tcBorders>
            <w:shd w:fill="F9E4EE" w:val="clear"/>
            <w:tcMar>
              <w:top w:type="dxa" w:w="280"/>
              <w:left w:type="dxa" w:w="400"/>
              <w:bottom w:type="dxa" w:w="280"/>
              <w:right w:type="dxa" w:w="36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2C1A1A"/>
                <w:sz w:val="22"/>
                <w:szCs w:val="22"/>
              </w:rPr>
              <w:t xml:space="preserve">Welcome to the team behind Naari Led Vyapaar.</w:t>
            </w:r>
          </w:p>
          <w:p>
            <w:pPr>
              <w:spacing w:after="40" w:before="40"/>
            </w:pP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2C1A1A"/>
                <w:sz w:val="22"/>
                <w:szCs w:val="22"/>
              </w:rPr>
              <w:t xml:space="preserve">You are not simply managing a marketing campaign.</w:t>
            </w:r>
          </w:p>
          <w:p>
            <w:pPr>
              <w:spacing w:after="40" w:before="40"/>
            </w:pP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2C1A1A"/>
                <w:sz w:val="22"/>
                <w:szCs w:val="22"/>
              </w:rPr>
              <w:t xml:space="preserve">You are helping create opportunities for women entrepreneurs to be seen, heard, and celebrated.</w:t>
            </w:r>
          </w:p>
          <w:p>
            <w:pPr>
              <w:spacing w:after="40" w:before="40"/>
            </w:pP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2C1A1A"/>
                <w:sz w:val="22"/>
                <w:szCs w:val="22"/>
              </w:rPr>
              <w:t xml:space="preserve">Every interaction you have with a founder reflects the values of The Legit Talks.</w:t>
            </w:r>
          </w:p>
          <w:p>
            <w:pPr>
              <w:spacing w:after="40" w:before="40"/>
            </w:pP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2C1A1A"/>
                <w:sz w:val="22"/>
                <w:szCs w:val="22"/>
              </w:rPr>
              <w:t xml:space="preserve">Every decision you make contributes to the trust this movement earns.</w:t>
            </w:r>
          </w:p>
          <w:p>
            <w:pPr>
              <w:spacing w:after="40" w:before="40"/>
            </w:pP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2C1A1A"/>
                <w:sz w:val="22"/>
                <w:szCs w:val="22"/>
              </w:rPr>
              <w:t xml:space="preserve">This handbook exists to ensure that every member of the team works with the same purpose, standards, and commitment.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1. Our Mission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Our mission is to build India’s most trusted platform for discovering and celebrating women-led businesses through authentic storytelling, visibility, and community.</w:t>
            </w:r>
          </w:p>
        </w:tc>
      </w:tr>
    </w:tbl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Every task—whether replying to a message or designing a graphic—supports this mission.</w:t>
      </w:r>
    </w:p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2. Our Working Philosophy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We believe: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People before processes.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Trust before growth.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Community before competition.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Consistency before intensity.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Long-term impact before short-term virality.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4B8C8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Operational excellence is how we honour every founder’s trust.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3. Team Values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Every team member should demonstrate: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4"/>
                <w:szCs w:val="24"/>
              </w:rPr>
              <w:t xml:space="preserve">Ownership</w:t>
            </w:r>
          </w:p>
        </w:tc>
        <w:tc>
          <w:tcPr>
            <w:tcW w:type="dxa" w:w="8280"/>
            <w:tcBorders>
              <w:top w:val="none"/>
              <w:left w:val="single" w:color="F4B8C8" w:sz="8"/>
              <w:bottom w:val="none"/>
              <w:right w:val="none"/>
            </w:tcBorders>
            <w:shd w:fill="F5F0F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Treat every responsibility as if the movement depends on it.</w:t>
            </w:r>
          </w:p>
        </w:tc>
      </w:tr>
    </w:tbl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C2B1E1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4"/>
                <w:szCs w:val="24"/>
              </w:rPr>
              <w:t xml:space="preserve">Empathy</w:t>
            </w:r>
          </w:p>
        </w:tc>
        <w:tc>
          <w:tcPr>
            <w:tcW w:type="dxa" w:w="8280"/>
            <w:tcBorders>
              <w:top w:val="none"/>
              <w:left w:val="single" w:color="C2B1E1" w:sz="8"/>
              <w:bottom w:val="none"/>
              <w:right w:val="none"/>
            </w:tcBorders>
            <w:shd w:fill="F5F0F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Every founder is trusting us with a personal story. Respond with patience and respect.</w:t>
            </w:r>
          </w:p>
        </w:tc>
      </w:tr>
    </w:tbl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CE08B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4"/>
                <w:szCs w:val="24"/>
              </w:rPr>
              <w:t xml:space="preserve">Accountability</w:t>
            </w:r>
          </w:p>
        </w:tc>
        <w:tc>
          <w:tcPr>
            <w:tcW w:type="dxa" w:w="8280"/>
            <w:tcBorders>
              <w:top w:val="none"/>
              <w:left w:val="single" w:color="FCE08B" w:sz="8"/>
              <w:bottom w:val="none"/>
              <w:right w:val="none"/>
            </w:tcBorders>
            <w:shd w:fill="F5F0F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Mistakes happen. Hiding mistakes damages trust. Own them early and solve them together.</w:t>
            </w:r>
          </w:p>
        </w:tc>
      </w:tr>
    </w:tbl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C0E0C0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4"/>
                <w:szCs w:val="24"/>
              </w:rPr>
              <w:t xml:space="preserve">Collaboration</w:t>
            </w:r>
          </w:p>
        </w:tc>
        <w:tc>
          <w:tcPr>
            <w:tcW w:type="dxa" w:w="8280"/>
            <w:tcBorders>
              <w:top w:val="none"/>
              <w:left w:val="single" w:color="C0E0C0" w:sz="8"/>
              <w:bottom w:val="none"/>
              <w:right w:val="none"/>
            </w:tcBorders>
            <w:shd w:fill="F5F0F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No department succeeds alone. Marketing, design, community, content, and operations work as one team.</w:t>
            </w:r>
          </w:p>
        </w:tc>
      </w:tr>
    </w:tbl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D4A0C0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4"/>
                <w:szCs w:val="24"/>
              </w:rPr>
              <w:t xml:space="preserve">Learning</w:t>
            </w:r>
          </w:p>
        </w:tc>
        <w:tc>
          <w:tcPr>
            <w:tcW w:type="dxa" w:w="8280"/>
            <w:tcBorders>
              <w:top w:val="none"/>
              <w:left w:val="single" w:color="D4A0C0" w:sz="8"/>
              <w:bottom w:val="none"/>
              <w:right w:val="none"/>
            </w:tcBorders>
            <w:shd w:fill="F5F0F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Every edition of Naari Led Vyapaar should improve upon the last. Document lessons. Share knowledge. Stay curious.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4. Organizational Structure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1"/>
                <w:szCs w:val="21"/>
              </w:rPr>
              <w:t xml:space="preserve">Campaign Lead</w:t>
            </w:r>
          </w:p>
        </w:tc>
        <w:tc>
          <w:tcPr>
            <w:tcW w:type="dxa" w:w="8080"/>
            <w:tcBorders>
              <w:top w:val="none"/>
              <w:left w:val="single" w:color="F4B8C8" w:sz="6"/>
              <w:bottom w:val="none"/>
              <w:right w:val="none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Provides strategic direction and final approvals.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C2B1E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1"/>
                <w:szCs w:val="21"/>
              </w:rPr>
              <w:t xml:space="preserve">Operations Coordinator</w:t>
            </w:r>
          </w:p>
        </w:tc>
        <w:tc>
          <w:tcPr>
            <w:tcW w:type="dxa" w:w="8080"/>
            <w:tcBorders>
              <w:top w:val="none"/>
              <w:left w:val="single" w:color="C2B1E1" w:sz="6"/>
              <w:bottom w:val="none"/>
              <w:right w:val="none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Ensures timelines, trackers, and execution remain on schedule.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CE08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1"/>
                <w:szCs w:val="21"/>
              </w:rPr>
              <w:t xml:space="preserve">Community Manager</w:t>
            </w:r>
          </w:p>
        </w:tc>
        <w:tc>
          <w:tcPr>
            <w:tcW w:type="dxa" w:w="8080"/>
            <w:tcBorders>
              <w:top w:val="none"/>
              <w:left w:val="single" w:color="FCE08B" w:sz="6"/>
              <w:bottom w:val="none"/>
              <w:right w:val="none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Owns founder relationships and community engagement.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C0E0C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1"/>
                <w:szCs w:val="21"/>
              </w:rPr>
              <w:t xml:space="preserve">Social Media Manager</w:t>
            </w:r>
          </w:p>
        </w:tc>
        <w:tc>
          <w:tcPr>
            <w:tcW w:type="dxa" w:w="8080"/>
            <w:tcBorders>
              <w:top w:val="none"/>
              <w:left w:val="single" w:color="C0E0C0" w:sz="6"/>
              <w:bottom w:val="none"/>
              <w:right w:val="none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Owns publishing, platform interactions, and audience engagement.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D4A0C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1"/>
                <w:szCs w:val="21"/>
              </w:rPr>
              <w:t xml:space="preserve">Designer</w:t>
            </w:r>
          </w:p>
        </w:tc>
        <w:tc>
          <w:tcPr>
            <w:tcW w:type="dxa" w:w="8080"/>
            <w:tcBorders>
              <w:top w:val="none"/>
              <w:left w:val="single" w:color="D4A0C0" w:sz="6"/>
              <w:bottom w:val="none"/>
              <w:right w:val="none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Maintains visual consistency and creative assets.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9E4E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1"/>
                <w:szCs w:val="21"/>
              </w:rPr>
              <w:t xml:space="preserve">Video Editor</w:t>
            </w:r>
          </w:p>
        </w:tc>
        <w:tc>
          <w:tcPr>
            <w:tcW w:type="dxa" w:w="8080"/>
            <w:tcBorders>
              <w:top w:val="none"/>
              <w:left w:val="single" w:color="F9E4EE" w:sz="6"/>
              <w:bottom w:val="none"/>
              <w:right w:val="none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Produces compelling founder-focused storytelling.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1"/>
                <w:szCs w:val="21"/>
              </w:rPr>
              <w:t xml:space="preserve">Ads Manager</w:t>
            </w:r>
          </w:p>
        </w:tc>
        <w:tc>
          <w:tcPr>
            <w:tcW w:type="dxa" w:w="8080"/>
            <w:tcBorders>
              <w:top w:val="none"/>
              <w:left w:val="single" w:color="F4B8C8" w:sz="6"/>
              <w:bottom w:val="none"/>
              <w:right w:val="none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Optimizes paid campaigns and acquisition costs.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C2B1E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1"/>
                <w:szCs w:val="21"/>
              </w:rPr>
              <w:t xml:space="preserve">Volunteers &amp; Interns</w:t>
            </w:r>
          </w:p>
        </w:tc>
        <w:tc>
          <w:tcPr>
            <w:tcW w:type="dxa" w:w="8080"/>
            <w:tcBorders>
              <w:top w:val="none"/>
              <w:left w:val="single" w:color="C2B1E1" w:sz="6"/>
              <w:bottom w:val="none"/>
              <w:right w:val="none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Support execution while upholding all campaign values and standards.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5. Team Roles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Every role has two responsibilities: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4B8C8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Functional Responsibility</w:t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The work you are assigned.</w:t>
            </w:r>
          </w:p>
        </w:tc>
        <w:tc>
          <w:tcPr>
            <w:tcW w:type="dxa" w:w="504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C2B1E1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Cultural Responsibility</w:t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The trust and experience you create for founders and fellow team members.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No role is “behind the scenes.” Every role shapes the movement.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6. Communication Standards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Internal Communication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Be: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Clear.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Concise.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Respectful.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Action-oriented.</w:t>
      </w:r>
    </w:p>
    <w:p>
      <w:pPr>
        <w:spacing w:after="4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Avoid assumptions.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Always confirm deadlines and ownership.</w:t>
      </w:r>
    </w:p>
    <w:p>
      <w:pPr>
        <w:spacing w:after="60" w:before="10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Founder Communication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Every message should: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Acknowledge the founder.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Answer the question directly.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Provide next steps.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Close warmly.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The tone should always feel human.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7. Decision-Making Framework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Before making a decision, ask:</w:t>
      </w:r>
    </w:p>
    <w:p>
      <w:pPr>
        <w:spacing w:after="40" w:before="6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Does this strengthen founder trust?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Does this align with TLT’s values?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Does this improve the founder experience?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Does this support long-term community building?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5.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Would we proudly explain this decision publicly?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If the answer to any question is “No,” reconsider.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8. Meeting Structure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Daily Stand-Up (15–20 Minutes)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Agenda: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Yesterday’s wins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Current blockers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Today’s priorities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Urgent founder needs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Campaign metrics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Focus on action, not discussion.</w:t>
            </w:r>
          </w:p>
        </w:tc>
      </w:tr>
    </w:tbl>
    <w:p>
      <w:pPr>
        <w:spacing w:after="60" w:before="10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Weekly Strategy Meeting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Agenda: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KPI 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Team feedback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Founder insights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Campaign improvements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Upcoming priorities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Document all decisions.</w:t>
            </w:r>
          </w:p>
        </w:tc>
      </w:tr>
    </w:tbl>
    <w:p>
      <w:pPr>
        <w:spacing w:after="60" w:before="10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Post-Campaign Review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Discuss:</w:t>
      </w:r>
    </w:p>
    <w:p>
      <w:pPr>
        <w:spacing w:after="40" w:before="4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What exceeded expectations?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What failed?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What should be repeated?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What should stop?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What new ideas emerged?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4B8C8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Every edition should leave behind institutional knowledge.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9. Campaign War Room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Maintain one centralized dashboard containing:</w:t>
      </w:r>
    </w:p>
    <w:p>
      <w:pPr>
        <w:spacing w:after="4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Founder application tracker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Selection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Feature schedule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Live session calendar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Asset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Ad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Daily KPIs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Pending approvals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Team assignments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There should always be a single source of truth.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10. File Management Standards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Folder Structure</w:t>
      </w:r>
    </w:p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480"/>
      </w:tblGrid>
      <w:tr>
        <w:tc>
          <w:tcPr>
            <w:tcW w:type="dxa" w:w="60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4B8C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12020"/>
                <w:sz w:val="20"/>
                <w:szCs w:val="20"/>
              </w:rPr>
              <w:t xml:space="preserve">01</w:t>
            </w:r>
          </w:p>
        </w:tc>
        <w:tc>
          <w:tcPr>
            <w:tcW w:type="dxa" w:w="94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Brand Assets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480"/>
      </w:tblGrid>
      <w:tr>
        <w:tc>
          <w:tcPr>
            <w:tcW w:type="dxa" w:w="60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C2B1E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12020"/>
                <w:sz w:val="20"/>
                <w:szCs w:val="20"/>
              </w:rPr>
              <w:t xml:space="preserve">02</w:t>
            </w:r>
          </w:p>
        </w:tc>
        <w:tc>
          <w:tcPr>
            <w:tcW w:type="dxa" w:w="94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Content Calendar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480"/>
      </w:tblGrid>
      <w:tr>
        <w:tc>
          <w:tcPr>
            <w:tcW w:type="dxa" w:w="60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CE08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12020"/>
                <w:sz w:val="20"/>
                <w:szCs w:val="20"/>
              </w:rPr>
              <w:t xml:space="preserve">03</w:t>
            </w:r>
          </w:p>
        </w:tc>
        <w:tc>
          <w:tcPr>
            <w:tcW w:type="dxa" w:w="94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Founder Applications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480"/>
      </w:tblGrid>
      <w:tr>
        <w:tc>
          <w:tcPr>
            <w:tcW w:type="dxa" w:w="60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C0E0C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12020"/>
                <w:sz w:val="20"/>
                <w:szCs w:val="20"/>
              </w:rPr>
              <w:t xml:space="preserve">04</w:t>
            </w:r>
          </w:p>
        </w:tc>
        <w:tc>
          <w:tcPr>
            <w:tcW w:type="dxa" w:w="94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Founder Features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480"/>
      </w:tblGrid>
      <w:tr>
        <w:tc>
          <w:tcPr>
            <w:tcW w:type="dxa" w:w="60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D4A0C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12020"/>
                <w:sz w:val="20"/>
                <w:szCs w:val="20"/>
              </w:rPr>
              <w:t xml:space="preserve">05</w:t>
            </w:r>
          </w:p>
        </w:tc>
        <w:tc>
          <w:tcPr>
            <w:tcW w:type="dxa" w:w="94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Live Sessions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480"/>
      </w:tblGrid>
      <w:tr>
        <w:tc>
          <w:tcPr>
            <w:tcW w:type="dxa" w:w="60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9E4E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12020"/>
                <w:sz w:val="20"/>
                <w:szCs w:val="20"/>
              </w:rPr>
              <w:t xml:space="preserve">06</w:t>
            </w:r>
          </w:p>
        </w:tc>
        <w:tc>
          <w:tcPr>
            <w:tcW w:type="dxa" w:w="94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Community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480"/>
      </w:tblGrid>
      <w:tr>
        <w:tc>
          <w:tcPr>
            <w:tcW w:type="dxa" w:w="60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4B8C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12020"/>
                <w:sz w:val="20"/>
                <w:szCs w:val="20"/>
              </w:rPr>
              <w:t xml:space="preserve">07</w:t>
            </w:r>
          </w:p>
        </w:tc>
        <w:tc>
          <w:tcPr>
            <w:tcW w:type="dxa" w:w="94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Ads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480"/>
      </w:tblGrid>
      <w:tr>
        <w:tc>
          <w:tcPr>
            <w:tcW w:type="dxa" w:w="60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C2B1E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12020"/>
                <w:sz w:val="20"/>
                <w:szCs w:val="20"/>
              </w:rPr>
              <w:t xml:space="preserve">08</w:t>
            </w:r>
          </w:p>
        </w:tc>
        <w:tc>
          <w:tcPr>
            <w:tcW w:type="dxa" w:w="94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Reports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480"/>
      </w:tblGrid>
      <w:tr>
        <w:tc>
          <w:tcPr>
            <w:tcW w:type="dxa" w:w="60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CE08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12020"/>
                <w:sz w:val="20"/>
                <w:szCs w:val="20"/>
              </w:rPr>
              <w:t xml:space="preserve">09</w:t>
            </w:r>
          </w:p>
        </w:tc>
        <w:tc>
          <w:tcPr>
            <w:tcW w:type="dxa" w:w="94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Testimonials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480"/>
      </w:tblGrid>
      <w:tr>
        <w:tc>
          <w:tcPr>
            <w:tcW w:type="dxa" w:w="60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C0E0C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12020"/>
                <w:sz w:val="20"/>
                <w:szCs w:val="20"/>
              </w:rPr>
              <w:t xml:space="preserve">10</w:t>
            </w:r>
          </w:p>
        </w:tc>
        <w:tc>
          <w:tcPr>
            <w:tcW w:type="dxa" w:w="94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Archive</w:t>
            </w:r>
          </w:p>
        </w:tc>
      </w:tr>
    </w:tbl>
    <w:p>
      <w:pPr>
        <w:spacing w:after="60" w:before="10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Naming Convention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5F0F0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YYYY-MM-DD_AssetType_FounderName_Version</w:t>
            </w:r>
          </w:p>
        </w:tc>
      </w:tr>
    </w:tbl>
    <w:p>
      <w:pPr>
        <w:spacing w:after="40" w:before="6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2C1A1A"/>
          <w:sz w:val="22"/>
          <w:szCs w:val="22"/>
        </w:rPr>
        <w:t xml:space="preserve">Example: 2026-07-15_FounderSpotlight_AishaKhan_V2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Consistent naming reduces confusion and saves time.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11. Approval Workflow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Every public asset follows this path: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4B8C8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Concept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C2B1E1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Draft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CE08B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Internal Review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C0E0C0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Brand Check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D4A0C0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Campaign Lead Approval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9E4EE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Scheduling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4B8C8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Publishing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C2B1E1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Performance Analysis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4B8C8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No public-facing asset should bypass review.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12. Founder Interaction Guidelines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Every founder interaction should leave her feeling: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4B8C8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Seen.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C2B1E1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Respected.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4B8C8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Encouraged.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C2B1E1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Supported.</w:t>
            </w:r>
          </w:p>
        </w:tc>
      </w:tr>
    </w:tbl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If a difficult conversation arises: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Listen first.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Clarify facts.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Respond respectfully.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Offer a solution where possible.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Follow up to ensure resolution.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Trust is built in moments of difficulty.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13. Content Collaboration Workflow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4B8C8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Content Team — Develops story direction.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C2B1E1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Designer — Creates visual concept.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CE08B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Video Editor — Builds narrative.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C0E0C0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Social Media Manager — Optimizes for platform.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D4A0C0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Campaign Lead — Reviews for mission alignment.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9E4EE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Publishing — Content goes live.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Every department contributes to storytelling.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14. Internal Escalation Matrix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CE08B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4"/>
                <w:szCs w:val="24"/>
              </w:rPr>
              <w:t xml:space="preserve">Level 1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Routine</w:t>
            </w:r>
          </w:p>
        </w:tc>
        <w:tc>
          <w:tcPr>
            <w:tcW w:type="dxa" w:w="8680"/>
            <w:tcBorders>
              <w:top w:val="none"/>
              <w:left w:val="single" w:color="FCE08B" w:sz="8"/>
              <w:bottom w:val="none"/>
              <w:right w:val="none"/>
            </w:tcBorders>
            <w:shd w:fill="F5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Resolved by the responsible team member.</w:t>
            </w:r>
          </w:p>
        </w:tc>
      </w:tr>
    </w:tbl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4"/>
                <w:szCs w:val="24"/>
              </w:rPr>
              <w:t xml:space="preserve">Level 2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Cross-Functional</w:t>
            </w:r>
          </w:p>
        </w:tc>
        <w:tc>
          <w:tcPr>
            <w:tcW w:type="dxa" w:w="8680"/>
            <w:tcBorders>
              <w:top w:val="none"/>
              <w:left w:val="single" w:color="F4B8C8" w:sz="8"/>
              <w:bottom w:val="none"/>
              <w:right w:val="none"/>
            </w:tcBorders>
            <w:shd w:fill="F5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Escalated to Operations Coordinator.</w:t>
            </w:r>
          </w:p>
        </w:tc>
      </w:tr>
    </w:tbl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D4A0C0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4"/>
                <w:szCs w:val="24"/>
              </w:rPr>
              <w:t xml:space="preserve">Level 3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Founder Disruption</w:t>
            </w:r>
          </w:p>
        </w:tc>
        <w:tc>
          <w:tcPr>
            <w:tcW w:type="dxa" w:w="8680"/>
            <w:tcBorders>
              <w:top w:val="none"/>
              <w:left w:val="single" w:color="D4A0C0" w:sz="8"/>
              <w:bottom w:val="none"/>
              <w:right w:val="none"/>
            </w:tcBorders>
            <w:shd w:fill="F5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Escalated to Campaign Lead.</w:t>
            </w:r>
          </w:p>
        </w:tc>
      </w:tr>
    </w:tbl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E12020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Level 4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Legal / Ethical / Reputational</w:t>
            </w:r>
          </w:p>
        </w:tc>
        <w:tc>
          <w:tcPr>
            <w:tcW w:type="dxa" w:w="8680"/>
            <w:tcBorders>
              <w:top w:val="none"/>
              <w:left w:val="single" w:color="E12020" w:sz="8"/>
              <w:bottom w:val="none"/>
              <w:right w:val="none"/>
            </w:tcBorders>
            <w:shd w:fill="F5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Immediate leadership review. Document every action taken.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Protect founder dignity and preserve community trust at every level.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15. Daily &amp; Weekly Checklists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Daily Checklist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Every day, confirm:</w:t>
      </w:r>
    </w:p>
    <w:p>
      <w:pPr>
        <w:spacing w:after="40" w:before="4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All founder messages reviewed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New applications processed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Content published on schedule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Community engagement completed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Analytics updated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Team tracker refreshed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Pending approvals resolved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Escalations documented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Operational consistency creates founder confidence.</w:t>
            </w:r>
          </w:p>
        </w:tc>
      </w:tr>
    </w:tbl>
    <w:p>
      <w:pPr>
        <w:spacing w:after="60" w:before="10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Weekly Checklist</w:t>
      </w:r>
    </w:p>
    <w:p>
      <w:pPr>
        <w:spacing w:after="40" w:before="4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KPI review completed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Community health assessed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Founder feedback reviewed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Ad performance analyzed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Team retrospective conducted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Risks identified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Opportunities documented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Next week’s priorities finalized</w:t>
      </w:r>
    </w:p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16. Performance Standards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Performance is evaluated on:</w:t>
      </w:r>
    </w:p>
    <w:p>
      <w:pPr>
        <w:spacing w:after="4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Execution quality.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Reliability.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Collaboration.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Initiative.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Communication.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Founder feedback.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Contribution to team culture.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4B8C8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Helping another teammate succeed is considered high performance.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17. Team Culture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C0E0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We Celebrate</w:t>
            </w:r>
          </w:p>
        </w:tc>
        <w:tc>
          <w:tcPr>
            <w:tcW w:type="dxa" w:w="504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D4A0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We Avoid</w:t>
            </w:r>
          </w:p>
        </w:tc>
      </w:tr>
      <w:tr>
        <w:tc>
          <w:tcPr>
            <w:tcW w:type="dxa" w:w="504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5F0F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Learning</w:t>
            </w:r>
          </w:p>
        </w:tc>
        <w:tc>
          <w:tcPr>
            <w:tcW w:type="dxa" w:w="504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9E4E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Blame</w:t>
            </w:r>
          </w:p>
        </w:tc>
      </w:tr>
      <w:tr>
        <w:tc>
          <w:tcPr>
            <w:tcW w:type="dxa" w:w="504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Initiative</w:t>
            </w:r>
          </w:p>
        </w:tc>
        <w:tc>
          <w:tcPr>
            <w:tcW w:type="dxa" w:w="504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Ego</w:t>
            </w:r>
          </w:p>
        </w:tc>
      </w:tr>
      <w:tr>
        <w:tc>
          <w:tcPr>
            <w:tcW w:type="dxa" w:w="504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5F0F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Kindness</w:t>
            </w:r>
          </w:p>
        </w:tc>
        <w:tc>
          <w:tcPr>
            <w:tcW w:type="dxa" w:w="504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9E4E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Silos</w:t>
            </w:r>
          </w:p>
        </w:tc>
      </w:tr>
      <w:tr>
        <w:tc>
          <w:tcPr>
            <w:tcW w:type="dxa" w:w="504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Ownership</w:t>
            </w:r>
          </w:p>
        </w:tc>
        <w:tc>
          <w:tcPr>
            <w:tcW w:type="dxa" w:w="504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Passive communication</w:t>
            </w:r>
          </w:p>
        </w:tc>
      </w:tr>
      <w:tr>
        <w:tc>
          <w:tcPr>
            <w:tcW w:type="dxa" w:w="504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5F0F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Problem-solving</w:t>
            </w:r>
          </w:p>
        </w:tc>
        <w:tc>
          <w:tcPr>
            <w:tcW w:type="dxa" w:w="504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9E4E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Last-minute surprises</w:t>
            </w:r>
          </w:p>
        </w:tc>
      </w:tr>
      <w:tr>
        <w:tc>
          <w:tcPr>
            <w:tcW w:type="dxa" w:w="504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Generosity</w:t>
            </w:r>
          </w:p>
        </w:tc>
        <w:tc>
          <w:tcPr>
            <w:tcW w:type="dxa" w:w="504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5F0F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Growth</w:t>
            </w:r>
          </w:p>
        </w:tc>
        <w:tc>
          <w:tcPr>
            <w:tcW w:type="dxa" w:w="504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9E4E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Every challenge is solved as one team.</w:t>
            </w:r>
          </w:p>
        </w:tc>
      </w:tr>
    </w:tbl>
    <w:p>
      <w:pPr>
        <w:spacing w:after="60" w:before="10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Recognition Rituals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At the end of every campaign, recognize: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4B8C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Team Member of the Campaign</w:t>
            </w:r>
          </w:p>
        </w:tc>
        <w:tc>
          <w:tcPr>
            <w:tcW w:type="dxa" w:w="504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C2B1E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Quiet Contributor Award</w:t>
            </w:r>
          </w:p>
        </w:tc>
      </w:tr>
      <w:tr>
        <w:tc>
          <w:tcPr>
            <w:tcW w:type="dxa" w:w="504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CE08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Problem Solver Award</w:t>
            </w:r>
          </w:p>
        </w:tc>
        <w:tc>
          <w:tcPr>
            <w:tcW w:type="dxa" w:w="504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C0E0C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Community Champion</w:t>
            </w:r>
          </w:p>
        </w:tc>
      </w:tr>
      <w:tr>
        <w:tc>
          <w:tcPr>
            <w:tcW w:type="dxa" w:w="504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D4A0C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Storyteller Award</w:t>
            </w:r>
          </w:p>
        </w:tc>
        <w:tc>
          <w:tcPr>
            <w:tcW w:type="dxa" w:w="504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9E4E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Rising Leader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Celebrate effort as well as outcomes.</w:t>
            </w:r>
          </w:p>
        </w:tc>
      </w:tr>
    </w:tbl>
    <w:p>
      <w:pPr>
        <w:spacing w:after="60" w:before="10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Team Promise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As members of the Naari Led Vyapaar team, we commit to:</w:t>
      </w:r>
    </w:p>
    <w:p>
      <w:pPr>
        <w:spacing w:after="4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Act with integrity.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Communicate honestly.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Protect founder trust.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Support one another.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Learn continuously.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Leave every campaign stronger than we found it.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Our work is not measured only by reach or engagement. It is measured by the confidence we help create in another human being.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18. Post-Campaign Reflection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Behind every application is a woman who decided to believe in herself.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Behind every feature is years of effort.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Behind every business is a dream that survived uncertainty.</w:t>
            </w:r>
          </w:p>
        </w:tc>
      </w:tr>
    </w:tbl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Our responsibility is larger than marketing.</w:t>
      </w:r>
    </w:p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4B8C8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We are custodians of stories.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C2B1E1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We are builders of trust.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4B8C8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We are facilitators of opportunity.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“Naari Led Vyapaar was where I first felt that my journey mattered.”</w:t>
            </w:r>
          </w:p>
        </w:tc>
      </w:tr>
    </w:tbl>
    <w:p>
      <w:pPr>
        <w:spacing w:after="40" w:before="6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That is the standard we strive for.</w:t>
      </w:r>
    </w:p>
    <w:p>
      <w:pPr>
        <w:spacing w:after="60" w:before="10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The Team Oath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32"/>
              <w:bottom w:val="none"/>
              <w:right w:val="none"/>
            </w:tcBorders>
            <w:shd w:fill="F4B8C8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4"/>
                <w:szCs w:val="24"/>
              </w:rPr>
              <w:t xml:space="preserve">We choose people over processes.</w:t>
            </w:r>
          </w:p>
          <w:p>
            <w:pPr>
              <w:spacing w:after="0" w:before="8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4"/>
                <w:szCs w:val="24"/>
              </w:rPr>
              <w:t xml:space="preserve">We choose trust over shortcuts.</w:t>
            </w:r>
          </w:p>
          <w:p>
            <w:pPr>
              <w:spacing w:after="0" w:before="8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4"/>
                <w:szCs w:val="24"/>
              </w:rPr>
              <w:t xml:space="preserve">We choose collaboration over ego.</w:t>
            </w:r>
          </w:p>
          <w:p>
            <w:pPr>
              <w:spacing w:after="0" w:before="8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4"/>
                <w:szCs w:val="24"/>
              </w:rPr>
              <w:t xml:space="preserve">We choose excellence over convenience.</w:t>
            </w:r>
          </w:p>
          <w:p>
            <w:pPr>
              <w:spacing w:after="0" w:before="8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4"/>
                <w:szCs w:val="24"/>
              </w:rPr>
              <w:t xml:space="preserve">We choose impact over applause.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32"/>
              <w:bottom w:val="none"/>
              <w:right w:val="none"/>
            </w:tcBorders>
            <w:shd w:fill="C2B1E1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4"/>
                <w:szCs w:val="24"/>
              </w:rPr>
              <w:t xml:space="preserve">Together, we don’t just run campaigns.</w:t>
            </w:r>
          </w:p>
          <w:p>
            <w:pPr>
              <w:spacing w:before="60"/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4"/>
                <w:szCs w:val="24"/>
              </w:rPr>
              <w:t xml:space="preserve">We build a movement that helps women rise—together.</w:t>
            </w:r>
          </w:p>
        </w:tc>
      </w:tr>
    </w:tbl>
    <w:p>
      <w:pPr>
        <w:spacing w:after="60" w:before="10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Internal Motto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FFFF" w:sz="2"/>
              <w:left w:val="none"/>
              <w:bottom w:val="single" w:color="FFFFFF" w:sz="2"/>
              <w:right w:val="none"/>
            </w:tcBorders>
            <w:shd w:fill="F4B8C8" w:val="clear"/>
            <w:tcMar>
              <w:top w:type="dxa" w:w="120"/>
              <w:left w:type="dxa" w:w="360"/>
              <w:bottom w:type="dxa" w:w="120"/>
              <w:right w:type="dxa" w:w="3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8"/>
                <w:szCs w:val="28"/>
              </w:rPr>
              <w:t xml:space="preserve">One team. One mission. One movement.</w:t>
            </w:r>
          </w:p>
        </w:tc>
      </w:tr>
      <w:tr>
        <w:tc>
          <w:tcPr>
            <w:tcW w:type="dxa" w:w="10080"/>
            <w:tcBorders>
              <w:top w:val="single" w:color="FFFFFF" w:sz="2"/>
              <w:left w:val="none"/>
              <w:bottom w:val="single" w:color="FFFFFF" w:sz="2"/>
              <w:right w:val="none"/>
            </w:tcBorders>
            <w:shd w:fill="C2B1E1" w:val="clear"/>
            <w:tcMar>
              <w:top w:type="dxa" w:w="120"/>
              <w:left w:type="dxa" w:w="360"/>
              <w:bottom w:type="dxa" w:w="120"/>
              <w:right w:type="dxa" w:w="3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8"/>
                <w:szCs w:val="28"/>
              </w:rPr>
              <w:t xml:space="preserve">Discover. Connect. Rise.</w:t>
            </w:r>
          </w:p>
        </w:tc>
      </w:tr>
    </w:tbl>
    <w:p>
      <w:pPr>
        <w:spacing w:after="100" w:before="200"/>
      </w:pPr>
    </w:p>
    <w:p>
      <w:pPr>
        <w:pBdr>
          <w:bottom w:val="single" w:color="E12020" w:sz="8" w:space="1"/>
        </w:pBdr>
        <w:spacing w:after="120" w:before="120"/>
      </w:pPr>
    </w:p>
    <w:p>
      <w:pPr>
        <w:spacing w:after="60" w:before="6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D4A0C0"/>
          <w:sz w:val="20"/>
          <w:szCs w:val="20"/>
        </w:rPr>
        <w:t xml:space="preserve">An Initiative by The Legit Talks  |  Internal Team Handbook — Version 1.0  | 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4B8C8" w:sz="4" w:space="1"/>
      </w:pBdr>
      <w:jc w:val="center"/>
    </w:pPr>
    <w:r>
      <w:rPr>
        <w:rFonts w:ascii="Calibri" w:cs="Calibri" w:eastAsia="Calibri" w:hAnsi="Calibri"/>
        <w:color w:val="D4A0C0"/>
        <w:sz w:val="18"/>
        <w:szCs w:val="18"/>
      </w:rPr>
      <w:t xml:space="preserve">An Initiative by The Legit Talks  |  For Internal Team Members Only  |  </w:t>
    </w:r>
    <w:r>
      <w:rPr>
        <w:rFonts w:ascii="Calibri" w:cs="Calibri" w:eastAsia="Calibri" w:hAnsi="Calibri"/>
        <w:b/>
        <w:bCs/>
        <w:color w:val="E1202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0C0" w:sz="4" w:space="1"/>
      </w:pBdr>
    </w:pPr>
    <w:r>
      <w:rPr>
        <w:rFonts w:ascii="Calibri" w:cs="Calibri" w:eastAsia="Calibri" w:hAnsi="Calibri"/>
        <w:b/>
        <w:bCs/>
        <w:color w:val="E12020"/>
        <w:sz w:val="18"/>
        <w:szCs w:val="18"/>
      </w:rPr>
      <w:t xml:space="preserve">NAARI LED VYAPAAR  </w:t>
    </w:r>
    <w:r>
      <w:rPr>
        <w:rFonts w:ascii="Calibri" w:cs="Calibri" w:eastAsia="Calibri" w:hAnsi="Calibri"/>
        <w:i/>
        <w:iCs/>
        <w:color w:val="D4A0C0"/>
        <w:sz w:val="18"/>
        <w:szCs w:val="18"/>
      </w:rPr>
      <w:t xml:space="preserve">| Internal Team Handbook — Version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2026-06-09T11:42:05.782Z</dcterms:created>
  <dcterms:modified xsi:type="dcterms:W3CDTF">2026-06-09T11:42:05.794Z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