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" w:before="1950"/>
        <w:jc w:val="center"/>
      </w:pPr>
      <w:r>
        <w:rPr>
          <w:rFonts w:ascii="Arial" w:cs="Arial" w:eastAsia="Arial" w:hAnsi="Arial"/>
          <w:b/>
          <w:bCs/>
          <w:color w:val="B6975A"/>
          <w:spacing w:val="80"/>
          <w:sz w:val="14"/>
          <w:szCs w:val="14"/>
        </w:rPr>
        <w:t xml:space="preserve">DOCUMENTACIÓN TÉCNICA</w:t>
      </w:r>
    </w:p>
    <w:p>
      <w:pPr>
        <w:pBdr>
          <w:bottom w:val="single" w:color="C9D5DB" w:sz="5" w:space="8"/>
        </w:pBdr>
        <w:spacing w:after="260"/>
      </w:pPr>
    </w:p>
    <w:p>
      <w:pPr>
        <w:spacing w:after="120"/>
        <w:jc w:val="center"/>
      </w:pPr>
      <w:r>
        <w:rPr>
          <w:rFonts w:ascii="Cambria" w:cs="Cambria" w:eastAsia="Cambria" w:hAnsi="Cambria"/>
          <w:color w:val="26343B"/>
          <w:sz w:val="34"/>
          <w:szCs w:val="34"/>
        </w:rPr>
        <w:t xml:space="preserve">Base de datos de</w:t>
      </w:r>
    </w:p>
    <w:p>
      <w:pPr>
        <w:spacing w:after="190"/>
        <w:jc w:val="center"/>
      </w:pPr>
      <w:r>
        <w:rPr>
          <w:rFonts w:ascii="Cambria" w:cs="Cambria" w:eastAsia="Cambria" w:hAnsi="Cambria"/>
          <w:b/>
          <w:bCs/>
          <w:color w:val="26343B"/>
          <w:sz w:val="38"/>
          <w:szCs w:val="38"/>
        </w:rPr>
        <w:t xml:space="preserve">eventos culturales</w:t>
      </w:r>
    </w:p>
    <w:p>
      <w:pPr>
        <w:pBdr>
          <w:bottom w:val="single" w:color="C9D5DB" w:sz="5" w:space="10"/>
        </w:pBdr>
        <w:spacing w:after="310"/>
        <w:jc w:val="center"/>
      </w:pPr>
      <w:r>
        <w:rPr>
          <w:rFonts w:ascii="Cambria" w:cs="Cambria" w:eastAsia="Cambria" w:hAnsi="Cambria"/>
          <w:i/>
          <w:iCs/>
          <w:color w:val="78848A"/>
          <w:sz w:val="18"/>
          <w:szCs w:val="18"/>
        </w:rPr>
        <w:t xml:space="preserve">Diccionario de tablas, columnas, relaciones y categorías</w:t>
      </w:r>
    </w:p>
    <w:p>
      <w:pPr>
        <w:spacing w:after="95"/>
        <w:jc w:val="center"/>
      </w:pPr>
      <w:r>
        <w:rPr>
          <w:rFonts w:ascii="Arial" w:cs="Arial" w:eastAsia="Arial" w:hAnsi="Arial"/>
          <w:b/>
          <w:bCs/>
          <w:color w:val="26343B"/>
          <w:sz w:val="16"/>
          <w:szCs w:val="16"/>
        </w:rPr>
        <w:t xml:space="preserve">MVP · Agregador de eventos culturales de Chile</w:t>
      </w:r>
    </w:p>
    <w:p>
      <w:pPr>
        <w:spacing w:after="65"/>
        <w:jc w:val="center"/>
      </w:pPr>
      <w:r>
        <w:rPr>
          <w:rFonts w:ascii="Arial" w:cs="Arial" w:eastAsia="Arial" w:hAnsi="Arial"/>
          <w:color w:val="78848A"/>
          <w:sz w:val="14"/>
          <w:szCs w:val="14"/>
        </w:rPr>
        <w:t xml:space="preserve">Versión documentada: 3 de octubre de 2026</w:t>
      </w:r>
    </w:p>
    <w:p>
      <w:pPr>
        <w:spacing w:after="65"/>
        <w:jc w:val="center"/>
      </w:pPr>
      <w:r>
        <w:rPr>
          <w:rFonts w:ascii="Arial" w:cs="Arial" w:eastAsia="Arial" w:hAnsi="Arial"/>
          <w:color w:val="78848A"/>
          <w:sz w:val="12"/>
          <w:szCs w:val="12"/>
        </w:rPr>
        <w:t xml:space="preserve">Migraciones: 20260831000100 · 20260902000100 · 20260911000100 · 20260912000100 · 20260921000100 · 20260924000100</w:t>
      </w:r>
    </w:p>
    <w:p>
      <w:pPr>
        <w:jc w:val="center"/>
      </w:pPr>
      <w:r>
        <w:rPr>
          <w:rFonts w:ascii="Arial" w:cs="Arial" w:eastAsia="Arial" w:hAnsi="Arial"/>
          <w:color w:val="B6975A"/>
          <w:sz w:val="13"/>
          <w:szCs w:val="13"/>
        </w:rPr>
        <w:t xml:space="preserve">Documento de uso personal</w:t>
      </w:r>
    </w:p>
    <w:p>
      <w:r>
        <w:br w:type="page"/>
      </w:r>
    </w:p>
    <w:p>
      <w:pPr>
        <w:spacing w:after="240" w:before="180"/>
      </w:pPr>
      <w:r>
        <w:rPr>
          <w:rFonts w:ascii="Cambria" w:cs="Cambria" w:eastAsia="Cambria" w:hAnsi="Cambria"/>
          <w:b/>
          <w:bCs/>
          <w:color w:val="B6975A"/>
          <w:sz w:val="28"/>
          <w:szCs w:val="28"/>
        </w:rPr>
        <w:t xml:space="preserve">Contenido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01  Vista general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02  Convenciones generales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03  Diccionario de tablas y columnas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04  Índices y reglas de integridad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05  Diccionario de categorías observadas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06  Recomendación de taxonomía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07  Seguridad y acceso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08  Ciclo de carga</w:t>
      </w:r>
    </w:p>
    <w:p>
      <w:pPr>
        <w:spacing w:after="9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09  Consultas útiles</w:t>
      </w:r>
    </w:p>
    <w:p>
      <w:pPr>
        <w:spacing w:after="90"/>
      </w:pPr>
      <w:r>
        <w:rPr>
          <w:rFonts w:ascii="Arial" w:cs="Arial" w:eastAsia="Arial" w:hAnsi="Arial"/>
          <w:color w:val="78848A"/>
          <w:sz w:val="17"/>
          <w:szCs w:val="17"/>
        </w:rPr>
        <w:t xml:space="preserve">10  Limitaciones conocidas</w:t>
      </w:r>
    </w:p>
    <w:p>
      <w:pPr>
        <w:spacing w:after="70" w:before="240"/>
      </w:pPr>
      <w:r>
        <w:rPr>
          <w:rFonts w:ascii="Arial" w:cs="Arial" w:eastAsia="Arial" w:hAnsi="Arial"/>
          <w:b/>
          <w:bCs/>
          <w:color w:val="368991"/>
          <w:sz w:val="16"/>
          <w:szCs w:val="16"/>
        </w:rPr>
        <w:t xml:space="preserve">Estado del modelo</w:t>
      </w:r>
    </w:p>
    <w:p>
      <w:r>
        <w:rPr>
          <w:rFonts w:ascii="Arial" w:cs="Arial" w:eastAsia="Arial" w:hAnsi="Arial"/>
          <w:color w:val="78848A"/>
          <w:sz w:val="15"/>
          <w:szCs w:val="15"/>
        </w:rPr>
        <w:t xml:space="preserve">La versión vigente reemplaza favorites por user_event_interactions y publica el catálogo mediante staging y una RPC transaccional.</w:t>
      </w:r>
    </w:p>
    <w:p>
      <w:r>
        <w:br w:type="page"/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1. Vista general</w:t>
      </w:r>
    </w:p>
    <w:p>
      <w:pPr>
        <w:spacing w:after="80" w:before="80"/>
        <w:jc w:val="center"/>
      </w:pPr>
      <w:r>
        <w:drawing>
          <wp:inline distT="0" distB="0" distL="0" distR="0">
            <wp:extent cx="5429250" cy="616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616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78848A"/>
          <w:sz w:val="15"/>
          <w:szCs w:val="15"/>
        </w:rPr>
        <w:t xml:space="preserve">Figura 1. Vista por capas del modelo de datos vigente.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Esta vista prioriza la lectura arquitectónica. Las cardinalidades formales se conservan en el archivo técnico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modelo_er.mmd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que funciona como referencia relacional versionada.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registra la salud de cada sincronización y no necesita una clave foránea hacia los eventos. Una ejecución puede descubrir cientos de eventos, pero los eventos permanecen vigentes entre ejecuciones mediante sus identificadores deterministas.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Tablas de ingesta y catálogo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Agenda, municipalidad, ticketera o sitio desde el que se obtuvo la información.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Institución o entidad responsable de organizar 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Ubicación administrativa normalizada del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categories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Etiquetas temáticas, de formato, audiencia o procedencia.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Registro canónico de cada evento consolidado.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event_categories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Relación muchos-a-muchos entre eventos y categorías.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media_assets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Imágenes y futuros videos, audios o documentos asociados.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event_provenance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Evidencia privada: texto original, OCR y URL canónica.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scrape_runs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Bitácora técnica de ejecuciones locales y de GitHub Actions.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catalog_staging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Fragmentos privados temporales usados para publicar un lote de forma atómica.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Tablas de aplicación y usuarios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profiles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Perfil público mínimo asociado a Supabase Auth.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user_event_interactions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Señales de comportamiento para recomendaciones: visualizaciones, interés, descarte, aperturas y compartidos.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reports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Avisos de usuarios sobre información incorrecta o problemática.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Vistas y funciones operativas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Objeto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public_event_catalog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Vista pública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Entrega eventos publicados con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source_name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y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organizer_name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respetando RLS, supresión y bloqueos.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set_updated_at()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Mantiene automáticamente las columnas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handle_new_user()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 el perfil mínimo al registrarse un usuario en Supabase Auth.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match_existing_events(jsonb)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RPC privada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Detecta coincidencias antes de OCR y redacción, y reutiliza procedencia editorial existente.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is_organizer_blocked(uuid)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Función de seguridad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Permite aplicar la exclusión de organizadores sin exponer sus columnas administrativas.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publish_staged_catalog(...)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RPC privada y transaccional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Publica un lote completo desde staging, reconcilia registros obsoletos y elimina eventos vencidos.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2. Convenciones generales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Todos los nombres usan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snake_case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claves primarias son UUID. El scraper produce UUID v5 deterministas para el catálogo;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repetir una extracción actualiza las mismas filas mediante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upsert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timestamptz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representa fecha y hora con zona horaria. Supabase la almacena internamente de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forma normalizada y el cliente debe presentarla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America/Santiago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cuando corresponda.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Un valor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null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significa que la fuente no entregó el dato o que no pudo validarse. No debe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interpretarse como una cadena vacía ni como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false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created_at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indica cuándo nació la fila;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updated_at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su última modificación;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last_seen_at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la última extracción en que el registro volvió a encontrarse.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fechas textuales no interpretables, como “por confirmar”, descartan el evento antes de llamar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a Supabase. Las fechas sin offset se localizan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America/Santiago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Si solo se conoce una fecha sin hora, PostgreSQL la recibe a medianoche; la versión actual todavía no posee un campo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is_all_day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para distinguir esos casos.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location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siempre contiene una etiqueta utilizable.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location_precision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evita confundir una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región de respaldo con una dirección exacta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location_source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registra cómo se obtuvo.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clave secreta de Supabase se utiliza únicamente en el scraper o en CI. Nunca pertenece al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navegador, al frontend, al repositorio ni a los logs.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3. Diccionario de tablas y columnas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sources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de fuentes. Un registro representa el sitio o agenda de procedencia, no una página de detalle individual.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derivado del nombre normalizado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legible,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 Cultura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website_url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Origen web principal, normalmente protocolo y dominio.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is_active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Indica si la fuente se considera activa para lectura pública. No activa ni desactiva el conector local.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carga en que la fuente aportó al menos un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 de la fila.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actualización; mantenida por trigger.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organizers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Entidades que producen, convocan o gestionan eventos. Puede tratarse de una municipalidad, corporación cultural, universidad, museo, productora u otra organización.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derivado del nombre normalizado.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publicado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entity_type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Clasificación futura,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municipality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university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producer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el scraper actual envía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ejecución en que apareció la organización.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is_blocked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Si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el organizador y todos sus eventos dejan de ser visibles y de procesarse con 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blocked_reason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administrativo de la exclusión.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blocked_at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se aplicó el bloqueo.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communes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territorial. Su identidad combina país, región y comuna para evitar ambigüedades.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país + región + comuna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de la comuna, por ejemplo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Santiago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Región administrativa informada o inferida por el conector.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País de la comuna.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categories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Catálogo dinámico de etiquetas. La tabla no limita las categorías a una lista cerrada porque cada fuente puede incorporar nuevas taxonomías. El significado de las etiquetas observadas se detalla en la sección 5.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del nombre normalizado; evita duplicados por mayúsculas o acentos.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conservada para visualización.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Primera aparición de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 de su nombre.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central. Una fila es la representación consolidada de un evento luego de extraer, filtrar por región y deduplicar todas las fuentes.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 y origen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v5 derivado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external_key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estable entre ejecuciones.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external_key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canónico de deduplicación. Usa título, fecha y lugar; si falta ubicación incorpora fuente y URL para evitar colisiones.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Fuente que aportó el registro conservado.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organizers.id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Organizador normalizado; queda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si no se publicó.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Comuna normalizada; queda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si no pudo determinarse.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público del evento. Los registros sin título se descartan antes de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start_at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Columna nullable; obligatorio para la ingesta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Inicio del evento con offset. El scraper descarta eventos sin una fecha válida.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Término del evento; puede coincidir con el inicio o ser desconocido.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venue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del recinto, sala, parque, viña o espacio virtual.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address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Dirección textual publicada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city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Ciudad o localidad; no sustituye la comuna administrativa.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Copia denormalizada de la región para filtros rápidos.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Chile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País del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postal_code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Código postal publicado o configurado para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latitude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Latitud validada entre -90 y 90.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longitude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Longitud validada entre -180 y 180.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canónica para mostrar y buscar, construida desde recinto, dirección y territorio. Nunca queda vacía.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location_precision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Nivel disponible: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exact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coordinates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venue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commune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city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region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online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country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location_source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Procedencia: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source-data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source-default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deterministic-inference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nvidia-nim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geographic-fallback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Estado editorial: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cancelled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draft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archived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 El scraper actual carga como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is_suppressed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Exclusión administrativa persistente; el scraper no la sobrescribe.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suppression_reason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de la exclusión individual.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suppressed_at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se ocultó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audience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Público objetivo textual, por ejemplo familiar o mayores de edad.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is_free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gratuito;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pagado;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: la fuente no permite determinarlo.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Versión editorial factual destinada a publicación. No sustituye la evidencia privada.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price_text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Precio tal como fue informado, incluidos rangos o condiciones. No es un valor numérico contable.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currency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CLP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Moneda asociada 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price_text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; se recomienda código ISO 4217.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Imagen principal para consultas sencillas. También se refleja en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media_assets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Página exacta o endpoint desde el que se extrajo la información.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official_url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Página oficial o canónica del evento, si es distinta de la fuente intermediaria.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extraction_method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Método usado, por ejemplo API, JSON-LD, tarjetas HTML, Playwright o NVIDIA NIM.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scraped_at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en que el conector obtuvo el registro.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sincronización que volvió a encontrar el evento. Permite detectar registros posiblemente vencidos.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Primera inserción en Supabase.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upsert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modificación.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eliminación de una fuente está restringida mientras tenga eventos. Si se elimina un organizador o una comuna, su referencia en el evento se convierte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null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el evento permanece.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event_provenance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privada para auditoría y reutilización de resultados. No tiene permisos para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anon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ni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authenticated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al que pertenece la evidencia.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original_url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URL normalizada utilizada en la deduplicación previa.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source_description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Descripción saneada tal como fue obtenida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ocr_text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Texto visible transcrito desde el afiche.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is_rewritten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Indica si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events.description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difiere del texto original.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actualización de la evidencia.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event_categories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Tabla puente. Un evento puede tener cero, una o muchas categorías, y una categoría puede pertenecer a muchos eventos.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clasificado. Se elimina en cascada con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category_id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categories.id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Categoría asignada. Se elimina en cascada con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 de la asociación.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Antes de reinsertar las categorías de un lote, el exportador elimina sus asociaciones anteriores. Esto permite retirar una categoría que ya no aparezca en la fuente sin duplicar relaciones.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media_assets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Recursos visuales o descargables asociados al evento. En el MVP solo se cargan imágenes.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evento + URL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propietario; eliminación en cascada.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única por evento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Dirección pública del recurso.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media_type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Uno de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image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video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audio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document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is_primary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false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Señala el recurso principal. La imagen importada actualmente se marca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true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creación.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scrape_runs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Bitácora de observabilidad. Permite saber si una ejecución alcanzó Supabase, terminó correctamente o falló durante la carga.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 o enviado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único de la ejecución.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started_at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Inicio de la sincronización con Supabase, posterior a la extracción completa.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finished_at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Término exitoso o fallido;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null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mientras figura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succeeded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failed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events_count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 negativo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Cantidad de eventos consolidados que se intentó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error_message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Resumen técnico del error, limitado por el cliente a 2.000 caracteres.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{}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Entorno de ejecución: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runner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repositorio, ID de GitHub Actions, commit y evento disparador.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Los fragmentos se cargan primero en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que no es visible al público. La función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aplica el catálogo, relaciones y limpieza dentro de una única transacción; si falla, las tablas públicas conservan el estado anterior.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catalog_staging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Área privada y temporal de publicación. No forma parte del catálogo consultado por el frontend.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run_id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Ejecución propietaria del fragmento.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entity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Entidad contenida: fuentes, eventos, procedencia o relaciones.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chunk_index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compuesta, no negativo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Orden del fragmento dentro de la entidad.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payload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arreglo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Filas serializadas que la RPC convertirá a tipos PostgreSQL.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Permite retirar staging abandonado después de siete días.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RLS está habilitado y solo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puede leer o escribir esta tabla. El lote se elimina al publicarse correctamente; si la RPC falla, permanece fuera del catálogo público para diagnóstico.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profiles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Extensión mínima de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auth.users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Se crea automáticamente después del registro en Supabase Auth.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Identidad del usuario autenticado.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display_name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Nombre visible; el usuario puede modificar solo esta columna.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visitor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Rol interno: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visitor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editor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admin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 No es editable directamente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Creación del perfil.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user_event_interactions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Historial de señales que usa el motor de recomendaciones. No almacena un puntaje enviado por el cliente: el backend asigna el peso de cada tipo de interacción y puede reducir su efecto con el paso del tiempo.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 que generó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asociado a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interaction_type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Obligatorio, controlado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Acción: ver detalle, abrir fuente u oficial, mostrar interés, descartar, compartir o reportar.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occurred_at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Momento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Objeto vacío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Contexto no sensible opcional, por ejemplo superficie de origen.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reports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Reportes de usuarios sobre un evento, por ejemplo fecha incorrecta, evento cancelado o enlace roto.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Identificador del reporte.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 que lo creó.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reportado.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reason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Motivo escrito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pending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Flujo de revisión: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pending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reviewed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resolved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Fecha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Última modificación administrativa.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4. Índices y reglas de integridad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sources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organizers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y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categories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poseen unicidad por nombre sin distinguir mayúsculas.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communes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única por país, región y comuna.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events.external_key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único y evita duplicados lógicos.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event_categories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repetir el mismo par evento-categoría.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media_assets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repetir la misma URL dentro de un evento.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Existen índices para fecha de inicio, región, estado, fuente, comuna y búsquedas por 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Los valores de estados, roles y tipos multimedia se controlan mediante restricciones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check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5. Diccionario de categorías observadas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Las categorías son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dinámicas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: se copian desde las taxonomías de las fuentes y se complementan con reglas de los conectores. Por ello, esta sección es una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fotografía histórica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del archivo local del 1 de septiembre de 2026: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399 eventos y 61 etiquetas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no representa el catálogo vigente y la cantidad puede cambiar en cada corrida.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Disciplinas y contenidos culturales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Música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Conciertos, recitales y actividades donde la música es el contenido principal.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Teatro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Obras teatrales, dramaturgia y presentaciones escénicas teatrales.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Cine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Exhibiciones, ciclos, festivales o conversaciones centradas en obras audiovisuales.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escénicas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Categoría amplia para teatro, danza, performance, circo u otras artes en vivo.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Danza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9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Presentaciones, encuentros o formación cuyo contenido principal es el movimiento y la danza.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mediales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Creación artística basada en medios digitales, audiovisuales, interactivos o tecnológicos.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 visuales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Pintura, escultura, grabado, instalación y otras expresiones principalmente 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Artesanía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Oficios y objetos elaborados mediante técnicas artesanales.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Fotografía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Exposiciones, talleres o actividades centradas en fotografía.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Literatura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Libros, lectura, escritura, poesía o mediación literaria.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Ópera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Representaciones o actividades relacionadas con ópera y canto lírico.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Títeres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Espectáculos o actividades de teatro de muñecos y objetos.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Humanidades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Reflexión, investigación o divulgación en historia, filosofía, letras y áreas afines.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Patrimonio cultural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Salvaguardia, difusión o activación de patrimonio material e inmaterial.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Cultura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transversal cuando la fuente no entrega una disciplina cultural más específica.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Gestión cultural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Formación, redes o prácticas de administración y producción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Encuentros Culturales y Artísticos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Reuniones o actividades participativas que integran más de una disciplina artística.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Formatos, espacios y programas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Taller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formativa o práctica con participación activa de asistentes.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Exposición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Muestra abierta al público, temporal o permanente.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Feria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Encuentro con múltiples expositores, puestos o participantes.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Festival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Programación concentrada que reúne varias actividades bajo una convocatoria común.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Actividad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Tipo genérico utilizado cuando no existe un formato más preciso.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Evento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genérica de la fuente; aporta poca información temática.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Museo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o ficha asociada a un museo o espacio museal.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Bibliotecas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vinculada a bibliotecas y servicios bibliotecarios.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Biblioverano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 o campaña estacional de actividades bibliotecarias durante el verano.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Guía de Librerías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89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Ficha de una librería dentro de Chile Cultura; puede representar un lugar o directorio, no necesariamente un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Guía de ferias y festivales del libro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Ficha de una feria o festival literario dentro de una guía; debe verificarse que posea fecha de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Ciudad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Taxonomía de Valpo Cultura para actividades de agenda urbana o ciudadana.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Cultural Municipal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perteneciente a una programación cultural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Agenda Teatro Municipal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publicada dentro de la programación de un teatro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Rutas Patrimoniales y Turísticas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Recorridos o circuitos vinculados a patrimonio y turismo.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Vino, gastronomía y turismo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Enoturismo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Experiencias turísticas vinculadas a viñas, bodegas, vino y territorio vitivinícola.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Vino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50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donde el vino es tema o producto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Festivales del Vino y la Gastronomía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Vendimias, festivales, celebraciones y ferias que combinan vino y oferta gastronómica.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Gastronomía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Ferias, degustaciones o encuentros enfocados principalmente en alimentos y cocina.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Turismo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y experiencias orientadas a visitantes o promoción de destinos.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Ferias sectoriales, ciencia y desarrollo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Negocios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Ferias y encuentros profesionales con foco comercial o empresarial.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Construcción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Exposición o encuentro del sector construcción e infraestructura.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Industria naval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Exposición o encuentro de actividades navales, marítimas y proveedores asociados.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Minería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Feria o encuentro profesional del ecosistema minero.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Salud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sectorial relacionada con salud, atención o bienestar.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Tecnología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Evento donde innovación o tecnologías son el tema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Emprendimiento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de apoyo, formación o vinculación para emprendimientos.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Ciencias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Divulgación, investigación o actividades científicas.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Medio ambiente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Conservación, sostenibilidad, naturaleza o problemáticas ambientales.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Deportes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cuyo componente principal es deportivo.</w:t>
            </w:r>
          </w:p>
        </w:tc>
      </w:tr>
    </w:tbl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Audiencias, comunidades y clasificación institucional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Personas-Mayores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Etiqueta de audiencia para actividades destinadas o especialmente pertinentes a personas mayores.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Pueblos-Originarios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Actividades vinculadas a pueblos indígenas, sus culturas, memorias o comunidades.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Vinculación con el Medio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8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Taxonomía UOH para actividades de relación entre universidad y entorno social o territorial.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Institucional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Actividad general de la institución; no describe necesariamente el contenido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Educación Continua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Formación posterior o complementaria ofrecida por la universidad.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Dirección de Salud Mental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UOH responsable o asociada; funciona más como procedencia organizacional que como tema.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Escuela de Ciencias Sociales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Escuela de Educación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ECA3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Escuela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ICA3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ICSo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Sociales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ICED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Instituto de Ciencias de la Educación de la UOH; su estilización institucional es </w:t>
            </w: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ICEd</w:t>
            </w: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PAOCC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Programa de Apoyo a Organizaciones Culturales Colaboradoras del Ministerio de las Culturas.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Las expansiones de ECA3, ICA3, ICSo e ICEd se verificaron en páginas institucionales de la </w:t>
      </w:r>
      <w:r>
        <w:rPr>
          <w:rFonts w:ascii="Arial" w:cs="Arial" w:eastAsia="Arial" w:hAnsi="Arial"/>
          <w:color w:val="2E6F9E"/>
          <w:sz w:val="18"/>
          <w:szCs w:val="18"/>
          <w:u w:val="single"/>
        </w:rPr>
        <w:t xml:space="preserve">Universidad de O’Higgins (https://www.uoh.cl/)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PAOCC se verificó en el sitio oficial del </w:t>
      </w:r>
      <w:r>
        <w:rPr>
          <w:rFonts w:ascii="Arial" w:cs="Arial" w:eastAsia="Arial" w:hAnsi="Arial"/>
          <w:color w:val="2E6F9E"/>
          <w:sz w:val="18"/>
          <w:szCs w:val="18"/>
          <w:u w:val="single"/>
        </w:rPr>
        <w:t xml:space="preserve">Ministerio de las Culturas, las Artes y el Patrimonio (https://www.cultura.gob.cl/paocc/)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Etiqueta que debe corregirse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Etiqueta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Diagnóstico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Calendar_Month Inscribirse</w:t>
            </w:r>
          </w:p>
        </w:tc>
        <w:tc>
          <w:tcPr>
            <w:tcW w:type="dxa" w:w="18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27</w:t>
            </w:r>
          </w:p>
        </w:tc>
        <w:tc>
          <w:tcPr>
            <w:tcW w:type="dxa" w:w="52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Ruido de interfaz capturado desde Maipú en Común. Combina texto de un icono/calendario y un botón; no debe mostrarse como categoría pública. Se recomienda eliminarla durante la normalización.</w:t>
            </w:r>
          </w:p>
        </w:tc>
      </w:tr>
    </w:tbl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6. Recomendación de taxonomía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lista actual mezcla cuatro dimensiones distintas: tema, formato, audiencia y procedencia. Para el MVP esto conserva fielmente la fuente, pero una interfaz de filtros más limpia debería añadir 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categories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una clasificación futura como: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Tipo propuesto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Ejemplos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discipline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Música, Teatro, Cine, Literatura.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format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Taller, Feria, Festival, Exposición.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topic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Vino, Patrimonio cultural, Medio ambiente.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audience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Personas-Mayores, Pueblos-Originarios.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sector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Minería, Construcción, Industria naval.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program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Biblioverano, PAOCC.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source_taxonomy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Agenda Ciudad, ECA3, ICA3, ICSo, ICEd.</w:t>
            </w:r>
          </w:p>
        </w:tc>
      </w:tr>
    </w:tbl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También se recomienda incorporar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slug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description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category_type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is_active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en una migración posterior, además de una tabla de alias. Así,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Ópera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opera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o etiquetas equivalentes entre fuentes, pueden apuntar a una categoría canónica sin perder el texto original.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7. Seguridad y acceso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migración habilita Row Level Security en todas las tablas.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Rol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DCE8EE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4955"/>
                <w:sz w:val="15"/>
                <w:szCs w:val="15"/>
              </w:rPr>
              <w:t xml:space="preserve">Acceso efectivo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anon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Lectura de fuentes activas, organizadores no bloqueados, comunas, categorías y eventos publicados de organizadores permitidos.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authenticated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7F9F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La misma lectura pública; además puede leer/editar su nombre de perfil, registrar/eliminar sus propias interacciones y crear/ver sus propios reportes.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68991"/>
                <w:sz w:val="14"/>
                <w:szCs w:val="14"/>
                <w:shd w:fill="EAF2F3" w:val="clear"/>
              </w:rPr>
              <w:t xml:space="preserve">service_role</w:t>
            </w:r>
          </w:p>
        </w:tc>
        <w:tc>
          <w:tcPr>
            <w:tcW w:type="dxa" w:w="6500"/>
            <w:tcBorders>
              <w:top w:val="single" w:color="C9D5DB" w:sz="4"/>
              <w:left w:val="single" w:color="C9D5DB" w:sz="4"/>
              <w:bottom w:val="single" w:color="C9D5DB" w:sz="4"/>
              <w:right w:val="single" w:color="C9D5DB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6343B"/>
                <w:sz w:val="15"/>
                <w:szCs w:val="15"/>
              </w:rPr>
              <w:t xml:space="preserve">Acceso completo para el proceso de ingesta. Debe permanecer exclusivamente en backend o CI.</w:t>
            </w:r>
          </w:p>
        </w:tc>
      </w:tr>
    </w:tbl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no posee lectura pública. El usuario no puede cambiar su propio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ni actualizar el estado de sus reportes desde el frontend.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vista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public_event_catalog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está disponible para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anon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authenticated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Une cada evento con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source_name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organizer_name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con usuarios públicos hereda las políticas RLS de las tablas y, por tanto, no expone eventos suprimidos ni organizadores bloqueados.</w:t>
      </w:r>
    </w:p>
    <w:p>
      <w:pPr>
        <w:spacing w:after="90" w:line="270"/>
        <w:jc w:val="both"/>
      </w:pP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event_provenance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,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match_existing_events(jsonb)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y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publish_staged_catalog(...)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no se exponen al navegador. Se reservan al proceso de ingesta que opera con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service_role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. La función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is_organizer_blocked(uuid)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puede ejecutarse desde las políticas públicas, pero solo devuelve un booleano y no revela el motivo ni la fecha del bloqueo.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8. Ciclo de carga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recorren todas las fuentes habilitadas.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Los conectores producen objetos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Event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con un esquema común.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El pipeline elimina duplicados y fija un identificador estable.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aplican metadatos geográficos estáticos y reglas deterministas.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Supabase identifica coincidencias por URL original o clave título-fecha-lugar y devuelve los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organizadores bloqueados.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Solo los eventos nuevos pasan por OCR, redacción editorial y normalización NVIDIA.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filtran regiones y pertinencia cultural, y se genera la ubicación canónica.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generan respaldos JSON y CSV.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crea una fila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running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scrape_runs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Se cargan fragmentos privados en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catalog_staging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Una RPC transaccional publica entidades, eventos, procedencia, relaciones y limpieza.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ejecución se marca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succeeded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failed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.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La carga empieza </w:t>
      </w:r>
      <w:r>
        <w:rPr>
          <w:rFonts w:ascii="Arial" w:cs="Arial" w:eastAsia="Arial" w:hAnsi="Arial"/>
          <w:b/>
          <w:bCs/>
          <w:color w:val="26343B"/>
          <w:sz w:val="18"/>
          <w:szCs w:val="18"/>
        </w:rPr>
        <w:t xml:space="preserve">después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de finalizar la extracción completa; no se sube un evento inmediatamente después de encontrarlo.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SUPABASE_BATCH_SIZE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controla la cantidad máxima por solicitud REST. Todas las operaciones NVIDIA comparten el límite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NVIDIA_RPM_LIMIT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con el valor 40 se fuerza un intervalo seguro de al menos 1,55 segundos entre inicios de solicitudes.</w:t>
      </w:r>
    </w:p>
    <w:p>
      <w:pPr>
        <w:pStyle w:val="Heading1"/>
        <w:keepNext/>
        <w:pageBreakBefore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9. Consultas útiles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Próximos eventos publicados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id, title, start_at, venue, city, region, is_free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where status = 'published'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and (end_at &gt;= now() or (end_at is null and start_at &gt;= now()))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start_at nulls last;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Eventos con sus categorías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e.id,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e.title,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  array_agg(c.name order by c.name) as categories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left join public.event_categories ec on ec.event_id = e.id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left join public.categories c on c.id = ec.category_id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group by e.id, e.title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e.title;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Cantidad por fuente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s.name as source, count(*) as 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join public.sources s on s.id = e.source_id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group by s.id, s.name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events desc;</w:t>
      </w:r>
    </w:p>
    <w:p>
      <w:pPr>
        <w:pStyle w:val="Heading2"/>
        <w:keepNext/>
        <w:spacing w:after="70" w:before="130"/>
      </w:pPr>
      <w:r>
        <w:rPr>
          <w:rFonts w:ascii="Cambria" w:cs="Cambria" w:eastAsia="Cambria" w:hAnsi="Cambria"/>
          <w:b/>
          <w:bCs/>
          <w:color w:val="506874"/>
          <w:sz w:val="22"/>
          <w:szCs w:val="22"/>
        </w:rPr>
        <w:t xml:space="preserve">Últimas ejecuciones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select started_at, finished_at, status, events_count, error_message, metadata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from public.scrape_runs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order by started_at desc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334955"/>
          <w:sz w:val="14"/>
          <w:szCs w:val="14"/>
        </w:rPr>
        <w:t xml:space="preserve">limit 20;</w:t>
      </w:r>
    </w:p>
    <w:p>
      <w:pPr>
        <w:pStyle w:val="Heading1"/>
        <w:keepNext/>
        <w:spacing w:after="70" w:before="210"/>
      </w:pPr>
      <w:r>
        <w:rPr>
          <w:rFonts w:ascii="Cambria" w:cs="Cambria" w:eastAsia="Cambria" w:hAnsi="Cambria"/>
          <w:b/>
          <w:bCs/>
          <w:color w:val="368991"/>
          <w:sz w:val="28"/>
          <w:szCs w:val="28"/>
        </w:rPr>
        <w:t xml:space="preserve">10. Limitaciones conocidas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No existe todavía una marca explícita para eventos de día completo.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price_text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no permite comparar precios numéricamente.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Las categorías proceden de varias fuentes y todavía no cuentan con jerarquía o tipo almacenado.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Algunos registros de Chile Cultura parecen corresponder a directorios de lugares o guías, no a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eventos fechados; deben distinguirse en una futura regla de calidad.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Calendar_Month Inscribirse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 una etiqueta inválida conocida.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Cada sincronización elimina físicamente los eventos cuyo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end_at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ya pasó. Cuando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end_at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es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nulo, se utiliza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start_at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; las relaciones dependientes se eliminan en cascada. Los registros sin inicio válido no entran al catálogo.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Con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SUPABASE_RECONCILE_STALE=true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, una fuente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succeeded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o </w:t>
      </w:r>
      <w:r>
        <w:rPr>
          <w:rFonts w:ascii="Consolas" w:cs="Consolas" w:eastAsia="Consolas" w:hAnsi="Consolas"/>
          <w:color w:val="368991"/>
          <w:sz w:val="16"/>
          <w:szCs w:val="16"/>
          <w:shd w:fill="EAF2F3" w:val="clear"/>
        </w:rPr>
        <w:t xml:space="preserve">complete_empty</w:t>
      </w:r>
      <w:r>
        <w:rPr>
          <w:rFonts w:ascii="Arial" w:cs="Arial" w:eastAsia="Arial" w:hAnsi="Arial"/>
          <w:color w:val="26343B"/>
          <w:sz w:val="17"/>
          <w:szCs w:val="17"/>
        </w:rPr>
        <w:t xml:space="preserve"> puede retirar</w:t>
      </w:r>
    </w:p>
    <w:p>
      <w:pPr>
        <w:spacing w:after="90" w:line="270"/>
        <w:jc w:val="both"/>
      </w:pPr>
      <w:r>
        <w:rPr>
          <w:rFonts w:ascii="Arial" w:cs="Arial" w:eastAsia="Arial" w:hAnsi="Arial"/>
          <w:color w:val="26343B"/>
          <w:sz w:val="18"/>
          <w:szCs w:val="18"/>
        </w:rPr>
        <w:t xml:space="preserve">registros ausentes. Una fuente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partial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o </w:t>
      </w:r>
      <w:r>
        <w:rPr>
          <w:rFonts w:ascii="Consolas" w:cs="Consolas" w:eastAsia="Consolas" w:hAnsi="Consolas"/>
          <w:color w:val="368991"/>
          <w:sz w:val="17"/>
          <w:szCs w:val="17"/>
          <w:shd w:fill="EAF2F3" w:val="clear"/>
        </w:rPr>
        <w:t xml:space="preserve">failed</w:t>
      </w:r>
      <w:r>
        <w:rPr>
          <w:rFonts w:ascii="Arial" w:cs="Arial" w:eastAsia="Arial" w:hAnsi="Arial"/>
          <w:color w:val="26343B"/>
          <w:sz w:val="18"/>
          <w:szCs w:val="18"/>
        </w:rPr>
        <w:t xml:space="preserve"> nunca autoriza esa limpieza.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26343B"/>
          <w:sz w:val="17"/>
          <w:szCs w:val="17"/>
        </w:rPr>
        <w:t xml:space="preserve">La publicación pública es transaccional; una carga de staging interrumpida no modifica el catálogo.</w:t>
      </w:r>
    </w:p>
    <w:sectPr>
      <w:headerReference w:type="default" r:id="rId7"/>
      <w:footerReference w:type="default" r:id="rId8"/>
      <w:pgSz w:w="11906" w:h="16838" w:orient="portrait"/>
      <w:pgMar w:top="900" w:right="1130" w:bottom="900" w:left="1130" w:header="42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8848A"/>
        <w:sz w:val="11"/>
        <w:szCs w:val="11"/>
      </w:rPr>
      <w:t xml:space="preserve">Uso personal · Página </w:t>
    </w:r>
    <w:r>
      <w:rPr>
        <w:rFonts w:ascii="Arial" w:cs="Arial" w:eastAsia="Arial" w:hAnsi="Arial"/>
        <w:color w:val="78848A"/>
        <w:sz w:val="11"/>
        <w:szCs w:val="1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8848A"/>
        <w:spacing w:val="35"/>
        <w:sz w:val="10"/>
        <w:szCs w:val="10"/>
      </w:rPr>
      <w:t xml:space="preserve">EVENTO CULTURAL  ·  DOCUMENTACIÓN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6343B"/>
        <w:sz w:val="18"/>
        <w:szCs w:val="18"/>
      </w:rPr>
    </w:rPrDefault>
    <w:pPrDefault>
      <w:pPr>
        <w:spacing w:line="27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rPr>
      <w:rFonts w:ascii="Cambria" w:cs="Cambria" w:eastAsia="Cambria" w:hAnsi="Cambria"/>
      <w:b/>
      <w:bCs/>
      <w:color w:val="26343B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90" w:before="210"/>
      <w:outlineLvl w:val="0"/>
    </w:pPr>
    <w:rPr>
      <w:rFonts w:ascii="Cambria" w:cs="Cambria" w:eastAsia="Cambria" w:hAnsi="Cambria"/>
      <w:b/>
      <w:bCs/>
      <w:color w:val="36899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75" w:before="150"/>
      <w:outlineLvl w:val="1"/>
    </w:pPr>
    <w:rPr>
      <w:rFonts w:ascii="Cambria" w:cs="Cambria" w:eastAsia="Cambria" w:hAnsi="Cambria"/>
      <w:b/>
      <w:bCs/>
      <w:color w:val="50687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65" w:before="120"/>
      <w:outlineLvl w:val="2"/>
    </w:pPr>
    <w:rPr>
      <w:rFonts w:ascii="Arial" w:cs="Arial" w:eastAsia="Arial" w:hAnsi="Arial"/>
      <w:b/>
      <w:bCs/>
      <w:color w:val="26343B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ec666163857c1447533150641dde63e78db30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base de datos de eventos culturales</dc:title>
  <dc:creator>Proyecto Evento Cultural</dc:creator>
  <dc:description>Diccionario del esquema vigente de Supabase/PostgreSQL</dc:description>
  <cp:lastModifiedBy>Un-named</cp:lastModifiedBy>
  <cp:revision>1</cp:revision>
  <dcterms:created xsi:type="dcterms:W3CDTF">2026-10-03T07:23:34.869Z</dcterms:created>
  <dcterms:modified xsi:type="dcterms:W3CDTF">2026-10-03T07:23:34.871Z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