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B8871B"/>
          <w:sz w:val="21"/>
        </w:rPr>
        <w:t>DOCUMENTACIÓN TÉCNICA</w:t>
      </w:r>
    </w:p>
    <w:p>
      <w:pPr>
        <w:pStyle w:val="Title"/>
        <w:jc w:val="center"/>
      </w:pPr>
      <w:r>
        <w:t>Base de datos de</w:t>
        <w:br/>
        <w:t>eventos culturales</w:t>
      </w:r>
    </w:p>
    <w:p>
      <w:pPr>
        <w:pStyle w:val="Subtitle"/>
        <w:jc w:val="center"/>
      </w:pPr>
      <w:r>
        <w:t>Diccionario de tablas, columnas, relaciones y categorías</w:t>
      </w:r>
    </w:p>
    <w:p>
      <w:pPr>
        <w:spacing w:before="360" w:after="1040"/>
        <w:pBdr>
          <w:bottom w:val="single" w:sz="10" w:space="1" w:color="2E74B5"/>
        </w:pBdr>
      </w:pPr>
    </w:p>
    <w:p>
      <w:pPr>
        <w:spacing w:after="100"/>
        <w:jc w:val="center"/>
      </w:pPr>
      <w:r>
        <w:rPr>
          <w:rFonts w:ascii="Calibri" w:hAnsi="Calibri"/>
          <w:b/>
          <w:color w:val="17324D"/>
          <w:sz w:val="22"/>
        </w:rPr>
        <w:t>MVP · Agregador de eventos culturales de Chile</w:t>
      </w:r>
    </w:p>
    <w:p>
      <w:pPr>
        <w:spacing w:after="100"/>
        <w:jc w:val="center"/>
      </w:pPr>
      <w:r>
        <w:rPr>
          <w:rFonts w:ascii="Calibri" w:hAnsi="Calibri"/>
          <w:color w:val="5E6B78"/>
          <w:sz w:val="21"/>
        </w:rPr>
        <w:t>Versión documentada: 20 de octubre de 2026</w:t>
      </w:r>
    </w:p>
    <w:p>
      <w:pPr>
        <w:spacing w:after="100"/>
        <w:jc w:val="center"/>
      </w:pPr>
      <w:r>
        <w:rPr>
          <w:rFonts w:ascii="Calibri" w:hAnsi="Calibri"/>
          <w:color w:val="5E6B78"/>
          <w:sz w:val="18"/>
        </w:rPr>
        <w:t>Migraciones: 20260831000100 · 20260902000100 · 20260911000100 · 20260912000100 · 20260921000100 · 20260924000100 · 20261020000100 · 20261020000200 · 20261020000300</w:t>
      </w:r>
    </w:p>
    <w:p>
      <w:pPr>
        <w:jc w:val="center"/>
      </w:pPr>
      <w:r>
        <w:rPr>
          <w:rFonts w:ascii="Calibri" w:hAnsi="Calibri"/>
          <w:i/>
          <w:color w:val="5E6B78"/>
          <w:sz w:val="21"/>
        </w:rPr>
        <w:t>Documento de uso personal</w:t>
      </w:r>
    </w:p>
    <w:p>
      <w:r>
        <w:br w:type="page"/>
      </w:r>
    </w:p>
    <w:p>
      <w:pPr>
        <w:pStyle w:val="Heading1"/>
      </w:pPr>
      <w:r>
        <w:t>Contenido</w:t>
      </w:r>
    </w:p>
    <w:p>
      <w:pPr>
        <w:spacing w:after="100"/>
        <w:ind w:left="216"/>
      </w:pPr>
      <w:r>
        <w:rPr>
          <w:rFonts w:ascii="Calibri" w:hAnsi="Calibri"/>
          <w:b/>
          <w:color w:val="B8871B"/>
          <w:sz w:val="19"/>
        </w:rPr>
        <w:t>00</w:t>
      </w:r>
      <w:r>
        <w:rPr>
          <w:rFonts w:ascii="Calibri" w:hAnsi="Calibri"/>
          <w:b/>
          <w:color w:val="17324D"/>
          <w:sz w:val="22"/>
        </w:rPr>
        <w:t xml:space="preserve">   Control documental</w:t>
      </w:r>
    </w:p>
    <w:p>
      <w:pPr>
        <w:spacing w:after="100"/>
        <w:ind w:left="216"/>
      </w:pPr>
      <w:r>
        <w:rPr>
          <w:rFonts w:ascii="Calibri" w:hAnsi="Calibri"/>
          <w:b/>
          <w:color w:val="B8871B"/>
          <w:sz w:val="19"/>
        </w:rPr>
        <w:t>01</w:t>
      </w:r>
      <w:r>
        <w:rPr>
          <w:rFonts w:ascii="Calibri" w:hAnsi="Calibri"/>
          <w:b/>
          <w:color w:val="17324D"/>
          <w:sz w:val="22"/>
        </w:rPr>
        <w:t xml:space="preserve">   Vista general</w:t>
      </w:r>
    </w:p>
    <w:p>
      <w:pPr>
        <w:spacing w:after="100"/>
        <w:ind w:left="216"/>
      </w:pPr>
      <w:r>
        <w:rPr>
          <w:rFonts w:ascii="Calibri" w:hAnsi="Calibri"/>
          <w:b/>
          <w:color w:val="B8871B"/>
          <w:sz w:val="19"/>
        </w:rPr>
        <w:t>02</w:t>
      </w:r>
      <w:r>
        <w:rPr>
          <w:rFonts w:ascii="Calibri" w:hAnsi="Calibri"/>
          <w:b/>
          <w:color w:val="17324D"/>
          <w:sz w:val="22"/>
        </w:rPr>
        <w:t xml:space="preserve">   Convenciones generales</w:t>
      </w:r>
    </w:p>
    <w:p>
      <w:pPr>
        <w:spacing w:after="100"/>
        <w:ind w:left="216"/>
      </w:pPr>
      <w:r>
        <w:rPr>
          <w:rFonts w:ascii="Calibri" w:hAnsi="Calibri"/>
          <w:b/>
          <w:color w:val="B8871B"/>
          <w:sz w:val="19"/>
        </w:rPr>
        <w:t>03</w:t>
      </w:r>
      <w:r>
        <w:rPr>
          <w:rFonts w:ascii="Calibri" w:hAnsi="Calibri"/>
          <w:b/>
          <w:color w:val="17324D"/>
          <w:sz w:val="22"/>
        </w:rPr>
        <w:t xml:space="preserve">   Diccionario de tablas y columnas</w:t>
      </w:r>
    </w:p>
    <w:p>
      <w:pPr>
        <w:spacing w:after="100"/>
        <w:ind w:left="216"/>
      </w:pPr>
      <w:r>
        <w:rPr>
          <w:rFonts w:ascii="Calibri" w:hAnsi="Calibri"/>
          <w:b/>
          <w:color w:val="B8871B"/>
          <w:sz w:val="19"/>
        </w:rPr>
        <w:t>04</w:t>
      </w:r>
      <w:r>
        <w:rPr>
          <w:rFonts w:ascii="Calibri" w:hAnsi="Calibri"/>
          <w:b/>
          <w:color w:val="17324D"/>
          <w:sz w:val="22"/>
        </w:rPr>
        <w:t xml:space="preserve">   Índices y reglas de integridad</w:t>
      </w:r>
    </w:p>
    <w:p>
      <w:pPr>
        <w:spacing w:after="100"/>
        <w:ind w:left="216"/>
      </w:pPr>
      <w:r>
        <w:rPr>
          <w:rFonts w:ascii="Calibri" w:hAnsi="Calibri"/>
          <w:b/>
          <w:color w:val="B8871B"/>
          <w:sz w:val="19"/>
        </w:rPr>
        <w:t>05</w:t>
      </w:r>
      <w:r>
        <w:rPr>
          <w:rFonts w:ascii="Calibri" w:hAnsi="Calibri"/>
          <w:b/>
          <w:color w:val="17324D"/>
          <w:sz w:val="22"/>
        </w:rPr>
        <w:t xml:space="preserve">   Diccionario de categorías observadas</w:t>
      </w:r>
    </w:p>
    <w:p>
      <w:pPr>
        <w:spacing w:after="100"/>
        <w:ind w:left="216"/>
      </w:pPr>
      <w:r>
        <w:rPr>
          <w:rFonts w:ascii="Calibri" w:hAnsi="Calibri"/>
          <w:b/>
          <w:color w:val="B8871B"/>
          <w:sz w:val="19"/>
        </w:rPr>
        <w:t>06</w:t>
      </w:r>
      <w:r>
        <w:rPr>
          <w:rFonts w:ascii="Calibri" w:hAnsi="Calibri"/>
          <w:b/>
          <w:color w:val="17324D"/>
          <w:sz w:val="22"/>
        </w:rPr>
        <w:t xml:space="preserve">   Recomendación de taxonomía</w:t>
      </w:r>
    </w:p>
    <w:p>
      <w:pPr>
        <w:spacing w:after="100"/>
        <w:ind w:left="216"/>
      </w:pPr>
      <w:r>
        <w:rPr>
          <w:rFonts w:ascii="Calibri" w:hAnsi="Calibri"/>
          <w:b/>
          <w:color w:val="B8871B"/>
          <w:sz w:val="19"/>
        </w:rPr>
        <w:t>07</w:t>
      </w:r>
      <w:r>
        <w:rPr>
          <w:rFonts w:ascii="Calibri" w:hAnsi="Calibri"/>
          <w:b/>
          <w:color w:val="17324D"/>
          <w:sz w:val="22"/>
        </w:rPr>
        <w:t xml:space="preserve">   Seguridad y acceso</w:t>
      </w:r>
    </w:p>
    <w:p>
      <w:pPr>
        <w:spacing w:after="100"/>
        <w:ind w:left="216"/>
      </w:pPr>
      <w:r>
        <w:rPr>
          <w:rFonts w:ascii="Calibri" w:hAnsi="Calibri"/>
          <w:b/>
          <w:color w:val="B8871B"/>
          <w:sz w:val="19"/>
        </w:rPr>
        <w:t>08</w:t>
      </w:r>
      <w:r>
        <w:rPr>
          <w:rFonts w:ascii="Calibri" w:hAnsi="Calibri"/>
          <w:b/>
          <w:color w:val="17324D"/>
          <w:sz w:val="22"/>
        </w:rPr>
        <w:t xml:space="preserve">   Ciclo de carga</w:t>
      </w:r>
    </w:p>
    <w:p>
      <w:pPr>
        <w:spacing w:after="100"/>
        <w:ind w:left="216"/>
      </w:pPr>
      <w:r>
        <w:rPr>
          <w:rFonts w:ascii="Calibri" w:hAnsi="Calibri"/>
          <w:b/>
          <w:color w:val="B8871B"/>
          <w:sz w:val="19"/>
        </w:rPr>
        <w:t>09</w:t>
      </w:r>
      <w:r>
        <w:rPr>
          <w:rFonts w:ascii="Calibri" w:hAnsi="Calibri"/>
          <w:b/>
          <w:color w:val="17324D"/>
          <w:sz w:val="22"/>
        </w:rPr>
        <w:t xml:space="preserve">   Consultas útiles</w:t>
      </w:r>
    </w:p>
    <w:p>
      <w:pPr>
        <w:spacing w:after="100"/>
        <w:ind w:left="216"/>
      </w:pPr>
      <w:r>
        <w:rPr>
          <w:rFonts w:ascii="Calibri" w:hAnsi="Calibri"/>
          <w:b/>
          <w:color w:val="B8871B"/>
          <w:sz w:val="19"/>
        </w:rPr>
        <w:t>10</w:t>
      </w:r>
      <w:r>
        <w:rPr>
          <w:rFonts w:ascii="Calibri" w:hAnsi="Calibri"/>
          <w:b/>
          <w:color w:val="17324D"/>
          <w:sz w:val="22"/>
        </w:rPr>
        <w:t xml:space="preserve">   Validación de migraciones</w:t>
      </w:r>
    </w:p>
    <w:p>
      <w:pPr>
        <w:spacing w:after="100"/>
        <w:ind w:left="216"/>
      </w:pPr>
      <w:r>
        <w:rPr>
          <w:rFonts w:ascii="Calibri" w:hAnsi="Calibri"/>
          <w:b/>
          <w:color w:val="B8871B"/>
          <w:sz w:val="19"/>
        </w:rPr>
        <w:t>11</w:t>
      </w:r>
      <w:r>
        <w:rPr>
          <w:rFonts w:ascii="Calibri" w:hAnsi="Calibri"/>
          <w:b/>
          <w:color w:val="17324D"/>
          <w:sz w:val="22"/>
        </w:rPr>
        <w:t xml:space="preserve">   Limitaciones conocidas</w:t>
      </w:r>
    </w:p>
    <w:p>
      <w:r>
        <w:br w:type="page"/>
      </w:r>
    </w:p>
    <w:p>
      <w:pPr>
        <w:pStyle w:val="Heading1"/>
      </w:pPr>
      <w:r>
        <w:t>0. Control documental</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2700"/>
        <w:gridCol w:w="6660"/>
      </w:tblGrid>
      <w:tr>
        <w:trPr>
          <w:cantSplit/>
          <w:tblHeader w:val="true"/>
        </w:trPr>
        <w:tc>
          <w:tcPr>
            <w:tcW w:type="dxa" w:w="27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Campo</w:t>
            </w:r>
          </w:p>
        </w:tc>
        <w:tc>
          <w:tcPr>
            <w:tcW w:type="dxa" w:w="66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Valor</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alibri" w:hAnsi="Calibri"/>
                <w:sz w:val="18"/>
              </w:rPr>
              <w:t>Tipo de documento</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Documentación técnica</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alibri" w:hAnsi="Calibri"/>
                <w:sz w:val="18"/>
              </w:rPr>
              <w:t>Título de portada</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Base de datos de eventos culturales</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alibri" w:hAnsi="Calibri"/>
                <w:sz w:val="18"/>
              </w:rPr>
              <w:t>Proyecto</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MVP · Agregador de eventos culturales de Chile</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alibri" w:hAnsi="Calibri"/>
                <w:sz w:val="18"/>
              </w:rPr>
              <w:t>Subtítulo</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Diccionario de tablas, columnas, relaciones y categorías</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alibri" w:hAnsi="Calibri"/>
                <w:sz w:val="18"/>
              </w:rPr>
              <w:t>Versión documentada</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20 de octubre de 2026</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alibri" w:hAnsi="Calibri"/>
                <w:sz w:val="18"/>
              </w:rPr>
              <w:t>Esquema</w:t>
            </w:r>
          </w:p>
        </w:tc>
        <w:tc>
          <w:tcPr>
            <w:tcW w:type="dxa" w:w="666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public</w:t>
            </w:r>
            <w:r>
              <w:rPr>
                <w:rFonts w:ascii="Calibri" w:hAnsi="Calibri"/>
                <w:sz w:val="18"/>
              </w:rPr>
              <w:t xml:space="preserve"> de Supabase/PostgreSQL</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alibri" w:hAnsi="Calibri"/>
                <w:sz w:val="18"/>
              </w:rPr>
              <w:t>Uso</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Documento de uso personal</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alibri" w:hAnsi="Calibri"/>
                <w:sz w:val="18"/>
              </w:rPr>
              <w:t>Encabezado</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EVENTO CULTURAL · DOCUMENTACIÓN 2026</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alibri" w:hAnsi="Calibri"/>
                <w:sz w:val="18"/>
              </w:rPr>
              <w:t>Pie de página</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Uso personal · Página</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alibri" w:hAnsi="Calibri"/>
                <w:sz w:val="18"/>
              </w:rPr>
              <w:t>Título del índice</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Contenido</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alibri" w:hAnsi="Calibri"/>
                <w:sz w:val="18"/>
              </w:rPr>
              <w:t>Leyenda de figura 1</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Figura 1. Vista por capas del modelo de datos vigente.</w:t>
            </w:r>
          </w:p>
        </w:tc>
      </w:tr>
    </w:tbl>
    <w:p>
      <w:pPr>
        <w:spacing w:after="40"/>
      </w:pPr>
    </w:p>
    <w:p>
      <w:pPr>
        <w:pStyle w:val="Heading2"/>
      </w:pPr>
      <w:r>
        <w:t>Migraciones de referencia</w:t>
      </w:r>
    </w:p>
    <w:p>
      <w:pPr>
        <w:numPr>
          <w:ilvl w:val="0"/>
          <w:numId w:val="10"/>
        </w:numPr>
      </w:pPr>
      <w:r>
        <w:rPr>
          <w:rFonts w:ascii="Consolas" w:hAnsi="Consolas"/>
          <w:color w:val="1F4D78"/>
          <w:sz w:val="19"/>
          <w:shd w:fill="EEF2F6"/>
        </w:rPr>
        <w:t>supabase/migrations/20260831000100_initial_event_catalog.sql</w:t>
      </w:r>
    </w:p>
    <w:p>
      <w:pPr>
        <w:numPr>
          <w:ilvl w:val="0"/>
          <w:numId w:val="10"/>
        </w:numPr>
      </w:pPr>
      <w:r>
        <w:rPr>
          <w:rFonts w:ascii="Consolas" w:hAnsi="Consolas"/>
          <w:color w:val="1F4D78"/>
          <w:sz w:val="19"/>
          <w:shd w:fill="EEF2F6"/>
        </w:rPr>
        <w:t>supabase/migrations/20260902000100_event_location_metadata.sql</w:t>
      </w:r>
    </w:p>
    <w:p>
      <w:pPr>
        <w:numPr>
          <w:ilvl w:val="0"/>
          <w:numId w:val="10"/>
        </w:numPr>
      </w:pPr>
      <w:r>
        <w:rPr>
          <w:rFonts w:ascii="Consolas" w:hAnsi="Consolas"/>
          <w:color w:val="1F4D78"/>
          <w:sz w:val="19"/>
          <w:shd w:fill="EEF2F6"/>
        </w:rPr>
        <w:t>supabase/migrations/20260911000100_content_enrichment_and_organizer_controls.sql</w:t>
      </w:r>
    </w:p>
    <w:p>
      <w:pPr>
        <w:numPr>
          <w:ilvl w:val="0"/>
          <w:numId w:val="10"/>
        </w:numPr>
      </w:pPr>
      <w:r>
        <w:rPr>
          <w:rFonts w:ascii="Consolas" w:hAnsi="Consolas"/>
          <w:color w:val="1F4D78"/>
          <w:sz w:val="19"/>
          <w:shd w:fill="EEF2F6"/>
        </w:rPr>
        <w:t>supabase/migrations/20260912000100_rewrite_state_and_reconciliation.sql</w:t>
      </w:r>
    </w:p>
    <w:p>
      <w:pPr>
        <w:numPr>
          <w:ilvl w:val="0"/>
          <w:numId w:val="10"/>
        </w:numPr>
      </w:pPr>
      <w:r>
        <w:rPr>
          <w:rFonts w:ascii="Consolas" w:hAnsi="Consolas"/>
          <w:color w:val="1F4D78"/>
          <w:sz w:val="19"/>
          <w:shd w:fill="EEF2F6"/>
        </w:rPr>
        <w:t>supabase/migrations/20260921000100_atomic_catalog_publication.sql</w:t>
      </w:r>
    </w:p>
    <w:p>
      <w:pPr>
        <w:numPr>
          <w:ilvl w:val="0"/>
          <w:numId w:val="10"/>
        </w:numPr>
      </w:pPr>
      <w:r>
        <w:rPr>
          <w:rFonts w:ascii="Consolas" w:hAnsi="Consolas"/>
          <w:color w:val="1F4D78"/>
          <w:sz w:val="19"/>
          <w:shd w:fill="EEF2F6"/>
        </w:rPr>
        <w:t>supabase/migrations/20260924000100_user_recommendation_interactions.sql</w:t>
      </w:r>
    </w:p>
    <w:p>
      <w:pPr>
        <w:numPr>
          <w:ilvl w:val="0"/>
          <w:numId w:val="10"/>
        </w:numPr>
      </w:pPr>
      <w:r>
        <w:rPr>
          <w:rFonts w:ascii="Consolas" w:hAnsi="Consolas"/>
          <w:color w:val="1F4D78"/>
          <w:sz w:val="19"/>
          <w:shd w:fill="EEF2F6"/>
        </w:rPr>
        <w:t>supabase/migrations/20261020000100_cleanup_expired_events.sql</w:t>
      </w:r>
    </w:p>
    <w:p>
      <w:pPr>
        <w:numPr>
          <w:ilvl w:val="0"/>
          <w:numId w:val="10"/>
        </w:numPr>
      </w:pPr>
      <w:r>
        <w:rPr>
          <w:rFonts w:ascii="Consolas" w:hAnsi="Consolas"/>
          <w:color w:val="1F4D78"/>
          <w:sz w:val="19"/>
          <w:shd w:fill="EEF2F6"/>
        </w:rPr>
        <w:t>supabase/migrations/20261020000200_optimize_event_matching.sql</w:t>
      </w:r>
    </w:p>
    <w:p>
      <w:pPr>
        <w:numPr>
          <w:ilvl w:val="0"/>
          <w:numId w:val="10"/>
        </w:numPr>
      </w:pPr>
      <w:r>
        <w:rPr>
          <w:rFonts w:ascii="Consolas" w:hAnsi="Consolas"/>
          <w:color w:val="1F4D78"/>
          <w:sz w:val="19"/>
          <w:shd w:fill="EEF2F6"/>
        </w:rPr>
        <w:t>supabase/migrations/20261020000300_integrate_expired_cleanup.sql</w:t>
      </w:r>
    </w:p>
    <w:p>
      <w:pPr>
        <w:pStyle w:val="Heading2"/>
      </w:pPr>
      <w:r>
        <w:t>Alcance y fuente de verdad</w:t>
      </w:r>
    </w:p>
    <w:p>
      <w:r>
        <w:rPr>
          <w:rFonts w:ascii="Calibri" w:hAnsi="Calibri"/>
        </w:rPr>
        <w:t xml:space="preserve">Este documento describe la base de datos del MVP, el significado de sus tablas y columnas, las relaciones, las políticas de acceso y la taxonomía observada. El boceto visual original se utilizó solamente como referencia relacional; los campos de esta base provienen del modelo real </w:t>
      </w:r>
      <w:r>
        <w:rPr>
          <w:rFonts w:ascii="Consolas" w:hAnsi="Consolas"/>
          <w:color w:val="1F4D78"/>
          <w:sz w:val="19"/>
          <w:shd w:fill="EEF2F6"/>
        </w:rPr>
        <w:t>Event</w:t>
      </w:r>
      <w:r>
        <w:rPr>
          <w:rFonts w:ascii="Calibri" w:hAnsi="Calibri"/>
        </w:rPr>
        <w:t xml:space="preserve"> y de las necesidades operativas del recolector.</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9360"/>
      </w:tblGrid>
      <w:tr>
        <w:trPr>
          <w:cantSplit/>
        </w:trPr>
        <w:tc>
          <w:tcPr>
            <w:tcW w:type="dxa" w:w="9360"/>
            <w:tcMar>
              <w:top w:w="80" w:type="dxa"/>
              <w:start w:w="120" w:type="dxa"/>
              <w:bottom w:w="80" w:type="dxa"/>
              <w:end w:w="120" w:type="dxa"/>
            </w:tcMar>
            <w:vAlign w:val="center"/>
            <w:shd w:fill="EEF4F8"/>
          </w:tcPr>
          <w:p>
            <w:pPr>
              <w:spacing w:before="40" w:after="40" w:line="276" w:lineRule="auto"/>
            </w:pPr>
            <w:r>
              <w:rPr>
                <w:rFonts w:ascii="Calibri" w:hAnsi="Calibri"/>
                <w:b/>
                <w:color w:val="17324D"/>
                <w:sz w:val="19"/>
              </w:rPr>
              <w:t>Fuente de verdad:</w:t>
            </w:r>
            <w:r>
              <w:rPr>
                <w:rFonts w:ascii="Calibri" w:hAnsi="Calibri"/>
                <w:color w:val="17324D"/>
                <w:sz w:val="19"/>
              </w:rPr>
              <w:t xml:space="preserve"> ante cualquier diferencia entre este documento, el DBML y la instalación remota, prevalece el conjunto ordenado de migraciones SQL versionadas. La migración del 24 de septiembre reemplazó definitivamente </w:t>
            </w:r>
            <w:r>
              <w:rPr>
                <w:rFonts w:ascii="Consolas" w:hAnsi="Consolas"/>
                <w:color w:val="1F4D78"/>
                <w:sz w:val="18"/>
                <w:shd w:fill="EEF2F6"/>
              </w:rPr>
              <w:t>favorites</w:t>
            </w:r>
            <w:r>
              <w:rPr>
                <w:rFonts w:ascii="Calibri" w:hAnsi="Calibri"/>
                <w:color w:val="17324D"/>
                <w:sz w:val="19"/>
              </w:rPr>
              <w:t xml:space="preserve"> por </w:t>
            </w:r>
            <w:r>
              <w:rPr>
                <w:rFonts w:ascii="Consolas" w:hAnsi="Consolas"/>
                <w:color w:val="1F4D78"/>
                <w:sz w:val="18"/>
                <w:shd w:fill="EEF2F6"/>
              </w:rPr>
              <w:t>user_event_interactions</w:t>
            </w:r>
            <w:r>
              <w:rPr>
                <w:rFonts w:ascii="Calibri" w:hAnsi="Calibri"/>
                <w:color w:val="17324D"/>
                <w:sz w:val="19"/>
              </w:rPr>
              <w:t>.</w:t>
            </w:r>
          </w:p>
        </w:tc>
      </w:tr>
    </w:tbl>
    <w:p>
      <w:pPr>
        <w:spacing w:after="40"/>
      </w:pPr>
    </w:p>
    <w:p>
      <w:pPr>
        <w:pStyle w:val="Heading2"/>
      </w:pPr>
      <w:r>
        <w:t>Estado del modelo</w:t>
      </w:r>
    </w:p>
    <w:p>
      <w:r>
        <w:rPr>
          <w:rFonts w:ascii="Calibri" w:hAnsi="Calibri"/>
        </w:rPr>
        <w:t xml:space="preserve">La versión vigente reemplaza </w:t>
      </w:r>
      <w:r>
        <w:rPr>
          <w:rFonts w:ascii="Consolas" w:hAnsi="Consolas"/>
          <w:color w:val="1F4D78"/>
          <w:sz w:val="19"/>
          <w:shd w:fill="EEF2F6"/>
        </w:rPr>
        <w:t>favorites</w:t>
      </w:r>
      <w:r>
        <w:rPr>
          <w:rFonts w:ascii="Calibri" w:hAnsi="Calibri"/>
        </w:rPr>
        <w:t xml:space="preserve"> por </w:t>
      </w:r>
      <w:r>
        <w:rPr>
          <w:rFonts w:ascii="Consolas" w:hAnsi="Consolas"/>
          <w:color w:val="1F4D78"/>
          <w:sz w:val="19"/>
          <w:shd w:fill="EEF2F6"/>
        </w:rPr>
        <w:t>user_event_interactions</w:t>
      </w:r>
      <w:r>
        <w:rPr>
          <w:rFonts w:ascii="Calibri" w:hAnsi="Calibri"/>
        </w:rPr>
        <w:t xml:space="preserve"> y publica el catálogo mediante </w:t>
      </w:r>
      <w:r>
        <w:rPr>
          <w:rFonts w:ascii="Consolas" w:hAnsi="Consolas"/>
          <w:color w:val="1F4D78"/>
          <w:sz w:val="19"/>
          <w:shd w:fill="EEF2F6"/>
        </w:rPr>
        <w:t>catalog_staging</w:t>
      </w:r>
      <w:r>
        <w:rPr>
          <w:rFonts w:ascii="Calibri" w:hAnsi="Calibri"/>
        </w:rPr>
        <w:t xml:space="preserve"> y la función transaccional </w:t>
      </w:r>
      <w:r>
        <w:rPr>
          <w:rFonts w:ascii="Consolas" w:hAnsi="Consolas"/>
          <w:color w:val="1F4D78"/>
          <w:sz w:val="19"/>
          <w:shd w:fill="EEF2F6"/>
        </w:rPr>
        <w:t>publish_staged_catalog(...)</w:t>
      </w:r>
      <w:r>
        <w:rPr>
          <w:rFonts w:ascii="Calibri" w:hAnsi="Calibri"/>
        </w:rPr>
        <w:t xml:space="preserve">. La revisión del 20 de octubre añade </w:t>
      </w:r>
      <w:r>
        <w:rPr>
          <w:rFonts w:ascii="Consolas" w:hAnsi="Consolas"/>
          <w:color w:val="1F4D78"/>
          <w:sz w:val="19"/>
          <w:shd w:fill="EEF2F6"/>
        </w:rPr>
        <w:t>cleanup_expired_events()</w:t>
      </w:r>
      <w:r>
        <w:rPr>
          <w:rFonts w:ascii="Calibri" w:hAnsi="Calibri"/>
        </w:rPr>
        <w:t>, optimiza la búsqueda previa a IA con dos índices de URL y conecta la limpieza protegida con la publicación. No añade tablas ni columnas, por lo que el modelo ER conserva sus entidades y relaciones.</w:t>
      </w:r>
    </w:p>
    <w:p>
      <w:pPr>
        <w:pStyle w:val="Heading2"/>
      </w:pPr>
      <w:r>
        <w:t>Registro de cambios del 20 de octubre de 2026</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1700"/>
        <w:gridCol w:w="4500"/>
        <w:gridCol w:w="3160"/>
      </w:tblGrid>
      <w:tr>
        <w:trPr>
          <w:cantSplit/>
          <w:tblHeader w:val="true"/>
        </w:trPr>
        <w:tc>
          <w:tcPr>
            <w:tcW w:type="dxa" w:w="17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Migración</w:t>
            </w:r>
          </w:p>
        </w:tc>
        <w:tc>
          <w:tcPr>
            <w:tcW w:type="dxa" w:w="4500"/>
            <w:tcMar>
              <w:top w:w="80" w:type="dxa"/>
              <w:start w:w="120" w:type="dxa"/>
              <w:bottom w:w="80" w:type="dxa"/>
              <w:end w:w="120" w:type="dxa"/>
            </w:tcMar>
            <w:vAlign w:val="center"/>
            <w:shd w:fill="E8EEF5"/>
          </w:tcPr>
          <w:p>
            <w:pPr>
              <w:keepNext/>
              <w:spacing w:before="0" w:after="0" w:line="259" w:lineRule="auto"/>
              <w:jc w:val="center"/>
            </w:pPr>
            <w:r>
              <w:rPr>
                <w:rFonts w:ascii="Calibri" w:hAnsi="Calibri"/>
                <w:b/>
                <w:color w:val="17324D"/>
                <w:sz w:val="18"/>
              </w:rPr>
              <w:t>Cambio</w:t>
            </w:r>
          </w:p>
        </w:tc>
        <w:tc>
          <w:tcPr>
            <w:tcW w:type="dxa" w:w="31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Efecto al instalar</w:t>
            </w:r>
          </w:p>
        </w:tc>
      </w:tr>
      <w:tr>
        <w:trPr>
          <w:cantSplit/>
        </w:trPr>
        <w:tc>
          <w:tcPr>
            <w:tcW w:type="dxa" w:w="1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20261020000100</w:t>
            </w:r>
          </w:p>
        </w:tc>
        <w:tc>
          <w:tcPr>
            <w:tcW w:type="dxa" w:w="4500"/>
            <w:tcMar>
              <w:top w:w="80" w:type="dxa"/>
              <w:start w:w="120" w:type="dxa"/>
              <w:bottom w:w="80" w:type="dxa"/>
              <w:end w:w="120" w:type="dxa"/>
            </w:tcMar>
            <w:vAlign w:val="center"/>
          </w:tcPr>
          <w:p>
            <w:pPr>
              <w:spacing w:before="0" w:after="0" w:line="259" w:lineRule="auto"/>
              <w:jc w:val="center"/>
            </w:pPr>
            <w:r>
              <w:rPr>
                <w:rFonts w:ascii="Calibri" w:hAnsi="Calibri"/>
                <w:sz w:val="18"/>
              </w:rPr>
              <w:t xml:space="preserve">Crea la RPC privada </w:t>
            </w:r>
            <w:r>
              <w:rPr>
                <w:rFonts w:ascii="Consolas" w:hAnsi="Consolas"/>
                <w:color w:val="1F4D78"/>
                <w:sz w:val="17"/>
                <w:shd w:fill="EEF2F6"/>
              </w:rPr>
              <w:t>cleanup_expired_events()</w:t>
            </w:r>
            <w:r>
              <w:rPr>
                <w:rFonts w:ascii="Calibri" w:hAnsi="Calibri"/>
                <w:sz w:val="18"/>
              </w:rPr>
              <w:t xml:space="preserve"> para eventos manuales y extraídos. Usa la hora del servidor y protege supresiones e interacciones.</w:t>
            </w:r>
          </w:p>
        </w:tc>
        <w:tc>
          <w:tcPr>
            <w:tcW w:type="dxa" w:w="3160"/>
            <w:tcMar>
              <w:top w:w="80" w:type="dxa"/>
              <w:start w:w="120" w:type="dxa"/>
              <w:bottom w:w="80" w:type="dxa"/>
              <w:end w:w="120" w:type="dxa"/>
            </w:tcMar>
            <w:vAlign w:val="center"/>
          </w:tcPr>
          <w:p>
            <w:pPr>
              <w:spacing w:before="0" w:after="0" w:line="259" w:lineRule="auto"/>
            </w:pPr>
            <w:r>
              <w:rPr>
                <w:rFonts w:ascii="Calibri" w:hAnsi="Calibri"/>
                <w:sz w:val="18"/>
              </w:rPr>
              <w:t>Crea la función y sus permisos; no borra eventos.</w:t>
            </w:r>
          </w:p>
        </w:tc>
      </w:tr>
      <w:tr>
        <w:trPr>
          <w:cantSplit/>
        </w:trPr>
        <w:tc>
          <w:tcPr>
            <w:tcW w:type="dxa" w:w="1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20261020000200</w:t>
            </w:r>
          </w:p>
        </w:tc>
        <w:tc>
          <w:tcPr>
            <w:tcW w:type="dxa" w:w="4500"/>
            <w:tcMar>
              <w:top w:w="80" w:type="dxa"/>
              <w:start w:w="120" w:type="dxa"/>
              <w:bottom w:w="80" w:type="dxa"/>
              <w:end w:w="120" w:type="dxa"/>
            </w:tcMar>
            <w:vAlign w:val="center"/>
          </w:tcPr>
          <w:p>
            <w:pPr>
              <w:spacing w:before="0" w:after="0" w:line="259" w:lineRule="auto"/>
              <w:jc w:val="center"/>
            </w:pPr>
            <w:r>
              <w:rPr>
                <w:rFonts w:ascii="Calibri" w:hAnsi="Calibri"/>
                <w:sz w:val="18"/>
              </w:rPr>
              <w:t xml:space="preserve">Añade índices de URL y reescribe </w:t>
            </w:r>
            <w:r>
              <w:rPr>
                <w:rFonts w:ascii="Consolas" w:hAnsi="Consolas"/>
                <w:color w:val="1F4D78"/>
                <w:sz w:val="17"/>
                <w:shd w:fill="EEF2F6"/>
              </w:rPr>
              <w:t>match_existing_events(jsonb)</w:t>
            </w:r>
            <w:r>
              <w:rPr>
                <w:rFonts w:ascii="Calibri" w:hAnsi="Calibri"/>
                <w:sz w:val="18"/>
              </w:rPr>
              <w:t xml:space="preserve"> sin cambiar su contrato REST.</w:t>
            </w:r>
          </w:p>
        </w:tc>
        <w:tc>
          <w:tcPr>
            <w:tcW w:type="dxa" w:w="3160"/>
            <w:tcMar>
              <w:top w:w="80" w:type="dxa"/>
              <w:start w:w="120" w:type="dxa"/>
              <w:bottom w:w="80" w:type="dxa"/>
              <w:end w:w="120" w:type="dxa"/>
            </w:tcMar>
            <w:vAlign w:val="center"/>
          </w:tcPr>
          <w:p>
            <w:pPr>
              <w:spacing w:before="0" w:after="0" w:line="259" w:lineRule="auto"/>
            </w:pPr>
            <w:r>
              <w:rPr>
                <w:rFonts w:ascii="Calibri" w:hAnsi="Calibri"/>
                <w:sz w:val="18"/>
              </w:rPr>
              <w:t>Construye índices y reemplaza la consulta; no modifica filas del catálogo.</w:t>
            </w:r>
          </w:p>
        </w:tc>
      </w:tr>
      <w:tr>
        <w:trPr>
          <w:cantSplit/>
        </w:trPr>
        <w:tc>
          <w:tcPr>
            <w:tcW w:type="dxa" w:w="1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20261020000300</w:t>
            </w:r>
          </w:p>
        </w:tc>
        <w:tc>
          <w:tcPr>
            <w:tcW w:type="dxa" w:w="4500"/>
            <w:tcMar>
              <w:top w:w="80" w:type="dxa"/>
              <w:start w:w="120" w:type="dxa"/>
              <w:bottom w:w="80" w:type="dxa"/>
              <w:end w:w="120" w:type="dxa"/>
            </w:tcMar>
            <w:vAlign w:val="center"/>
          </w:tcPr>
          <w:p>
            <w:pPr>
              <w:spacing w:before="0" w:after="0" w:line="259" w:lineRule="auto"/>
              <w:jc w:val="center"/>
            </w:pPr>
            <w:r>
              <w:rPr>
                <w:rFonts w:ascii="Calibri" w:hAnsi="Calibri"/>
                <w:sz w:val="18"/>
              </w:rPr>
              <w:t xml:space="preserve">Integra la limpieza en </w:t>
            </w:r>
            <w:r>
              <w:rPr>
                <w:rFonts w:ascii="Consolas" w:hAnsi="Consolas"/>
                <w:color w:val="1F4D78"/>
                <w:sz w:val="17"/>
                <w:shd w:fill="EEF2F6"/>
              </w:rPr>
              <w:t>publish_staged_catalog(...)</w:t>
            </w:r>
            <w:r>
              <w:rPr>
                <w:rFonts w:ascii="Calibri" w:hAnsi="Calibri"/>
                <w:sz w:val="18"/>
              </w:rPr>
              <w:t xml:space="preserve"> y protege la conciliación frente a eventos manuales o con interacciones.</w:t>
            </w:r>
          </w:p>
        </w:tc>
        <w:tc>
          <w:tcPr>
            <w:tcW w:type="dxa" w:w="3160"/>
            <w:tcMar>
              <w:top w:w="80" w:type="dxa"/>
              <w:start w:w="120" w:type="dxa"/>
              <w:bottom w:w="80" w:type="dxa"/>
              <w:end w:w="120" w:type="dxa"/>
            </w:tcMar>
            <w:vAlign w:val="center"/>
          </w:tcPr>
          <w:p>
            <w:pPr>
              <w:spacing w:before="0" w:after="0" w:line="259" w:lineRule="auto"/>
            </w:pPr>
            <w:r>
              <w:rPr>
                <w:rFonts w:ascii="Calibri" w:hAnsi="Calibri"/>
                <w:sz w:val="18"/>
              </w:rPr>
              <w:t>Reemplaza la función de publicación; no la ejecuta.</w:t>
            </w:r>
          </w:p>
        </w:tc>
      </w:tr>
    </w:tbl>
    <w:p>
      <w:pPr>
        <w:spacing w:after="40"/>
      </w:pPr>
    </w:p>
    <w:p>
      <w:r>
        <w:rPr>
          <w:rFonts w:ascii="Calibri" w:hAnsi="Calibri"/>
        </w:rPr>
        <w:t>Las nueve migraciones locales y remotas quedaron sincronizadas el 20 de octubre. La aplicación de estas migraciones no ejecutó el scraper ni una limpieza sobre el catálogo existente. El nuevo comportamiento se utiliza en la siguiente publicación que termine correctamente.</w:t>
      </w:r>
    </w:p>
    <w:p>
      <w:pPr>
        <w:pStyle w:val="Heading1"/>
      </w:pPr>
      <w:r>
        <w:t>1. Vista general</w:t>
      </w:r>
    </w:p>
    <w:p>
      <w:pPr>
        <w:spacing w:after="80"/>
        <w:jc w:val="center"/>
      </w:pPr>
      <w:r>
        <w:drawing>
          <wp:inline xmlns:a="http://schemas.openxmlformats.org/drawingml/2006/main" xmlns:pic="http://schemas.openxmlformats.org/drawingml/2006/picture">
            <wp:extent cx="5715000" cy="6490221"/>
            <wp:docPr id="1" name="Picture 1" descr="Vista por capas del modelo de datos: ingesta, catálogo cultural, aplicación y usuarios."/>
            <wp:cNvGraphicFramePr>
              <a:graphicFrameLocks noChangeAspect="1"/>
            </wp:cNvGraphicFramePr>
            <a:graphic>
              <a:graphicData uri="http://schemas.openxmlformats.org/drawingml/2006/picture">
                <pic:pic>
                  <pic:nvPicPr>
                    <pic:cNvPr id="0" name="database_relationships.png"/>
                    <pic:cNvPicPr/>
                  </pic:nvPicPr>
                  <pic:blipFill>
                    <a:blip r:embed="rId11"/>
                    <a:stretch>
                      <a:fillRect/>
                    </a:stretch>
                  </pic:blipFill>
                  <pic:spPr>
                    <a:xfrm>
                      <a:off x="0" y="0"/>
                      <a:ext cx="5715000" cy="6490221"/>
                    </a:xfrm>
                    <a:prstGeom prst="rect"/>
                  </pic:spPr>
                </pic:pic>
              </a:graphicData>
            </a:graphic>
          </wp:inline>
        </w:drawing>
      </w:r>
    </w:p>
    <w:p>
      <w:pPr>
        <w:spacing w:before="0" w:after="200"/>
        <w:jc w:val="center"/>
      </w:pPr>
      <w:r>
        <w:rPr>
          <w:rFonts w:ascii="Calibri" w:hAnsi="Calibri"/>
          <w:i/>
          <w:color w:val="5E6B78"/>
          <w:sz w:val="18"/>
        </w:rPr>
        <w:t>Figura 1. Vista por capas del modelo de datos vigente.</w:t>
      </w:r>
    </w:p>
    <w:p>
      <w:r>
        <w:rPr>
          <w:rFonts w:ascii="Calibri" w:hAnsi="Calibri"/>
        </w:rPr>
        <w:t xml:space="preserve">Esta vista prioriza la lectura arquitectónica. Las entidades, columnas, claves y cardinalidades formales se conservan en </w:t>
      </w:r>
      <w:r>
        <w:rPr>
          <w:rFonts w:ascii="Consolas" w:hAnsi="Consolas"/>
          <w:color w:val="1F4D78"/>
          <w:sz w:val="19"/>
          <w:shd w:fill="EEF2F6"/>
        </w:rPr>
        <w:t>modelo_er.mmd</w:t>
      </w:r>
      <w:r>
        <w:rPr>
          <w:rFonts w:ascii="Calibri" w:hAnsi="Calibri"/>
        </w:rPr>
        <w:t xml:space="preserve">. Ese archivo se genera desde la fuente canónica </w:t>
      </w:r>
      <w:r>
        <w:rPr>
          <w:rFonts w:ascii="Consolas" w:hAnsi="Consolas"/>
          <w:color w:val="1F4D78"/>
          <w:sz w:val="19"/>
          <w:shd w:fill="EEF2F6"/>
        </w:rPr>
        <w:t>evento_cultural_modelo.dbml</w:t>
      </w:r>
      <w:r>
        <w:rPr>
          <w:rFonts w:ascii="Calibri" w:hAnsi="Calibri"/>
        </w:rPr>
        <w:t xml:space="preserve"> mediante </w:t>
      </w:r>
      <w:r>
        <w:rPr>
          <w:rFonts w:ascii="Consolas" w:hAnsi="Consolas"/>
          <w:color w:val="1F4D78"/>
          <w:sz w:val="19"/>
          <w:shd w:fill="EEF2F6"/>
        </w:rPr>
        <w:t>python tools/generate_model_er.py</w:t>
      </w:r>
      <w:r>
        <w:rPr>
          <w:rFonts w:ascii="Calibri" w:hAnsi="Calibri"/>
        </w:rPr>
        <w:t xml:space="preserve">; no debe editarse manualmente. La opción </w:t>
      </w:r>
      <w:r>
        <w:rPr>
          <w:rFonts w:ascii="Consolas" w:hAnsi="Consolas"/>
          <w:color w:val="1F4D78"/>
          <w:sz w:val="19"/>
          <w:shd w:fill="EEF2F6"/>
        </w:rPr>
        <w:t>--check</w:t>
      </w:r>
      <w:r>
        <w:rPr>
          <w:rFonts w:ascii="Calibri" w:hAnsi="Calibri"/>
        </w:rPr>
        <w:t xml:space="preserve"> permite detectar divergencias antes de publicar documentación.</w:t>
      </w:r>
    </w:p>
    <w:p>
      <w:r>
        <w:rPr>
          <w:rFonts w:ascii="Consolas" w:hAnsi="Consolas"/>
          <w:color w:val="1F4D78"/>
          <w:sz w:val="19"/>
          <w:shd w:fill="EEF2F6"/>
        </w:rPr>
        <w:t>scrape_runs</w:t>
      </w:r>
      <w:r>
        <w:rPr>
          <w:rFonts w:ascii="Calibri" w:hAnsi="Calibri"/>
        </w:rPr>
        <w:t xml:space="preserve"> registra la salud de cada sincronización y no necesita una clave foránea hacia los eventos. Una ejecución puede descubrir cientos de eventos, pero los eventos permanecen vigentes entre ejecuciones mediante sus identificadores deterministas.</w:t>
      </w:r>
    </w:p>
    <w:p>
      <w:pPr>
        <w:pStyle w:val="Heading2"/>
      </w:pPr>
      <w:r>
        <w:t>Tablas de ingesta y catálogo</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2700"/>
        <w:gridCol w:w="6660"/>
      </w:tblGrid>
      <w:tr>
        <w:trPr>
          <w:cantSplit/>
          <w:tblHeader w:val="true"/>
        </w:trPr>
        <w:tc>
          <w:tcPr>
            <w:tcW w:type="dxa" w:w="27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Tabla</w:t>
            </w:r>
          </w:p>
        </w:tc>
        <w:tc>
          <w:tcPr>
            <w:tcW w:type="dxa" w:w="66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Finalidad</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sources</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Agenda, municipalidad, ticketera o sitio desde el que se obtuvo la información.</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organizers</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Institución o entidad responsable de organizar el evento.</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communes</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Ubicación administrativa normalizada del evento.</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categories</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Etiquetas temáticas, de formato, audiencia o procedencia.</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events</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Registro canónico de cada evento consolidado.</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event_categories</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Relación muchos-a-muchos entre eventos y categorías.</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media_assets</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Imágenes y futuros videos, audios o documentos asociados.</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event_provenance</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Evidencia privada: texto original, OCR y URL canónica.</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scrape_runs</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Bitácora técnica de ejecuciones locales y de GitHub Actions.</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catalog_staging</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Fragmentos privados temporales usados para publicar un lote de forma atómica.</w:t>
            </w:r>
          </w:p>
        </w:tc>
      </w:tr>
    </w:tbl>
    <w:p>
      <w:pPr>
        <w:spacing w:after="40"/>
      </w:pPr>
    </w:p>
    <w:p>
      <w:pPr>
        <w:pStyle w:val="Heading2"/>
      </w:pPr>
      <w:r>
        <w:t>Tablas de aplicación y usuarios</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2700"/>
        <w:gridCol w:w="6660"/>
      </w:tblGrid>
      <w:tr>
        <w:trPr>
          <w:cantSplit/>
          <w:tblHeader w:val="true"/>
        </w:trPr>
        <w:tc>
          <w:tcPr>
            <w:tcW w:type="dxa" w:w="27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Tabla</w:t>
            </w:r>
          </w:p>
        </w:tc>
        <w:tc>
          <w:tcPr>
            <w:tcW w:type="dxa" w:w="66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Finalidad</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profiles</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Perfil público mínimo asociado a Supabase Auth.</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user_event_interactions</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Señales de comportamiento para recomendaciones: visualizaciones, interés, descarte, aperturas y compartidos.</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reports</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Avisos de usuarios sobre información incorrecta o problemática.</w:t>
            </w:r>
          </w:p>
        </w:tc>
      </w:tr>
    </w:tbl>
    <w:p>
      <w:pPr>
        <w:spacing w:after="40"/>
      </w:pPr>
    </w:p>
    <w:p>
      <w:pPr>
        <w:pStyle w:val="Heading2"/>
      </w:pPr>
      <w:r>
        <w:t>Vistas y funciones operativas</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2100"/>
        <w:gridCol w:w="1500"/>
        <w:gridCol w:w="5760"/>
      </w:tblGrid>
      <w:tr>
        <w:trPr>
          <w:cantSplit/>
          <w:tblHeader w:val="true"/>
        </w:trPr>
        <w:tc>
          <w:tcPr>
            <w:tcW w:type="dxa" w:w="21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Objeto</w:t>
            </w:r>
          </w:p>
        </w:tc>
        <w:tc>
          <w:tcPr>
            <w:tcW w:type="dxa" w:w="1500"/>
            <w:tcMar>
              <w:top w:w="80" w:type="dxa"/>
              <w:start w:w="120" w:type="dxa"/>
              <w:bottom w:w="80" w:type="dxa"/>
              <w:end w:w="120" w:type="dxa"/>
            </w:tcMar>
            <w:vAlign w:val="center"/>
            <w:shd w:fill="E8EEF5"/>
          </w:tcPr>
          <w:p>
            <w:pPr>
              <w:keepNext/>
              <w:spacing w:before="0" w:after="0" w:line="259" w:lineRule="auto"/>
              <w:jc w:val="center"/>
            </w:pPr>
            <w:r>
              <w:rPr>
                <w:rFonts w:ascii="Calibri" w:hAnsi="Calibri"/>
                <w:b/>
                <w:color w:val="17324D"/>
                <w:sz w:val="18"/>
              </w:rPr>
              <w:t>Tipo</w:t>
            </w:r>
          </w:p>
        </w:tc>
        <w:tc>
          <w:tcPr>
            <w:tcW w:type="dxa" w:w="57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Finalidad</w:t>
            </w:r>
          </w:p>
        </w:tc>
      </w:tr>
      <w:tr>
        <w:trPr>
          <w:cantSplit/>
        </w:trPr>
        <w:tc>
          <w:tcPr>
            <w:tcW w:type="dxa" w:w="21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public_event_catalog</w:t>
            </w:r>
          </w:p>
        </w:tc>
        <w:tc>
          <w:tcPr>
            <w:tcW w:type="dxa" w:w="1500"/>
            <w:tcMar>
              <w:top w:w="80" w:type="dxa"/>
              <w:start w:w="120" w:type="dxa"/>
              <w:bottom w:w="80" w:type="dxa"/>
              <w:end w:w="120" w:type="dxa"/>
            </w:tcMar>
            <w:vAlign w:val="center"/>
          </w:tcPr>
          <w:p>
            <w:pPr>
              <w:spacing w:before="0" w:after="0" w:line="259" w:lineRule="auto"/>
              <w:jc w:val="center"/>
            </w:pPr>
            <w:r>
              <w:rPr>
                <w:rFonts w:ascii="Calibri" w:hAnsi="Calibri"/>
                <w:sz w:val="18"/>
              </w:rPr>
              <w:t>Vista pública</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 xml:space="preserve">Entrega eventos publicados con </w:t>
            </w:r>
            <w:r>
              <w:rPr>
                <w:rFonts w:ascii="Consolas" w:hAnsi="Consolas"/>
                <w:color w:val="1F4D78"/>
                <w:sz w:val="17"/>
                <w:shd w:fill="EEF2F6"/>
              </w:rPr>
              <w:t>source_name</w:t>
            </w:r>
            <w:r>
              <w:rPr>
                <w:rFonts w:ascii="Calibri" w:hAnsi="Calibri"/>
                <w:sz w:val="18"/>
              </w:rPr>
              <w:t xml:space="preserve"> y </w:t>
            </w:r>
            <w:r>
              <w:rPr>
                <w:rFonts w:ascii="Consolas" w:hAnsi="Consolas"/>
                <w:color w:val="1F4D78"/>
                <w:sz w:val="17"/>
                <w:shd w:fill="EEF2F6"/>
              </w:rPr>
              <w:t>organizer_name</w:t>
            </w:r>
            <w:r>
              <w:rPr>
                <w:rFonts w:ascii="Calibri" w:hAnsi="Calibri"/>
                <w:sz w:val="18"/>
              </w:rPr>
              <w:t>, respetando RLS, supresión y bloqueos.</w:t>
            </w:r>
          </w:p>
        </w:tc>
      </w:tr>
      <w:tr>
        <w:trPr>
          <w:cantSplit/>
        </w:trPr>
        <w:tc>
          <w:tcPr>
            <w:tcW w:type="dxa" w:w="21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set_updated_at()</w:t>
            </w:r>
          </w:p>
        </w:tc>
        <w:tc>
          <w:tcPr>
            <w:tcW w:type="dxa" w:w="1500"/>
            <w:tcMar>
              <w:top w:w="80" w:type="dxa"/>
              <w:start w:w="120" w:type="dxa"/>
              <w:bottom w:w="80" w:type="dxa"/>
              <w:end w:w="120" w:type="dxa"/>
            </w:tcMar>
            <w:vAlign w:val="center"/>
          </w:tcPr>
          <w:p>
            <w:pPr>
              <w:spacing w:before="0" w:after="0" w:line="259" w:lineRule="auto"/>
              <w:jc w:val="center"/>
            </w:pPr>
            <w:r>
              <w:rPr>
                <w:rFonts w:ascii="Calibri" w:hAnsi="Calibri"/>
                <w:sz w:val="18"/>
              </w:rPr>
              <w:t>Trigger function</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 xml:space="preserve">Mantiene automáticamente las columnas </w:t>
            </w:r>
            <w:r>
              <w:rPr>
                <w:rFonts w:ascii="Consolas" w:hAnsi="Consolas"/>
                <w:color w:val="1F4D78"/>
                <w:sz w:val="17"/>
                <w:shd w:fill="EEF2F6"/>
              </w:rPr>
              <w:t>updated_at</w:t>
            </w:r>
            <w:r>
              <w:rPr>
                <w:rFonts w:ascii="Calibri" w:hAnsi="Calibri"/>
                <w:sz w:val="18"/>
              </w:rPr>
              <w:t>.</w:t>
            </w:r>
          </w:p>
        </w:tc>
      </w:tr>
      <w:tr>
        <w:trPr>
          <w:cantSplit/>
        </w:trPr>
        <w:tc>
          <w:tcPr>
            <w:tcW w:type="dxa" w:w="21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handle_new_user()</w:t>
            </w:r>
          </w:p>
        </w:tc>
        <w:tc>
          <w:tcPr>
            <w:tcW w:type="dxa" w:w="1500"/>
            <w:tcMar>
              <w:top w:w="80" w:type="dxa"/>
              <w:start w:w="120" w:type="dxa"/>
              <w:bottom w:w="80" w:type="dxa"/>
              <w:end w:w="120" w:type="dxa"/>
            </w:tcMar>
            <w:vAlign w:val="center"/>
          </w:tcPr>
          <w:p>
            <w:pPr>
              <w:spacing w:before="0" w:after="0" w:line="259" w:lineRule="auto"/>
              <w:jc w:val="center"/>
            </w:pPr>
            <w:r>
              <w:rPr>
                <w:rFonts w:ascii="Calibri" w:hAnsi="Calibri"/>
                <w:sz w:val="18"/>
              </w:rPr>
              <w:t>Trigger function</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Crea el perfil mínimo al registrarse un usuario en Supabase Auth.</w:t>
            </w:r>
          </w:p>
        </w:tc>
      </w:tr>
      <w:tr>
        <w:trPr>
          <w:cantSplit/>
        </w:trPr>
        <w:tc>
          <w:tcPr>
            <w:tcW w:type="dxa" w:w="21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match_existing_events(jsonb)</w:t>
            </w:r>
          </w:p>
        </w:tc>
        <w:tc>
          <w:tcPr>
            <w:tcW w:type="dxa" w:w="1500"/>
            <w:tcMar>
              <w:top w:w="80" w:type="dxa"/>
              <w:start w:w="120" w:type="dxa"/>
              <w:bottom w:w="80" w:type="dxa"/>
              <w:end w:w="120" w:type="dxa"/>
            </w:tcMar>
            <w:vAlign w:val="center"/>
          </w:tcPr>
          <w:p>
            <w:pPr>
              <w:spacing w:before="0" w:after="0" w:line="259" w:lineRule="auto"/>
              <w:jc w:val="center"/>
            </w:pPr>
            <w:r>
              <w:rPr>
                <w:rFonts w:ascii="Calibri" w:hAnsi="Calibri"/>
                <w:sz w:val="18"/>
              </w:rPr>
              <w:t>RPC privada de lectura</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Detecta coincidencias por clave externa o URL antes de OCR y redacción; utiliza índices y devuelve una coincidencia por clave local.</w:t>
            </w:r>
          </w:p>
        </w:tc>
      </w:tr>
      <w:tr>
        <w:trPr>
          <w:cantSplit/>
        </w:trPr>
        <w:tc>
          <w:tcPr>
            <w:tcW w:type="dxa" w:w="21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is_organizer_blocked(uuid)</w:t>
            </w:r>
          </w:p>
        </w:tc>
        <w:tc>
          <w:tcPr>
            <w:tcW w:type="dxa" w:w="1500"/>
            <w:tcMar>
              <w:top w:w="80" w:type="dxa"/>
              <w:start w:w="120" w:type="dxa"/>
              <w:bottom w:w="80" w:type="dxa"/>
              <w:end w:w="120" w:type="dxa"/>
            </w:tcMar>
            <w:vAlign w:val="center"/>
          </w:tcPr>
          <w:p>
            <w:pPr>
              <w:spacing w:before="0" w:after="0" w:line="259" w:lineRule="auto"/>
              <w:jc w:val="center"/>
            </w:pPr>
            <w:r>
              <w:rPr>
                <w:rFonts w:ascii="Calibri" w:hAnsi="Calibri"/>
                <w:sz w:val="18"/>
              </w:rPr>
              <w:t>Función de seguridad</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Permite aplicar la exclusión de organizadores sin exponer sus columnas administrativas.</w:t>
            </w:r>
          </w:p>
        </w:tc>
      </w:tr>
      <w:tr>
        <w:trPr>
          <w:cantSplit/>
        </w:trPr>
        <w:tc>
          <w:tcPr>
            <w:tcW w:type="dxa" w:w="21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publish_staged_catalog(...)</w:t>
            </w:r>
          </w:p>
        </w:tc>
        <w:tc>
          <w:tcPr>
            <w:tcW w:type="dxa" w:w="1500"/>
            <w:tcMar>
              <w:top w:w="80" w:type="dxa"/>
              <w:start w:w="120" w:type="dxa"/>
              <w:bottom w:w="80" w:type="dxa"/>
              <w:end w:w="120" w:type="dxa"/>
            </w:tcMar>
            <w:vAlign w:val="center"/>
          </w:tcPr>
          <w:p>
            <w:pPr>
              <w:spacing w:before="0" w:after="0" w:line="259" w:lineRule="auto"/>
              <w:jc w:val="center"/>
            </w:pPr>
            <w:r>
              <w:rPr>
                <w:rFonts w:ascii="Calibri" w:hAnsi="Calibri"/>
                <w:sz w:val="18"/>
              </w:rPr>
              <w:t>RPC privada y transaccional</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Publica un lote completo desde staging, reconcilia registros obsoletos y elimina eventos vencidos.</w:t>
            </w:r>
          </w:p>
        </w:tc>
      </w:tr>
      <w:tr>
        <w:trPr>
          <w:cantSplit/>
        </w:trPr>
        <w:tc>
          <w:tcPr>
            <w:tcW w:type="dxa" w:w="21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cleanup_expired_events()</w:t>
            </w:r>
          </w:p>
        </w:tc>
        <w:tc>
          <w:tcPr>
            <w:tcW w:type="dxa" w:w="1500"/>
            <w:tcMar>
              <w:top w:w="80" w:type="dxa"/>
              <w:start w:w="120" w:type="dxa"/>
              <w:bottom w:w="80" w:type="dxa"/>
              <w:end w:w="120" w:type="dxa"/>
            </w:tcMar>
            <w:vAlign w:val="center"/>
          </w:tcPr>
          <w:p>
            <w:pPr>
              <w:spacing w:before="0" w:after="0" w:line="259" w:lineRule="auto"/>
              <w:jc w:val="center"/>
            </w:pPr>
            <w:r>
              <w:rPr>
                <w:rFonts w:ascii="Calibri" w:hAnsi="Calibri"/>
                <w:sz w:val="18"/>
              </w:rPr>
              <w:t>RPC privada</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 xml:space="preserve">Devuelve la cantidad eliminada como </w:t>
            </w:r>
            <w:r>
              <w:rPr>
                <w:rFonts w:ascii="Consolas" w:hAnsi="Consolas"/>
                <w:color w:val="1F4D78"/>
                <w:sz w:val="17"/>
                <w:shd w:fill="EEF2F6"/>
              </w:rPr>
              <w:t>bigint</w:t>
            </w:r>
            <w:r>
              <w:rPr>
                <w:rFonts w:ascii="Calibri" w:hAnsi="Calibri"/>
                <w:sz w:val="18"/>
              </w:rPr>
              <w:t>. Limpia vencidos usando el reloj de PostgreSQL y conserva supresiones e interacciones.</w:t>
            </w:r>
          </w:p>
        </w:tc>
      </w:tr>
    </w:tbl>
    <w:p>
      <w:pPr>
        <w:spacing w:after="40"/>
      </w:pPr>
    </w:p>
    <w:p>
      <w:pPr>
        <w:pStyle w:val="Heading1"/>
      </w:pPr>
      <w:r>
        <w:t>2. Convenciones generales</w:t>
      </w:r>
    </w:p>
    <w:p>
      <w:pPr>
        <w:numPr>
          <w:ilvl w:val="0"/>
          <w:numId w:val="10"/>
        </w:numPr>
      </w:pPr>
      <w:r>
        <w:rPr>
          <w:rFonts w:ascii="Calibri" w:hAnsi="Calibri"/>
        </w:rPr>
        <w:t xml:space="preserve">Todos los nombres usan </w:t>
      </w:r>
      <w:r>
        <w:rPr>
          <w:rFonts w:ascii="Consolas" w:hAnsi="Consolas"/>
          <w:color w:val="1F4D78"/>
          <w:sz w:val="19"/>
          <w:shd w:fill="EEF2F6"/>
        </w:rPr>
        <w:t>snake_case</w:t>
      </w:r>
      <w:r>
        <w:rPr>
          <w:rFonts w:ascii="Calibri" w:hAnsi="Calibri"/>
        </w:rPr>
        <w:t>.</w:t>
      </w:r>
    </w:p>
    <w:p>
      <w:pPr>
        <w:numPr>
          <w:ilvl w:val="0"/>
          <w:numId w:val="10"/>
        </w:numPr>
      </w:pPr>
      <w:r>
        <w:rPr>
          <w:rFonts w:ascii="Calibri" w:hAnsi="Calibri"/>
        </w:rPr>
        <w:t xml:space="preserve">Las claves primarias son UUID. El scraper produce UUID v5 deterministas para el catálogo; repetir una extracción actualiza las mismas filas mediante </w:t>
      </w:r>
      <w:r>
        <w:rPr>
          <w:rFonts w:ascii="Consolas" w:hAnsi="Consolas"/>
          <w:color w:val="1F4D78"/>
          <w:sz w:val="19"/>
          <w:shd w:fill="EEF2F6"/>
        </w:rPr>
        <w:t>upsert</w:t>
      </w:r>
      <w:r>
        <w:rPr>
          <w:rFonts w:ascii="Calibri" w:hAnsi="Calibri"/>
        </w:rPr>
        <w:t>.</w:t>
      </w:r>
    </w:p>
    <w:p>
      <w:pPr>
        <w:numPr>
          <w:ilvl w:val="0"/>
          <w:numId w:val="10"/>
        </w:numPr>
      </w:pPr>
      <w:r>
        <w:rPr>
          <w:rFonts w:ascii="Consolas" w:hAnsi="Consolas"/>
          <w:color w:val="1F4D78"/>
          <w:sz w:val="19"/>
          <w:shd w:fill="EEF2F6"/>
        </w:rPr>
        <w:t>timestamptz</w:t>
      </w:r>
      <w:r>
        <w:rPr>
          <w:rFonts w:ascii="Calibri" w:hAnsi="Calibri"/>
        </w:rPr>
        <w:t xml:space="preserve"> representa fecha y hora con zona horaria. Supabase la almacena internamente de forma normalizada y el cliente debe presentarla en </w:t>
      </w:r>
      <w:r>
        <w:rPr>
          <w:rFonts w:ascii="Consolas" w:hAnsi="Consolas"/>
          <w:color w:val="1F4D78"/>
          <w:sz w:val="19"/>
          <w:shd w:fill="EEF2F6"/>
        </w:rPr>
        <w:t>America/Santiago</w:t>
      </w:r>
      <w:r>
        <w:rPr>
          <w:rFonts w:ascii="Calibri" w:hAnsi="Calibri"/>
        </w:rPr>
        <w:t xml:space="preserve"> cuando corresponda.</w:t>
      </w:r>
    </w:p>
    <w:p>
      <w:pPr>
        <w:numPr>
          <w:ilvl w:val="0"/>
          <w:numId w:val="10"/>
        </w:numPr>
      </w:pPr>
      <w:r>
        <w:rPr>
          <w:rFonts w:ascii="Calibri" w:hAnsi="Calibri"/>
        </w:rPr>
        <w:t xml:space="preserve">Un valor </w:t>
      </w:r>
      <w:r>
        <w:rPr>
          <w:rFonts w:ascii="Consolas" w:hAnsi="Consolas"/>
          <w:color w:val="1F4D78"/>
          <w:sz w:val="19"/>
          <w:shd w:fill="EEF2F6"/>
        </w:rPr>
        <w:t>null</w:t>
      </w:r>
      <w:r>
        <w:rPr>
          <w:rFonts w:ascii="Calibri" w:hAnsi="Calibri"/>
        </w:rPr>
        <w:t xml:space="preserve"> significa que la fuente no entregó el dato o que no pudo validarse. No debe interpretarse como una cadena vacía ni como </w:t>
      </w:r>
      <w:r>
        <w:rPr>
          <w:rFonts w:ascii="Consolas" w:hAnsi="Consolas"/>
          <w:color w:val="1F4D78"/>
          <w:sz w:val="19"/>
          <w:shd w:fill="EEF2F6"/>
        </w:rPr>
        <w:t>false</w:t>
      </w:r>
      <w:r>
        <w:rPr>
          <w:rFonts w:ascii="Calibri" w:hAnsi="Calibri"/>
        </w:rPr>
        <w:t>.</w:t>
      </w:r>
    </w:p>
    <w:p>
      <w:pPr>
        <w:numPr>
          <w:ilvl w:val="0"/>
          <w:numId w:val="10"/>
        </w:numPr>
      </w:pPr>
      <w:r>
        <w:rPr>
          <w:rFonts w:ascii="Consolas" w:hAnsi="Consolas"/>
          <w:color w:val="1F4D78"/>
          <w:sz w:val="19"/>
          <w:shd w:fill="EEF2F6"/>
        </w:rPr>
        <w:t>created_at</w:t>
      </w:r>
      <w:r>
        <w:rPr>
          <w:rFonts w:ascii="Calibri" w:hAnsi="Calibri"/>
        </w:rPr>
        <w:t xml:space="preserve"> indica cuándo nació la fila; </w:t>
      </w:r>
      <w:r>
        <w:rPr>
          <w:rFonts w:ascii="Consolas" w:hAnsi="Consolas"/>
          <w:color w:val="1F4D78"/>
          <w:sz w:val="19"/>
          <w:shd w:fill="EEF2F6"/>
        </w:rPr>
        <w:t>updated_at</w:t>
      </w:r>
      <w:r>
        <w:rPr>
          <w:rFonts w:ascii="Calibri" w:hAnsi="Calibri"/>
        </w:rPr>
        <w:t xml:space="preserve">, su última modificación; </w:t>
      </w:r>
      <w:r>
        <w:rPr>
          <w:rFonts w:ascii="Consolas" w:hAnsi="Consolas"/>
          <w:color w:val="1F4D78"/>
          <w:sz w:val="19"/>
          <w:shd w:fill="EEF2F6"/>
        </w:rPr>
        <w:t>last_seen_at</w:t>
      </w:r>
      <w:r>
        <w:rPr>
          <w:rFonts w:ascii="Calibri" w:hAnsi="Calibri"/>
        </w:rPr>
        <w:t>, la última extracción en que el registro volvió a encontrarse.</w:t>
      </w:r>
    </w:p>
    <w:p>
      <w:pPr>
        <w:numPr>
          <w:ilvl w:val="0"/>
          <w:numId w:val="10"/>
        </w:numPr>
      </w:pPr>
      <w:r>
        <w:rPr>
          <w:rFonts w:ascii="Calibri" w:hAnsi="Calibri"/>
        </w:rPr>
        <w:t xml:space="preserve">Las fechas textuales no interpretables, como “por confirmar”, descartan el evento antes de llamar a Supabase. Las fechas sin offset se localizan en </w:t>
      </w:r>
      <w:r>
        <w:rPr>
          <w:rFonts w:ascii="Consolas" w:hAnsi="Consolas"/>
          <w:color w:val="1F4D78"/>
          <w:sz w:val="19"/>
          <w:shd w:fill="EEF2F6"/>
        </w:rPr>
        <w:t>America/Santiago</w:t>
      </w:r>
      <w:r>
        <w:rPr>
          <w:rFonts w:ascii="Calibri" w:hAnsi="Calibri"/>
        </w:rPr>
        <w:t xml:space="preserve">. Si solo se conoce una fecha sin hora, PostgreSQL la recibe a medianoche; la versión actual todavía no posee un campo </w:t>
      </w:r>
      <w:r>
        <w:rPr>
          <w:rFonts w:ascii="Consolas" w:hAnsi="Consolas"/>
          <w:color w:val="1F4D78"/>
          <w:sz w:val="19"/>
          <w:shd w:fill="EEF2F6"/>
        </w:rPr>
        <w:t>is_all_day</w:t>
      </w:r>
      <w:r>
        <w:rPr>
          <w:rFonts w:ascii="Calibri" w:hAnsi="Calibri"/>
        </w:rPr>
        <w:t xml:space="preserve"> para distinguir esos casos.</w:t>
      </w:r>
    </w:p>
    <w:p>
      <w:pPr>
        <w:numPr>
          <w:ilvl w:val="0"/>
          <w:numId w:val="10"/>
        </w:numPr>
      </w:pPr>
      <w:r>
        <w:rPr>
          <w:rFonts w:ascii="Consolas" w:hAnsi="Consolas"/>
          <w:color w:val="1F4D78"/>
          <w:sz w:val="19"/>
          <w:shd w:fill="EEF2F6"/>
        </w:rPr>
        <w:t>location</w:t>
      </w:r>
      <w:r>
        <w:rPr>
          <w:rFonts w:ascii="Calibri" w:hAnsi="Calibri"/>
        </w:rPr>
        <w:t xml:space="preserve"> siempre contiene una etiqueta utilizable. </w:t>
      </w:r>
      <w:r>
        <w:rPr>
          <w:rFonts w:ascii="Consolas" w:hAnsi="Consolas"/>
          <w:color w:val="1F4D78"/>
          <w:sz w:val="19"/>
          <w:shd w:fill="EEF2F6"/>
        </w:rPr>
        <w:t>location_precision</w:t>
      </w:r>
      <w:r>
        <w:rPr>
          <w:rFonts w:ascii="Calibri" w:hAnsi="Calibri"/>
        </w:rPr>
        <w:t xml:space="preserve"> evita confundir una región de respaldo con una dirección exacta y </w:t>
      </w:r>
      <w:r>
        <w:rPr>
          <w:rFonts w:ascii="Consolas" w:hAnsi="Consolas"/>
          <w:color w:val="1F4D78"/>
          <w:sz w:val="19"/>
          <w:shd w:fill="EEF2F6"/>
        </w:rPr>
        <w:t>location_source</w:t>
      </w:r>
      <w:r>
        <w:rPr>
          <w:rFonts w:ascii="Calibri" w:hAnsi="Calibri"/>
        </w:rPr>
        <w:t xml:space="preserve"> registra cómo se obtuvo.</w:t>
      </w:r>
    </w:p>
    <w:p>
      <w:pPr>
        <w:numPr>
          <w:ilvl w:val="0"/>
          <w:numId w:val="10"/>
        </w:numPr>
      </w:pPr>
      <w:r>
        <w:rPr>
          <w:rFonts w:ascii="Calibri" w:hAnsi="Calibri"/>
        </w:rPr>
        <w:t>La clave secreta de Supabase se utiliza únicamente en el scraper o en CI. Nunca pertenece al navegador, al frontend, al repositorio ni a los logs.</w:t>
      </w:r>
    </w:p>
    <w:p>
      <w:pPr>
        <w:pStyle w:val="Heading1"/>
      </w:pPr>
      <w:r>
        <w:t>3. Diccionario de tablas y columnas</w:t>
      </w:r>
    </w:p>
    <w:p>
      <w:pPr>
        <w:pStyle w:val="Heading2"/>
      </w:pPr>
      <w:r>
        <w:t>sources</w:t>
      </w:r>
    </w:p>
    <w:p>
      <w:r>
        <w:rPr>
          <w:rFonts w:ascii="Calibri" w:hAnsi="Calibri"/>
        </w:rPr>
        <w:t>Catálogo de fuentes. Un registro representa el sitio o agenda de procedencia, no una página de detalle individual.</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1800"/>
        <w:gridCol w:w="1400"/>
        <w:gridCol w:w="1800"/>
        <w:gridCol w:w="4360"/>
      </w:tblGrid>
      <w:tr>
        <w:trPr>
          <w:cantSplit/>
          <w:tblHeader w:val="true"/>
        </w:trPr>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Columna</w:t>
            </w:r>
          </w:p>
        </w:tc>
        <w:tc>
          <w:tcPr>
            <w:tcW w:type="dxa" w:w="14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Tipo</w:t>
            </w:r>
          </w:p>
        </w:tc>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Requisito</w:t>
            </w:r>
          </w:p>
        </w:tc>
        <w:tc>
          <w:tcPr>
            <w:tcW w:type="dxa" w:w="43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Significado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PK, obligatorio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UUID determinista derivado del nombre normalizado de la fuente.</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name</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Obligatorio, único sin distinguir mayúsculas</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Nombre legible, por ejemplo </w:t>
            </w:r>
            <w:r>
              <w:rPr>
                <w:rFonts w:ascii="Consolas" w:hAnsi="Consolas"/>
                <w:color w:val="1F4D78"/>
                <w:sz w:val="17"/>
                <w:shd w:fill="EEF2F6"/>
              </w:rPr>
              <w:t>Chile Cultura</w:t>
            </w:r>
            <w:r>
              <w:rPr>
                <w:rFonts w:ascii="Calibri" w:hAnsi="Calibri"/>
                <w:sz w:val="18"/>
              </w:rPr>
              <w:t>.</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website_url</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Origen web principal, normalmente protocolo y dominio.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is_active</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boolean</w:t>
            </w:r>
          </w:p>
        </w:tc>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true</w:t>
            </w:r>
            <w:r>
              <w:rPr>
                <w:rFonts w:ascii="Calibri" w:hAnsi="Calibri"/>
                <w:sz w:val="18"/>
              </w:rPr>
              <w:t xml:space="preserve"> por defecto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Indica si la fuente se considera activa para lectura pública. No activa ni desactiva el conector local.</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last_seen_at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Última carga en que la fuente aportó al menos un evento.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created_at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Momento de creación de la fila.</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updated_at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Última actualización; mantenida por trigger.</w:t>
            </w:r>
          </w:p>
        </w:tc>
      </w:tr>
    </w:tbl>
    <w:p>
      <w:pPr>
        <w:spacing w:after="40"/>
      </w:pPr>
    </w:p>
    <w:p>
      <w:pPr>
        <w:pStyle w:val="Heading2"/>
      </w:pPr>
      <w:r>
        <w:t>organizers</w:t>
      </w:r>
    </w:p>
    <w:p>
      <w:r>
        <w:rPr>
          <w:rFonts w:ascii="Calibri" w:hAnsi="Calibri"/>
        </w:rPr>
        <w:t>Entidades que producen, convocan o gestionan eventos. Puede tratarse de una municipalidad, corporación cultural, universidad, museo, productora u otra organización.</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1800"/>
        <w:gridCol w:w="1400"/>
        <w:gridCol w:w="1800"/>
        <w:gridCol w:w="4360"/>
      </w:tblGrid>
      <w:tr>
        <w:trPr>
          <w:cantSplit/>
          <w:tblHeader w:val="true"/>
        </w:trPr>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Columna</w:t>
            </w:r>
          </w:p>
        </w:tc>
        <w:tc>
          <w:tcPr>
            <w:tcW w:type="dxa" w:w="14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Tipo</w:t>
            </w:r>
          </w:p>
        </w:tc>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Requisito</w:t>
            </w:r>
          </w:p>
        </w:tc>
        <w:tc>
          <w:tcPr>
            <w:tcW w:type="dxa" w:w="43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Significado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PK, obligatorio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UUID determinista derivado del nombre normalizado.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name</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Obligatorio, único sin distinguir mayúsculas</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Nombre publicado por la fuente.</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entity_type</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Clasificación futura, por ejemplo </w:t>
            </w:r>
            <w:r>
              <w:rPr>
                <w:rFonts w:ascii="Consolas" w:hAnsi="Consolas"/>
                <w:color w:val="1F4D78"/>
                <w:sz w:val="17"/>
                <w:shd w:fill="EEF2F6"/>
              </w:rPr>
              <w:t>municipality</w:t>
            </w:r>
            <w:r>
              <w:rPr>
                <w:rFonts w:ascii="Calibri" w:hAnsi="Calibri"/>
                <w:sz w:val="18"/>
              </w:rPr>
              <w:t xml:space="preserve">, </w:t>
            </w:r>
            <w:r>
              <w:rPr>
                <w:rFonts w:ascii="Consolas" w:hAnsi="Consolas"/>
                <w:color w:val="1F4D78"/>
                <w:sz w:val="17"/>
                <w:shd w:fill="EEF2F6"/>
              </w:rPr>
              <w:t>university</w:t>
            </w:r>
            <w:r>
              <w:rPr>
                <w:rFonts w:ascii="Calibri" w:hAnsi="Calibri"/>
                <w:sz w:val="18"/>
              </w:rPr>
              <w:t xml:space="preserve"> o </w:t>
            </w:r>
            <w:r>
              <w:rPr>
                <w:rFonts w:ascii="Consolas" w:hAnsi="Consolas"/>
                <w:color w:val="1F4D78"/>
                <w:sz w:val="17"/>
                <w:shd w:fill="EEF2F6"/>
              </w:rPr>
              <w:t>producer</w:t>
            </w:r>
            <w:r>
              <w:rPr>
                <w:rFonts w:ascii="Calibri" w:hAnsi="Calibri"/>
                <w:sz w:val="18"/>
              </w:rPr>
              <w:t xml:space="preserve">; el scraper actual envía </w:t>
            </w:r>
            <w:r>
              <w:rPr>
                <w:rFonts w:ascii="Consolas" w:hAnsi="Consolas"/>
                <w:color w:val="1F4D78"/>
                <w:sz w:val="17"/>
                <w:shd w:fill="EEF2F6"/>
              </w:rPr>
              <w:t>null</w:t>
            </w:r>
            <w:r>
              <w:rPr>
                <w:rFonts w:ascii="Calibri" w:hAnsi="Calibri"/>
                <w:sz w:val="18"/>
              </w:rPr>
              <w:t>.</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last_seen_at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Última ejecución en que apareció la organización.</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is_blocked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boolean</w:t>
            </w:r>
          </w:p>
        </w:tc>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false</w:t>
            </w:r>
            <w:r>
              <w:rPr>
                <w:rFonts w:ascii="Calibri" w:hAnsi="Calibri"/>
                <w:sz w:val="18"/>
              </w:rPr>
              <w:t xml:space="preserve"> por defecto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Si es </w:t>
            </w:r>
            <w:r>
              <w:rPr>
                <w:rFonts w:ascii="Consolas" w:hAnsi="Consolas"/>
                <w:color w:val="1F4D78"/>
                <w:sz w:val="17"/>
                <w:shd w:fill="EEF2F6"/>
              </w:rPr>
              <w:t>true</w:t>
            </w:r>
            <w:r>
              <w:rPr>
                <w:rFonts w:ascii="Calibri" w:hAnsi="Calibri"/>
                <w:sz w:val="18"/>
              </w:rPr>
              <w:t>, el organizador y todos sus eventos dejan de ser visibles y de procesarse con IA.</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blocked_reason</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Motivo administrativo de la exclusión.</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blocked_at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Momento en que se aplicó el bloqueo.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created_at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Momento de creación.</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updated_at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Última modificación.</w:t>
            </w:r>
          </w:p>
        </w:tc>
      </w:tr>
    </w:tbl>
    <w:p>
      <w:pPr>
        <w:spacing w:after="40"/>
      </w:pPr>
    </w:p>
    <w:p>
      <w:pPr>
        <w:pStyle w:val="Heading2"/>
      </w:pPr>
      <w:r>
        <w:t>communes</w:t>
      </w:r>
    </w:p>
    <w:p>
      <w:r>
        <w:rPr>
          <w:rFonts w:ascii="Calibri" w:hAnsi="Calibri"/>
        </w:rPr>
        <w:t>Catálogo territorial. Su identidad combina país, región y comuna para evitar ambigüedades.</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1800"/>
        <w:gridCol w:w="1400"/>
        <w:gridCol w:w="1800"/>
        <w:gridCol w:w="4360"/>
      </w:tblGrid>
      <w:tr>
        <w:trPr>
          <w:cantSplit/>
          <w:tblHeader w:val="true"/>
        </w:trPr>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Columna</w:t>
            </w:r>
          </w:p>
        </w:tc>
        <w:tc>
          <w:tcPr>
            <w:tcW w:type="dxa" w:w="14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Tipo</w:t>
            </w:r>
          </w:p>
        </w:tc>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Requisito</w:t>
            </w:r>
          </w:p>
        </w:tc>
        <w:tc>
          <w:tcPr>
            <w:tcW w:type="dxa" w:w="43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Significado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PK, obligatorio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UUID determinista de </w:t>
            </w:r>
            <w:r>
              <w:rPr>
                <w:rFonts w:ascii="Consolas" w:hAnsi="Consolas"/>
                <w:color w:val="1F4D78"/>
                <w:sz w:val="17"/>
                <w:shd w:fill="EEF2F6"/>
              </w:rPr>
              <w:t>país + región + comuna</w:t>
            </w:r>
            <w:r>
              <w:rPr>
                <w:rFonts w:ascii="Calibri" w:hAnsi="Calibri"/>
                <w:sz w:val="18"/>
              </w:rPr>
              <w:t>.</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name</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Obligatorio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Nombre de la comuna, por ejemplo </w:t>
            </w:r>
            <w:r>
              <w:rPr>
                <w:rFonts w:ascii="Consolas" w:hAnsi="Consolas"/>
                <w:color w:val="1F4D78"/>
                <w:sz w:val="17"/>
                <w:shd w:fill="EEF2F6"/>
              </w:rPr>
              <w:t>Santiago</w:t>
            </w:r>
            <w:r>
              <w:rPr>
                <w:rFonts w:ascii="Calibri" w:hAnsi="Calibri"/>
                <w:sz w:val="18"/>
              </w:rPr>
              <w:t>.</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region</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Región administrativa informada o inferida por el conector.</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country</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 xml:space="preserve">Obligatorio, </w:t>
            </w:r>
            <w:r>
              <w:rPr>
                <w:rFonts w:ascii="Consolas" w:hAnsi="Consolas"/>
                <w:color w:val="1F4D78"/>
                <w:sz w:val="17"/>
                <w:shd w:fill="EEF2F6"/>
              </w:rPr>
              <w:t>Chile</w:t>
            </w:r>
            <w:r>
              <w:rPr>
                <w:rFonts w:ascii="Calibri" w:hAnsi="Calibri"/>
                <w:sz w:val="18"/>
              </w:rPr>
              <w:t xml:space="preserve"> por defecto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País de la comuna.</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created_at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Momento de creación.</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updated_at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Última modificación.</w:t>
            </w:r>
          </w:p>
        </w:tc>
      </w:tr>
    </w:tbl>
    <w:p>
      <w:pPr>
        <w:spacing w:after="40"/>
      </w:pPr>
    </w:p>
    <w:p>
      <w:pPr>
        <w:pStyle w:val="Heading2"/>
      </w:pPr>
      <w:r>
        <w:t>categories</w:t>
      </w:r>
    </w:p>
    <w:p>
      <w:r>
        <w:rPr>
          <w:rFonts w:ascii="Calibri" w:hAnsi="Calibri"/>
        </w:rPr>
        <w:t>Catálogo dinámico de etiquetas. La tabla no limita las categorías a una lista cerrada porque cada fuente puede incorporar nuevas taxonomías. El significado de las etiquetas observadas se detalla en la sección 5.</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1800"/>
        <w:gridCol w:w="1400"/>
        <w:gridCol w:w="1800"/>
        <w:gridCol w:w="4360"/>
      </w:tblGrid>
      <w:tr>
        <w:trPr>
          <w:cantSplit/>
          <w:tblHeader w:val="true"/>
        </w:trPr>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Columna</w:t>
            </w:r>
          </w:p>
        </w:tc>
        <w:tc>
          <w:tcPr>
            <w:tcW w:type="dxa" w:w="14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Tipo</w:t>
            </w:r>
          </w:p>
        </w:tc>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Requisito</w:t>
            </w:r>
          </w:p>
        </w:tc>
        <w:tc>
          <w:tcPr>
            <w:tcW w:type="dxa" w:w="43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Significado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PK, obligatorio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UUID determinista del nombre normalizado; evita duplicados por mayúsculas o acentos.</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name</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Obligatorio, único sin distinguir mayúsculas</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Etiqueta conservada para visualización.</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created_at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Primera aparición de la categoría.</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updated_at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Última modificación de su nombre.</w:t>
            </w:r>
          </w:p>
        </w:tc>
      </w:tr>
    </w:tbl>
    <w:p>
      <w:pPr>
        <w:spacing w:after="40"/>
      </w:pPr>
    </w:p>
    <w:p>
      <w:pPr>
        <w:pStyle w:val="Heading2"/>
      </w:pPr>
      <w:r>
        <w:t>events</w:t>
      </w:r>
    </w:p>
    <w:p>
      <w:r>
        <w:rPr>
          <w:rFonts w:ascii="Calibri" w:hAnsi="Calibri"/>
        </w:rPr>
        <w:t>Tabla central. Una fila es la representación consolidada de un evento luego de extraer, filtrar por región y deduplicar todas las fuentes.</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1800"/>
        <w:gridCol w:w="1400"/>
        <w:gridCol w:w="1800"/>
        <w:gridCol w:w="4360"/>
      </w:tblGrid>
      <w:tr>
        <w:trPr>
          <w:cantSplit/>
          <w:tblHeader w:val="true"/>
        </w:trPr>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Columna</w:t>
            </w:r>
          </w:p>
        </w:tc>
        <w:tc>
          <w:tcPr>
            <w:tcW w:type="dxa" w:w="14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Tipo</w:t>
            </w:r>
          </w:p>
        </w:tc>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Requisito</w:t>
            </w:r>
          </w:p>
        </w:tc>
        <w:tc>
          <w:tcPr>
            <w:tcW w:type="dxa" w:w="43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Significado y origen</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PK, obligatorio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UUID v5 derivado de </w:t>
            </w:r>
            <w:r>
              <w:rPr>
                <w:rFonts w:ascii="Consolas" w:hAnsi="Consolas"/>
                <w:color w:val="1F4D78"/>
                <w:sz w:val="17"/>
                <w:shd w:fill="EEF2F6"/>
              </w:rPr>
              <w:t>external_key</w:t>
            </w:r>
            <w:r>
              <w:rPr>
                <w:rFonts w:ascii="Calibri" w:hAnsi="Calibri"/>
                <w:sz w:val="18"/>
              </w:rPr>
              <w:t>; estable entre ejecuciones.</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external_key</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Obligatorio, único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Identificador canónico de deduplicación. Usa título, fecha y lugar; si falta ubicación incorpora fuente y URL para evitar colisiones.</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source_id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 xml:space="preserve">FK obligatoria → </w:t>
            </w:r>
            <w:r>
              <w:rPr>
                <w:rFonts w:ascii="Consolas" w:hAnsi="Consolas"/>
                <w:color w:val="1F4D78"/>
                <w:sz w:val="17"/>
                <w:shd w:fill="EEF2F6"/>
              </w:rPr>
              <w:t>sources.id</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Fuente que aportó el registro conservado.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organizer_id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 xml:space="preserve">FK opcional → </w:t>
            </w:r>
            <w:r>
              <w:rPr>
                <w:rFonts w:ascii="Consolas" w:hAnsi="Consolas"/>
                <w:color w:val="1F4D78"/>
                <w:sz w:val="17"/>
                <w:shd w:fill="EEF2F6"/>
              </w:rPr>
              <w:t>organizers.id</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Organizador normalizado; queda </w:t>
            </w:r>
            <w:r>
              <w:rPr>
                <w:rFonts w:ascii="Consolas" w:hAnsi="Consolas"/>
                <w:color w:val="1F4D78"/>
                <w:sz w:val="17"/>
                <w:shd w:fill="EEF2F6"/>
              </w:rPr>
              <w:t>null</w:t>
            </w:r>
            <w:r>
              <w:rPr>
                <w:rFonts w:ascii="Calibri" w:hAnsi="Calibri"/>
                <w:sz w:val="18"/>
              </w:rPr>
              <w:t xml:space="preserve"> si no se publicó.</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commune_id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 xml:space="preserve">FK opcional → </w:t>
            </w:r>
            <w:r>
              <w:rPr>
                <w:rFonts w:ascii="Consolas" w:hAnsi="Consolas"/>
                <w:color w:val="1F4D78"/>
                <w:sz w:val="17"/>
                <w:shd w:fill="EEF2F6"/>
              </w:rPr>
              <w:t>communes.id</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Comuna normalizada; queda </w:t>
            </w:r>
            <w:r>
              <w:rPr>
                <w:rFonts w:ascii="Consolas" w:hAnsi="Consolas"/>
                <w:color w:val="1F4D78"/>
                <w:sz w:val="17"/>
                <w:shd w:fill="EEF2F6"/>
              </w:rPr>
              <w:t>null</w:t>
            </w:r>
            <w:r>
              <w:rPr>
                <w:rFonts w:ascii="Calibri" w:hAnsi="Calibri"/>
                <w:sz w:val="18"/>
              </w:rPr>
              <w:t xml:space="preserve"> si no pudo determinarse.</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title</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Obligatorio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Nombre público del evento. Los registros sin título se descartan antes de cargar.</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start_at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Columna nullable; obligatorio para la ingesta</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Inicio del evento con offset. El scraper descarta eventos sin una fecha válida.</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end_at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Término del evento; puede coincidir con el inicio o ser desconocido.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venue</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Nombre del recinto, sala, parque, viña o espacio virtual.</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address</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Dirección textual publicada por la fuente.</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city</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Ciudad o localidad; no sustituye la comuna administrativa.</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region</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Copia denormalizada de la región para filtros rápidos.</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country</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 xml:space="preserve">Obligatorio, </w:t>
            </w:r>
            <w:r>
              <w:rPr>
                <w:rFonts w:ascii="Consolas" w:hAnsi="Consolas"/>
                <w:color w:val="1F4D78"/>
                <w:sz w:val="17"/>
                <w:shd w:fill="EEF2F6"/>
              </w:rPr>
              <w:t>Chile</w:t>
            </w:r>
            <w:r>
              <w:rPr>
                <w:rFonts w:ascii="Calibri" w:hAnsi="Calibri"/>
                <w:sz w:val="18"/>
              </w:rPr>
              <w:t xml:space="preserve"> por defecto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País del evento.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postal_code</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Código postal publicado o configurado para la fuente.</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latitude</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double precision</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Latitud validada entre -90 y 90.</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longitude</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double precision</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Longitud validada entre -180 y 180.</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location</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Obligatorio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Etiqueta canónica para mostrar y buscar, construida desde recinto, dirección y territorio. Nunca queda vacía.</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location_precision</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Obligatorio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Nivel disponible: </w:t>
            </w:r>
            <w:r>
              <w:rPr>
                <w:rFonts w:ascii="Consolas" w:hAnsi="Consolas"/>
                <w:color w:val="1F4D78"/>
                <w:sz w:val="17"/>
                <w:shd w:fill="EEF2F6"/>
              </w:rPr>
              <w:t>exact</w:t>
            </w:r>
            <w:r>
              <w:rPr>
                <w:rFonts w:ascii="Calibri" w:hAnsi="Calibri"/>
                <w:sz w:val="18"/>
              </w:rPr>
              <w:t xml:space="preserve">, </w:t>
            </w:r>
            <w:r>
              <w:rPr>
                <w:rFonts w:ascii="Consolas" w:hAnsi="Consolas"/>
                <w:color w:val="1F4D78"/>
                <w:sz w:val="17"/>
                <w:shd w:fill="EEF2F6"/>
              </w:rPr>
              <w:t>coordinates</w:t>
            </w:r>
            <w:r>
              <w:rPr>
                <w:rFonts w:ascii="Calibri" w:hAnsi="Calibri"/>
                <w:sz w:val="18"/>
              </w:rPr>
              <w:t xml:space="preserve">, </w:t>
            </w:r>
            <w:r>
              <w:rPr>
                <w:rFonts w:ascii="Consolas" w:hAnsi="Consolas"/>
                <w:color w:val="1F4D78"/>
                <w:sz w:val="17"/>
                <w:shd w:fill="EEF2F6"/>
              </w:rPr>
              <w:t>venue</w:t>
            </w:r>
            <w:r>
              <w:rPr>
                <w:rFonts w:ascii="Calibri" w:hAnsi="Calibri"/>
                <w:sz w:val="18"/>
              </w:rPr>
              <w:t xml:space="preserve">, </w:t>
            </w:r>
            <w:r>
              <w:rPr>
                <w:rFonts w:ascii="Consolas" w:hAnsi="Consolas"/>
                <w:color w:val="1F4D78"/>
                <w:sz w:val="17"/>
                <w:shd w:fill="EEF2F6"/>
              </w:rPr>
              <w:t>commune</w:t>
            </w:r>
            <w:r>
              <w:rPr>
                <w:rFonts w:ascii="Calibri" w:hAnsi="Calibri"/>
                <w:sz w:val="18"/>
              </w:rPr>
              <w:t xml:space="preserve">, </w:t>
            </w:r>
            <w:r>
              <w:rPr>
                <w:rFonts w:ascii="Consolas" w:hAnsi="Consolas"/>
                <w:color w:val="1F4D78"/>
                <w:sz w:val="17"/>
                <w:shd w:fill="EEF2F6"/>
              </w:rPr>
              <w:t>city</w:t>
            </w:r>
            <w:r>
              <w:rPr>
                <w:rFonts w:ascii="Calibri" w:hAnsi="Calibri"/>
                <w:sz w:val="18"/>
              </w:rPr>
              <w:t xml:space="preserve">, </w:t>
            </w:r>
            <w:r>
              <w:rPr>
                <w:rFonts w:ascii="Consolas" w:hAnsi="Consolas"/>
                <w:color w:val="1F4D78"/>
                <w:sz w:val="17"/>
                <w:shd w:fill="EEF2F6"/>
              </w:rPr>
              <w:t>region</w:t>
            </w:r>
            <w:r>
              <w:rPr>
                <w:rFonts w:ascii="Calibri" w:hAnsi="Calibri"/>
                <w:sz w:val="18"/>
              </w:rPr>
              <w:t xml:space="preserve">, </w:t>
            </w:r>
            <w:r>
              <w:rPr>
                <w:rFonts w:ascii="Consolas" w:hAnsi="Consolas"/>
                <w:color w:val="1F4D78"/>
                <w:sz w:val="17"/>
                <w:shd w:fill="EEF2F6"/>
              </w:rPr>
              <w:t>online</w:t>
            </w:r>
            <w:r>
              <w:rPr>
                <w:rFonts w:ascii="Calibri" w:hAnsi="Calibri"/>
                <w:sz w:val="18"/>
              </w:rPr>
              <w:t xml:space="preserve"> o </w:t>
            </w:r>
            <w:r>
              <w:rPr>
                <w:rFonts w:ascii="Consolas" w:hAnsi="Consolas"/>
                <w:color w:val="1F4D78"/>
                <w:sz w:val="17"/>
                <w:shd w:fill="EEF2F6"/>
              </w:rPr>
              <w:t>country</w:t>
            </w:r>
            <w:r>
              <w:rPr>
                <w:rFonts w:ascii="Calibri" w:hAnsi="Calibri"/>
                <w:sz w:val="18"/>
              </w:rPr>
              <w:t>.</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location_source</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Obligatorio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Procedencia: </w:t>
            </w:r>
            <w:r>
              <w:rPr>
                <w:rFonts w:ascii="Consolas" w:hAnsi="Consolas"/>
                <w:color w:val="1F4D78"/>
                <w:sz w:val="17"/>
                <w:shd w:fill="EEF2F6"/>
              </w:rPr>
              <w:t>source-data</w:t>
            </w:r>
            <w:r>
              <w:rPr>
                <w:rFonts w:ascii="Calibri" w:hAnsi="Calibri"/>
                <w:sz w:val="18"/>
              </w:rPr>
              <w:t xml:space="preserve">, </w:t>
            </w:r>
            <w:r>
              <w:rPr>
                <w:rFonts w:ascii="Consolas" w:hAnsi="Consolas"/>
                <w:color w:val="1F4D78"/>
                <w:sz w:val="17"/>
                <w:shd w:fill="EEF2F6"/>
              </w:rPr>
              <w:t>source-default</w:t>
            </w:r>
            <w:r>
              <w:rPr>
                <w:rFonts w:ascii="Calibri" w:hAnsi="Calibri"/>
                <w:sz w:val="18"/>
              </w:rPr>
              <w:t xml:space="preserve">, </w:t>
            </w:r>
            <w:r>
              <w:rPr>
                <w:rFonts w:ascii="Consolas" w:hAnsi="Consolas"/>
                <w:color w:val="1F4D78"/>
                <w:sz w:val="17"/>
                <w:shd w:fill="EEF2F6"/>
              </w:rPr>
              <w:t>deterministic-inference</w:t>
            </w:r>
            <w:r>
              <w:rPr>
                <w:rFonts w:ascii="Calibri" w:hAnsi="Calibri"/>
                <w:sz w:val="18"/>
              </w:rPr>
              <w:t xml:space="preserve">, </w:t>
            </w:r>
            <w:r>
              <w:rPr>
                <w:rFonts w:ascii="Consolas" w:hAnsi="Consolas"/>
                <w:color w:val="1F4D78"/>
                <w:sz w:val="17"/>
                <w:shd w:fill="EEF2F6"/>
              </w:rPr>
              <w:t>nvidia-nim</w:t>
            </w:r>
            <w:r>
              <w:rPr>
                <w:rFonts w:ascii="Calibri" w:hAnsi="Calibri"/>
                <w:sz w:val="18"/>
              </w:rPr>
              <w:t xml:space="preserve"> o </w:t>
            </w:r>
            <w:r>
              <w:rPr>
                <w:rFonts w:ascii="Consolas" w:hAnsi="Consolas"/>
                <w:color w:val="1F4D78"/>
                <w:sz w:val="17"/>
                <w:shd w:fill="EEF2F6"/>
              </w:rPr>
              <w:t>geographic-fallback</w:t>
            </w:r>
            <w:r>
              <w:rPr>
                <w:rFonts w:ascii="Calibri" w:hAnsi="Calibri"/>
                <w:sz w:val="18"/>
              </w:rPr>
              <w:t>.</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status</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 xml:space="preserve">Obligatorio, </w:t>
            </w:r>
            <w:r>
              <w:rPr>
                <w:rFonts w:ascii="Consolas" w:hAnsi="Consolas"/>
                <w:color w:val="1F4D78"/>
                <w:sz w:val="17"/>
                <w:shd w:fill="EEF2F6"/>
              </w:rPr>
              <w:t>published</w:t>
            </w:r>
            <w:r>
              <w:rPr>
                <w:rFonts w:ascii="Calibri" w:hAnsi="Calibri"/>
                <w:sz w:val="18"/>
              </w:rPr>
              <w:t xml:space="preserve"> por defecto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Estado editorial: </w:t>
            </w:r>
            <w:r>
              <w:rPr>
                <w:rFonts w:ascii="Consolas" w:hAnsi="Consolas"/>
                <w:color w:val="1F4D78"/>
                <w:sz w:val="17"/>
                <w:shd w:fill="EEF2F6"/>
              </w:rPr>
              <w:t>published</w:t>
            </w:r>
            <w:r>
              <w:rPr>
                <w:rFonts w:ascii="Calibri" w:hAnsi="Calibri"/>
                <w:sz w:val="18"/>
              </w:rPr>
              <w:t xml:space="preserve">, </w:t>
            </w:r>
            <w:r>
              <w:rPr>
                <w:rFonts w:ascii="Consolas" w:hAnsi="Consolas"/>
                <w:color w:val="1F4D78"/>
                <w:sz w:val="17"/>
                <w:shd w:fill="EEF2F6"/>
              </w:rPr>
              <w:t>cancelled</w:t>
            </w:r>
            <w:r>
              <w:rPr>
                <w:rFonts w:ascii="Calibri" w:hAnsi="Calibri"/>
                <w:sz w:val="18"/>
              </w:rPr>
              <w:t xml:space="preserve">, </w:t>
            </w:r>
            <w:r>
              <w:rPr>
                <w:rFonts w:ascii="Consolas" w:hAnsi="Consolas"/>
                <w:color w:val="1F4D78"/>
                <w:sz w:val="17"/>
                <w:shd w:fill="EEF2F6"/>
              </w:rPr>
              <w:t>draft</w:t>
            </w:r>
            <w:r>
              <w:rPr>
                <w:rFonts w:ascii="Calibri" w:hAnsi="Calibri"/>
                <w:sz w:val="18"/>
              </w:rPr>
              <w:t xml:space="preserve"> o </w:t>
            </w:r>
            <w:r>
              <w:rPr>
                <w:rFonts w:ascii="Consolas" w:hAnsi="Consolas"/>
                <w:color w:val="1F4D78"/>
                <w:sz w:val="17"/>
                <w:shd w:fill="EEF2F6"/>
              </w:rPr>
              <w:t>archived</w:t>
            </w:r>
            <w:r>
              <w:rPr>
                <w:rFonts w:ascii="Calibri" w:hAnsi="Calibri"/>
                <w:sz w:val="18"/>
              </w:rPr>
              <w:t xml:space="preserve">. El scraper actual carga como </w:t>
            </w:r>
            <w:r>
              <w:rPr>
                <w:rFonts w:ascii="Consolas" w:hAnsi="Consolas"/>
                <w:color w:val="1F4D78"/>
                <w:sz w:val="17"/>
                <w:shd w:fill="EEF2F6"/>
              </w:rPr>
              <w:t>published</w:t>
            </w:r>
            <w:r>
              <w:rPr>
                <w:rFonts w:ascii="Calibri" w:hAnsi="Calibri"/>
                <w:sz w:val="18"/>
              </w:rPr>
              <w:t>.</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is_suppressed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boolean</w:t>
            </w:r>
          </w:p>
        </w:tc>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false</w:t>
            </w:r>
            <w:r>
              <w:rPr>
                <w:rFonts w:ascii="Calibri" w:hAnsi="Calibri"/>
                <w:sz w:val="18"/>
              </w:rPr>
              <w:t xml:space="preserve"> por defecto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Exclusión administrativa persistente; el scraper no la sobrescribe.</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suppression_reason</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Motivo de la exclusión individual.</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suppressed_at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Momento en que se ocultó el evento.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audience</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Público objetivo textual, por ejemplo familiar o mayores de edad.</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is_free</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boolean</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true</w:t>
            </w:r>
            <w:r>
              <w:rPr>
                <w:rFonts w:ascii="Calibri" w:hAnsi="Calibri"/>
                <w:sz w:val="18"/>
              </w:rPr>
              <w:t xml:space="preserve">: gratuito; </w:t>
            </w:r>
            <w:r>
              <w:rPr>
                <w:rFonts w:ascii="Consolas" w:hAnsi="Consolas"/>
                <w:color w:val="1F4D78"/>
                <w:sz w:val="17"/>
                <w:shd w:fill="EEF2F6"/>
              </w:rPr>
              <w:t>false</w:t>
            </w:r>
            <w:r>
              <w:rPr>
                <w:rFonts w:ascii="Calibri" w:hAnsi="Calibri"/>
                <w:sz w:val="18"/>
              </w:rPr>
              <w:t xml:space="preserve">: pagado; </w:t>
            </w:r>
            <w:r>
              <w:rPr>
                <w:rFonts w:ascii="Consolas" w:hAnsi="Consolas"/>
                <w:color w:val="1F4D78"/>
                <w:sz w:val="17"/>
                <w:shd w:fill="EEF2F6"/>
              </w:rPr>
              <w:t>null</w:t>
            </w:r>
            <w:r>
              <w:rPr>
                <w:rFonts w:ascii="Calibri" w:hAnsi="Calibri"/>
                <w:sz w:val="18"/>
              </w:rPr>
              <w:t>: la fuente no permite determinarlo.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description</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Versión editorial factual destinada a publicación. No sustituye la evidencia privada.</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price_text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Precio tal como fue informado, incluidos rangos o condiciones. No es un valor numérico contable.</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currency</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 xml:space="preserve">Obligatorio, </w:t>
            </w:r>
            <w:r>
              <w:rPr>
                <w:rFonts w:ascii="Consolas" w:hAnsi="Consolas"/>
                <w:color w:val="1F4D78"/>
                <w:sz w:val="17"/>
                <w:shd w:fill="EEF2F6"/>
              </w:rPr>
              <w:t>CLP</w:t>
            </w:r>
            <w:r>
              <w:rPr>
                <w:rFonts w:ascii="Calibri" w:hAnsi="Calibri"/>
                <w:sz w:val="18"/>
              </w:rPr>
              <w:t xml:space="preserve"> por defecto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Moneda asociada a </w:t>
            </w:r>
            <w:r>
              <w:rPr>
                <w:rFonts w:ascii="Consolas" w:hAnsi="Consolas"/>
                <w:color w:val="1F4D78"/>
                <w:sz w:val="17"/>
                <w:shd w:fill="EEF2F6"/>
              </w:rPr>
              <w:t>price_text</w:t>
            </w:r>
            <w:r>
              <w:rPr>
                <w:rFonts w:ascii="Calibri" w:hAnsi="Calibri"/>
                <w:sz w:val="18"/>
              </w:rPr>
              <w:t>; se recomienda código ISO 4217.</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image_url</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Imagen principal para consultas sencillas. También se refleja en </w:t>
            </w:r>
            <w:r>
              <w:rPr>
                <w:rFonts w:ascii="Consolas" w:hAnsi="Consolas"/>
                <w:color w:val="1F4D78"/>
                <w:sz w:val="17"/>
                <w:shd w:fill="EEF2F6"/>
              </w:rPr>
              <w:t>media_assets</w:t>
            </w:r>
            <w:r>
              <w:rPr>
                <w:rFonts w:ascii="Calibri" w:hAnsi="Calibri"/>
                <w:sz w:val="18"/>
              </w:rPr>
              <w:t>.</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source_url</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Página exacta o endpoint desde el que se extrajo la información.</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official_url</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Página oficial o canónica del evento, si es distinta de la fuente intermediaria.</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extraction_method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Método usado, por ejemplo API, JSON-LD, tarjetas HTML, Playwright o NVIDIA NIM.</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scraped_at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Obligatorio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Momento en que el conector obtuvo el registro.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last_seen_at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Obligatorio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Última sincronización que volvió a encontrar el evento. Permite detectar registros posiblemente vencidos.</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created_at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Primera inserción en Supabase.</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updated_at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Último </w:t>
            </w:r>
            <w:r>
              <w:rPr>
                <w:rFonts w:ascii="Consolas" w:hAnsi="Consolas"/>
                <w:color w:val="1F4D78"/>
                <w:sz w:val="17"/>
                <w:shd w:fill="EEF2F6"/>
              </w:rPr>
              <w:t>upsert</w:t>
            </w:r>
            <w:r>
              <w:rPr>
                <w:rFonts w:ascii="Calibri" w:hAnsi="Calibri"/>
                <w:sz w:val="18"/>
              </w:rPr>
              <w:t xml:space="preserve"> o modificación.</w:t>
            </w:r>
          </w:p>
        </w:tc>
      </w:tr>
    </w:tbl>
    <w:p>
      <w:pPr>
        <w:spacing w:after="40"/>
      </w:pPr>
    </w:p>
    <w:p>
      <w:r>
        <w:rPr>
          <w:rFonts w:ascii="Calibri" w:hAnsi="Calibri"/>
        </w:rPr>
        <w:t xml:space="preserve">La eliminación de una fuente está restringida mientras tenga eventos. Si se elimina un organizador o una comuna, su referencia en el evento se convierte en </w:t>
      </w:r>
      <w:r>
        <w:rPr>
          <w:rFonts w:ascii="Consolas" w:hAnsi="Consolas"/>
          <w:color w:val="1F4D78"/>
          <w:sz w:val="19"/>
          <w:shd w:fill="EEF2F6"/>
        </w:rPr>
        <w:t>null</w:t>
      </w:r>
      <w:r>
        <w:rPr>
          <w:rFonts w:ascii="Calibri" w:hAnsi="Calibri"/>
        </w:rPr>
        <w:t xml:space="preserve"> y el evento permanece.</w:t>
      </w:r>
    </w:p>
    <w:p>
      <w:pPr>
        <w:pStyle w:val="Heading2"/>
      </w:pPr>
      <w:r>
        <w:t>event_provenance</w:t>
      </w:r>
    </w:p>
    <w:p>
      <w:r>
        <w:rPr>
          <w:rFonts w:ascii="Calibri" w:hAnsi="Calibri"/>
        </w:rPr>
        <w:t xml:space="preserve">Tabla privada para auditoría y reutilización de resultados. No tiene permisos para </w:t>
      </w:r>
      <w:r>
        <w:rPr>
          <w:rFonts w:ascii="Consolas" w:hAnsi="Consolas"/>
          <w:color w:val="1F4D78"/>
          <w:sz w:val="19"/>
          <w:shd w:fill="EEF2F6"/>
        </w:rPr>
        <w:t>anon</w:t>
      </w:r>
      <w:r>
        <w:rPr>
          <w:rFonts w:ascii="Calibri" w:hAnsi="Calibri"/>
        </w:rPr>
        <w:t xml:space="preserve"> ni </w:t>
      </w:r>
      <w:r>
        <w:rPr>
          <w:rFonts w:ascii="Consolas" w:hAnsi="Consolas"/>
          <w:color w:val="1F4D78"/>
          <w:sz w:val="19"/>
          <w:shd w:fill="EEF2F6"/>
        </w:rPr>
        <w:t>authenticated</w:t>
      </w:r>
      <w:r>
        <w:rPr>
          <w:rFonts w:ascii="Calibri" w:hAnsi="Calibri"/>
        </w:rPr>
        <w:t>.</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1800"/>
        <w:gridCol w:w="1400"/>
        <w:gridCol w:w="1800"/>
        <w:gridCol w:w="4360"/>
      </w:tblGrid>
      <w:tr>
        <w:trPr>
          <w:cantSplit/>
          <w:tblHeader w:val="true"/>
        </w:trPr>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Columna</w:t>
            </w:r>
          </w:p>
        </w:tc>
        <w:tc>
          <w:tcPr>
            <w:tcW w:type="dxa" w:w="14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Tipo</w:t>
            </w:r>
          </w:p>
        </w:tc>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Requisito</w:t>
            </w:r>
          </w:p>
        </w:tc>
        <w:tc>
          <w:tcPr>
            <w:tcW w:type="dxa" w:w="43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Significado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event_id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 xml:space="preserve">PK y FK → </w:t>
            </w:r>
            <w:r>
              <w:rPr>
                <w:rFonts w:ascii="Consolas" w:hAnsi="Consolas"/>
                <w:color w:val="1F4D78"/>
                <w:sz w:val="17"/>
                <w:shd w:fill="EEF2F6"/>
              </w:rPr>
              <w:t>events.id</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Evento al que pertenece la evidencia.</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original_url</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URL normalizada utilizada en la deduplicación previa.</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source_description</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Descripción saneada tal como fue obtenida de la fuente.</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ocr_text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Texto visible transcrito desde el afiche.</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is_rewritten</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boolean</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Obligatorio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Indica si </w:t>
            </w:r>
            <w:r>
              <w:rPr>
                <w:rFonts w:ascii="Consolas" w:hAnsi="Consolas"/>
                <w:color w:val="1F4D78"/>
                <w:sz w:val="17"/>
                <w:shd w:fill="EEF2F6"/>
              </w:rPr>
              <w:t>events.description</w:t>
            </w:r>
            <w:r>
              <w:rPr>
                <w:rFonts w:ascii="Calibri" w:hAnsi="Calibri"/>
                <w:sz w:val="18"/>
              </w:rPr>
              <w:t xml:space="preserve"> difiere del texto original.</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updated_at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Última actualización de la evidencia.</w:t>
            </w:r>
          </w:p>
        </w:tc>
      </w:tr>
    </w:tbl>
    <w:p>
      <w:pPr>
        <w:spacing w:after="40"/>
      </w:pPr>
    </w:p>
    <w:p>
      <w:pPr>
        <w:pStyle w:val="Heading2"/>
      </w:pPr>
      <w:r>
        <w:t>event_categories</w:t>
      </w:r>
    </w:p>
    <w:p>
      <w:r>
        <w:rPr>
          <w:rFonts w:ascii="Calibri" w:hAnsi="Calibri"/>
        </w:rPr>
        <w:t>Tabla puente. Un evento puede tener cero, una o muchas categorías, y una categoría puede pertenecer a muchos eventos.</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1800"/>
        <w:gridCol w:w="1400"/>
        <w:gridCol w:w="1800"/>
        <w:gridCol w:w="4360"/>
      </w:tblGrid>
      <w:tr>
        <w:trPr>
          <w:cantSplit/>
          <w:tblHeader w:val="true"/>
        </w:trPr>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Columna</w:t>
            </w:r>
          </w:p>
        </w:tc>
        <w:tc>
          <w:tcPr>
            <w:tcW w:type="dxa" w:w="14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Tipo</w:t>
            </w:r>
          </w:p>
        </w:tc>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Requisito</w:t>
            </w:r>
          </w:p>
        </w:tc>
        <w:tc>
          <w:tcPr>
            <w:tcW w:type="dxa" w:w="43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Significado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event_id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 xml:space="preserve">PK compuesta, FK → </w:t>
            </w:r>
            <w:r>
              <w:rPr>
                <w:rFonts w:ascii="Consolas" w:hAnsi="Consolas"/>
                <w:color w:val="1F4D78"/>
                <w:sz w:val="17"/>
                <w:shd w:fill="EEF2F6"/>
              </w:rPr>
              <w:t>events.id</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Evento clasificado. Se elimina en cascada con el evento.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category_id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 xml:space="preserve">PK compuesta, FK → </w:t>
            </w:r>
            <w:r>
              <w:rPr>
                <w:rFonts w:ascii="Consolas" w:hAnsi="Consolas"/>
                <w:color w:val="1F4D78"/>
                <w:sz w:val="17"/>
                <w:shd w:fill="EEF2F6"/>
              </w:rPr>
              <w:t>categories.id</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Categoría asignada. Se elimina en cascada con la categoría.</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created_at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Momento de creación de la asociación.</w:t>
            </w:r>
          </w:p>
        </w:tc>
      </w:tr>
    </w:tbl>
    <w:p>
      <w:pPr>
        <w:spacing w:after="40"/>
      </w:pPr>
    </w:p>
    <w:p>
      <w:r>
        <w:rPr>
          <w:rFonts w:ascii="Calibri" w:hAnsi="Calibri"/>
        </w:rPr>
        <w:t>Antes de reinsertar las categorías de un lote, el exportador elimina sus asociaciones anteriores. Esto permite retirar una categoría que ya no aparezca en la fuente sin duplicar relaciones.</w:t>
      </w:r>
    </w:p>
    <w:p>
      <w:pPr>
        <w:pStyle w:val="Heading2"/>
      </w:pPr>
      <w:r>
        <w:t>media_assets</w:t>
      </w:r>
    </w:p>
    <w:p>
      <w:r>
        <w:rPr>
          <w:rFonts w:ascii="Calibri" w:hAnsi="Calibri"/>
        </w:rPr>
        <w:t>Recursos visuales o descargables asociados al evento. En el MVP solo se cargan imágenes.</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1800"/>
        <w:gridCol w:w="1400"/>
        <w:gridCol w:w="1800"/>
        <w:gridCol w:w="4360"/>
      </w:tblGrid>
      <w:tr>
        <w:trPr>
          <w:cantSplit/>
          <w:tblHeader w:val="true"/>
        </w:trPr>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Columna</w:t>
            </w:r>
          </w:p>
        </w:tc>
        <w:tc>
          <w:tcPr>
            <w:tcW w:type="dxa" w:w="14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Tipo</w:t>
            </w:r>
          </w:p>
        </w:tc>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Requisito</w:t>
            </w:r>
          </w:p>
        </w:tc>
        <w:tc>
          <w:tcPr>
            <w:tcW w:type="dxa" w:w="43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Significado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PK, obligatorio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UUID determinista de </w:t>
            </w:r>
            <w:r>
              <w:rPr>
                <w:rFonts w:ascii="Consolas" w:hAnsi="Consolas"/>
                <w:color w:val="1F4D78"/>
                <w:sz w:val="17"/>
                <w:shd w:fill="EEF2F6"/>
              </w:rPr>
              <w:t>evento + URL</w:t>
            </w:r>
            <w:r>
              <w:rPr>
                <w:rFonts w:ascii="Calibri" w:hAnsi="Calibri"/>
                <w:sz w:val="18"/>
              </w:rPr>
              <w:t>.</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event_id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 xml:space="preserve">FK obligatoria → </w:t>
            </w:r>
            <w:r>
              <w:rPr>
                <w:rFonts w:ascii="Consolas" w:hAnsi="Consolas"/>
                <w:color w:val="1F4D78"/>
                <w:sz w:val="17"/>
                <w:shd w:fill="EEF2F6"/>
              </w:rPr>
              <w:t>events.id</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Evento propietario; eliminación en cascada.</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url</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Obligatorio, única por evento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Dirección pública del recurso.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media_type</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 xml:space="preserve">Obligatorio, </w:t>
            </w:r>
            <w:r>
              <w:rPr>
                <w:rFonts w:ascii="Consolas" w:hAnsi="Consolas"/>
                <w:color w:val="1F4D78"/>
                <w:sz w:val="17"/>
                <w:shd w:fill="EEF2F6"/>
              </w:rPr>
              <w:t>image</w:t>
            </w:r>
            <w:r>
              <w:rPr>
                <w:rFonts w:ascii="Calibri" w:hAnsi="Calibri"/>
                <w:sz w:val="18"/>
              </w:rPr>
              <w:t xml:space="preserve"> por defecto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Uno de </w:t>
            </w:r>
            <w:r>
              <w:rPr>
                <w:rFonts w:ascii="Consolas" w:hAnsi="Consolas"/>
                <w:color w:val="1F4D78"/>
                <w:sz w:val="17"/>
                <w:shd w:fill="EEF2F6"/>
              </w:rPr>
              <w:t>image</w:t>
            </w:r>
            <w:r>
              <w:rPr>
                <w:rFonts w:ascii="Calibri" w:hAnsi="Calibri"/>
                <w:sz w:val="18"/>
              </w:rPr>
              <w:t xml:space="preserve">, </w:t>
            </w:r>
            <w:r>
              <w:rPr>
                <w:rFonts w:ascii="Consolas" w:hAnsi="Consolas"/>
                <w:color w:val="1F4D78"/>
                <w:sz w:val="17"/>
                <w:shd w:fill="EEF2F6"/>
              </w:rPr>
              <w:t>video</w:t>
            </w:r>
            <w:r>
              <w:rPr>
                <w:rFonts w:ascii="Calibri" w:hAnsi="Calibri"/>
                <w:sz w:val="18"/>
              </w:rPr>
              <w:t xml:space="preserve">, </w:t>
            </w:r>
            <w:r>
              <w:rPr>
                <w:rFonts w:ascii="Consolas" w:hAnsi="Consolas"/>
                <w:color w:val="1F4D78"/>
                <w:sz w:val="17"/>
                <w:shd w:fill="EEF2F6"/>
              </w:rPr>
              <w:t>audio</w:t>
            </w:r>
            <w:r>
              <w:rPr>
                <w:rFonts w:ascii="Calibri" w:hAnsi="Calibri"/>
                <w:sz w:val="18"/>
              </w:rPr>
              <w:t xml:space="preserve"> o </w:t>
            </w:r>
            <w:r>
              <w:rPr>
                <w:rFonts w:ascii="Consolas" w:hAnsi="Consolas"/>
                <w:color w:val="1F4D78"/>
                <w:sz w:val="17"/>
                <w:shd w:fill="EEF2F6"/>
              </w:rPr>
              <w:t>document</w:t>
            </w:r>
            <w:r>
              <w:rPr>
                <w:rFonts w:ascii="Calibri" w:hAnsi="Calibri"/>
                <w:sz w:val="18"/>
              </w:rPr>
              <w:t>.</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is_primary</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boolean</w:t>
            </w:r>
          </w:p>
        </w:tc>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false</w:t>
            </w:r>
            <w:r>
              <w:rPr>
                <w:rFonts w:ascii="Calibri" w:hAnsi="Calibri"/>
                <w:sz w:val="18"/>
              </w:rPr>
              <w:t xml:space="preserve"> por defecto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Señala el recurso principal. La imagen importada actualmente se marca </w:t>
            </w:r>
            <w:r>
              <w:rPr>
                <w:rFonts w:ascii="Consolas" w:hAnsi="Consolas"/>
                <w:color w:val="1F4D78"/>
                <w:sz w:val="17"/>
                <w:shd w:fill="EEF2F6"/>
              </w:rPr>
              <w:t>true</w:t>
            </w:r>
            <w:r>
              <w:rPr>
                <w:rFonts w:ascii="Calibri" w:hAnsi="Calibri"/>
                <w:sz w:val="18"/>
              </w:rPr>
              <w:t>.</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created_at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Momento de creación.</w:t>
            </w:r>
          </w:p>
        </w:tc>
      </w:tr>
    </w:tbl>
    <w:p>
      <w:pPr>
        <w:spacing w:after="40"/>
      </w:pPr>
    </w:p>
    <w:p>
      <w:pPr>
        <w:pStyle w:val="Heading2"/>
      </w:pPr>
      <w:r>
        <w:t>scrape_runs</w:t>
      </w:r>
    </w:p>
    <w:p>
      <w:r>
        <w:rPr>
          <w:rFonts w:ascii="Calibri" w:hAnsi="Calibri"/>
        </w:rPr>
        <w:t>Bitácora de observabilidad. Permite saber si una ejecución alcanzó Supabase, terminó correctamente o falló durante la carga.</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1800"/>
        <w:gridCol w:w="1400"/>
        <w:gridCol w:w="1800"/>
        <w:gridCol w:w="4360"/>
      </w:tblGrid>
      <w:tr>
        <w:trPr>
          <w:cantSplit/>
          <w:tblHeader w:val="true"/>
        </w:trPr>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Columna</w:t>
            </w:r>
          </w:p>
        </w:tc>
        <w:tc>
          <w:tcPr>
            <w:tcW w:type="dxa" w:w="14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Tipo</w:t>
            </w:r>
          </w:p>
        </w:tc>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Requisito</w:t>
            </w:r>
          </w:p>
        </w:tc>
        <w:tc>
          <w:tcPr>
            <w:tcW w:type="dxa" w:w="43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Significado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PK, automático o enviado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Identificador único de la ejecución.</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started_at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Obligatorio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Inicio de la sincronización con Supabase, posterior a la extracción completa.</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finished_at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Término exitoso o fallido; es </w:t>
            </w:r>
            <w:r>
              <w:rPr>
                <w:rFonts w:ascii="Consolas" w:hAnsi="Consolas"/>
                <w:color w:val="1F4D78"/>
                <w:sz w:val="17"/>
                <w:shd w:fill="EEF2F6"/>
              </w:rPr>
              <w:t>null</w:t>
            </w:r>
            <w:r>
              <w:rPr>
                <w:rFonts w:ascii="Calibri" w:hAnsi="Calibri"/>
                <w:sz w:val="18"/>
              </w:rPr>
              <w:t xml:space="preserve"> mientras figura </w:t>
            </w:r>
            <w:r>
              <w:rPr>
                <w:rFonts w:ascii="Consolas" w:hAnsi="Consolas"/>
                <w:color w:val="1F4D78"/>
                <w:sz w:val="17"/>
                <w:shd w:fill="EEF2F6"/>
              </w:rPr>
              <w:t>running</w:t>
            </w:r>
            <w:r>
              <w:rPr>
                <w:rFonts w:ascii="Calibri" w:hAnsi="Calibri"/>
                <w:sz w:val="18"/>
              </w:rPr>
              <w:t>.</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status</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Obligatorio</w:t>
            </w:r>
          </w:p>
        </w:tc>
        <w:tc>
          <w:tcPr>
            <w:tcW w:type="dxa" w:w="436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running</w:t>
            </w:r>
            <w:r>
              <w:rPr>
                <w:rFonts w:ascii="Calibri" w:hAnsi="Calibri"/>
                <w:sz w:val="18"/>
              </w:rPr>
              <w:t xml:space="preserve">, </w:t>
            </w:r>
            <w:r>
              <w:rPr>
                <w:rFonts w:ascii="Consolas" w:hAnsi="Consolas"/>
                <w:color w:val="1F4D78"/>
                <w:sz w:val="17"/>
                <w:shd w:fill="EEF2F6"/>
              </w:rPr>
              <w:t>succeeded</w:t>
            </w:r>
            <w:r>
              <w:rPr>
                <w:rFonts w:ascii="Calibri" w:hAnsi="Calibri"/>
                <w:sz w:val="18"/>
              </w:rPr>
              <w:t xml:space="preserve"> o </w:t>
            </w:r>
            <w:r>
              <w:rPr>
                <w:rFonts w:ascii="Consolas" w:hAnsi="Consolas"/>
                <w:color w:val="1F4D78"/>
                <w:sz w:val="17"/>
                <w:shd w:fill="EEF2F6"/>
              </w:rPr>
              <w:t>failed</w:t>
            </w:r>
            <w:r>
              <w:rPr>
                <w:rFonts w:ascii="Calibri" w:hAnsi="Calibri"/>
                <w:sz w:val="18"/>
              </w:rPr>
              <w:t>.</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events_count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integer</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No negativo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Cantidad de eventos consolidados que se intentó cargar.</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error_message</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Resumen técnico del error, limitado por el cliente a 2.000 caracteres.</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metadata</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jsonb</w:t>
            </w:r>
          </w:p>
        </w:tc>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w:t>
            </w:r>
            <w:r>
              <w:rPr>
                <w:rFonts w:ascii="Calibri" w:hAnsi="Calibri"/>
                <w:sz w:val="18"/>
              </w:rPr>
              <w:t xml:space="preserve"> por defecto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Entorno de ejecución: </w:t>
            </w:r>
            <w:r>
              <w:rPr>
                <w:rFonts w:ascii="Consolas" w:hAnsi="Consolas"/>
                <w:color w:val="1F4D78"/>
                <w:sz w:val="17"/>
                <w:shd w:fill="EEF2F6"/>
              </w:rPr>
              <w:t>runner</w:t>
            </w:r>
            <w:r>
              <w:rPr>
                <w:rFonts w:ascii="Calibri" w:hAnsi="Calibri"/>
                <w:sz w:val="18"/>
              </w:rPr>
              <w:t xml:space="preserve">, repositorio, ID de GitHub Actions, commit y evento disparador. En publicaciones exitosas incluye </w:t>
            </w:r>
            <w:r>
              <w:rPr>
                <w:rFonts w:ascii="Consolas" w:hAnsi="Consolas"/>
                <w:color w:val="1F4D78"/>
                <w:sz w:val="17"/>
                <w:shd w:fill="EEF2F6"/>
              </w:rPr>
              <w:t>removed_stale</w:t>
            </w:r>
            <w:r>
              <w:rPr>
                <w:rFonts w:ascii="Calibri" w:hAnsi="Calibri"/>
                <w:sz w:val="18"/>
              </w:rPr>
              <w:t xml:space="preserve"> y </w:t>
            </w:r>
            <w:r>
              <w:rPr>
                <w:rFonts w:ascii="Consolas" w:hAnsi="Consolas"/>
                <w:color w:val="1F4D78"/>
                <w:sz w:val="17"/>
                <w:shd w:fill="EEF2F6"/>
              </w:rPr>
              <w:t>removed_expired</w:t>
            </w:r>
            <w:r>
              <w:rPr>
                <w:rFonts w:ascii="Calibri" w:hAnsi="Calibri"/>
                <w:sz w:val="18"/>
              </w:rPr>
              <w:t>.</w:t>
            </w:r>
          </w:p>
        </w:tc>
      </w:tr>
    </w:tbl>
    <w:p>
      <w:pPr>
        <w:spacing w:after="40"/>
      </w:pPr>
    </w:p>
    <w:p>
      <w:r>
        <w:rPr>
          <w:rFonts w:ascii="Calibri" w:hAnsi="Calibri"/>
        </w:rPr>
        <w:t xml:space="preserve">Los fragmentos se cargan primero en </w:t>
      </w:r>
      <w:r>
        <w:rPr>
          <w:rFonts w:ascii="Consolas" w:hAnsi="Consolas"/>
          <w:color w:val="1F4D78"/>
          <w:sz w:val="19"/>
          <w:shd w:fill="EEF2F6"/>
        </w:rPr>
        <w:t>catalog_staging</w:t>
      </w:r>
      <w:r>
        <w:rPr>
          <w:rFonts w:ascii="Calibri" w:hAnsi="Calibri"/>
        </w:rPr>
        <w:t xml:space="preserve">, que no es visible al público. La función </w:t>
      </w:r>
      <w:r>
        <w:rPr>
          <w:rFonts w:ascii="Consolas" w:hAnsi="Consolas"/>
          <w:color w:val="1F4D78"/>
          <w:sz w:val="19"/>
          <w:shd w:fill="EEF2F6"/>
        </w:rPr>
        <w:t>publish_staged_catalog</w:t>
      </w:r>
      <w:r>
        <w:rPr>
          <w:rFonts w:ascii="Calibri" w:hAnsi="Calibri"/>
        </w:rPr>
        <w:t xml:space="preserve"> aplica el catálogo, relaciones y limpieza dentro de una única transacción; si falla, las tablas públicas conservan el estado anterior. </w:t>
      </w:r>
      <w:r>
        <w:rPr>
          <w:rFonts w:ascii="Consolas" w:hAnsi="Consolas"/>
          <w:color w:val="1F4D78"/>
          <w:sz w:val="19"/>
          <w:shd w:fill="EEF2F6"/>
        </w:rPr>
        <w:t>removed_stale</w:t>
      </w:r>
      <w:r>
        <w:rPr>
          <w:rFonts w:ascii="Calibri" w:hAnsi="Calibri"/>
        </w:rPr>
        <w:t xml:space="preserve"> cuenta los registros retirados por ausencia en fuentes conciliadas; </w:t>
      </w:r>
      <w:r>
        <w:rPr>
          <w:rFonts w:ascii="Consolas" w:hAnsi="Consolas"/>
          <w:color w:val="1F4D78"/>
          <w:sz w:val="19"/>
          <w:shd w:fill="EEF2F6"/>
        </w:rPr>
        <w:t>removed_expired</w:t>
      </w:r>
      <w:r>
        <w:rPr>
          <w:rFonts w:ascii="Calibri" w:hAnsi="Calibri"/>
        </w:rPr>
        <w:t>, los borrados después por vencimiento. No representan el total restante de la base. Las ejecuciones históricas pueden no tener estas claves. La bitácora de éxito se actualiza después de la RPC: si falla esa escritura, no revierte una publicación ya confirmada.</w:t>
      </w:r>
    </w:p>
    <w:p>
      <w:pPr>
        <w:pStyle w:val="Heading2"/>
      </w:pPr>
      <w:r>
        <w:t>catalog_staging</w:t>
      </w:r>
    </w:p>
    <w:p>
      <w:r>
        <w:rPr>
          <w:rFonts w:ascii="Calibri" w:hAnsi="Calibri"/>
        </w:rPr>
        <w:t>Área privada y temporal de publicación. No forma parte del catálogo consultado por el frontend.</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1800"/>
        <w:gridCol w:w="1400"/>
        <w:gridCol w:w="1800"/>
        <w:gridCol w:w="4360"/>
      </w:tblGrid>
      <w:tr>
        <w:trPr>
          <w:cantSplit/>
          <w:tblHeader w:val="true"/>
        </w:trPr>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Columna</w:t>
            </w:r>
          </w:p>
        </w:tc>
        <w:tc>
          <w:tcPr>
            <w:tcW w:type="dxa" w:w="14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Tipo</w:t>
            </w:r>
          </w:p>
        </w:tc>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Requisito</w:t>
            </w:r>
          </w:p>
        </w:tc>
        <w:tc>
          <w:tcPr>
            <w:tcW w:type="dxa" w:w="43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Significado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run_id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PK compuesta</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Ejecución propietaria del fragmento.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entity</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PK compuesta</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Entidad contenida: fuentes, eventos, procedencia o relaciones.</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chunk_index</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integer</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PK compuesta, no negativo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Orden del fragmento dentro de la entidad.</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payload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jsonb</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Obligatorio, arreglo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Filas serializadas que la RPC convertirá a tipos PostgreSQL.</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created_at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Permite retirar staging abandonado después de siete días.</w:t>
            </w:r>
          </w:p>
        </w:tc>
      </w:tr>
    </w:tbl>
    <w:p>
      <w:pPr>
        <w:spacing w:after="40"/>
      </w:pPr>
    </w:p>
    <w:p>
      <w:r>
        <w:rPr>
          <w:rFonts w:ascii="Calibri" w:hAnsi="Calibri"/>
        </w:rPr>
        <w:t xml:space="preserve">RLS está habilitado y solo </w:t>
      </w:r>
      <w:r>
        <w:rPr>
          <w:rFonts w:ascii="Consolas" w:hAnsi="Consolas"/>
          <w:color w:val="1F4D78"/>
          <w:sz w:val="19"/>
          <w:shd w:fill="EEF2F6"/>
        </w:rPr>
        <w:t>service_role</w:t>
      </w:r>
      <w:r>
        <w:rPr>
          <w:rFonts w:ascii="Calibri" w:hAnsi="Calibri"/>
        </w:rPr>
        <w:t xml:space="preserve"> puede leer o escribir esta tabla. El lote se elimina al publicarse correctamente; si la RPC falla, permanece fuera del catálogo público para diagnóstico.</w:t>
      </w:r>
    </w:p>
    <w:p>
      <w:pPr>
        <w:pStyle w:val="Heading2"/>
      </w:pPr>
      <w:r>
        <w:t>profiles</w:t>
      </w:r>
    </w:p>
    <w:p>
      <w:r>
        <w:rPr>
          <w:rFonts w:ascii="Calibri" w:hAnsi="Calibri"/>
        </w:rPr>
        <w:t xml:space="preserve">Extensión mínima de </w:t>
      </w:r>
      <w:r>
        <w:rPr>
          <w:rFonts w:ascii="Consolas" w:hAnsi="Consolas"/>
          <w:color w:val="1F4D78"/>
          <w:sz w:val="19"/>
          <w:shd w:fill="EEF2F6"/>
        </w:rPr>
        <w:t>auth.users</w:t>
      </w:r>
      <w:r>
        <w:rPr>
          <w:rFonts w:ascii="Calibri" w:hAnsi="Calibri"/>
        </w:rPr>
        <w:t>. Se crea automáticamente después del registro en Supabase Auth.</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1800"/>
        <w:gridCol w:w="1400"/>
        <w:gridCol w:w="1800"/>
        <w:gridCol w:w="4360"/>
      </w:tblGrid>
      <w:tr>
        <w:trPr>
          <w:cantSplit/>
          <w:tblHeader w:val="true"/>
        </w:trPr>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Columna</w:t>
            </w:r>
          </w:p>
        </w:tc>
        <w:tc>
          <w:tcPr>
            <w:tcW w:type="dxa" w:w="14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Tipo</w:t>
            </w:r>
          </w:p>
        </w:tc>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Requisito</w:t>
            </w:r>
          </w:p>
        </w:tc>
        <w:tc>
          <w:tcPr>
            <w:tcW w:type="dxa" w:w="43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Significado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 xml:space="preserve">PK y FK → </w:t>
            </w:r>
            <w:r>
              <w:rPr>
                <w:rFonts w:ascii="Consolas" w:hAnsi="Consolas"/>
                <w:color w:val="1F4D78"/>
                <w:sz w:val="17"/>
                <w:shd w:fill="EEF2F6"/>
              </w:rPr>
              <w:t>auth.users.id</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Identidad del usuario autenticado.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display_name</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Opcional</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Nombre visible; el usuario puede modificar solo esta columna.</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role</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visitor</w:t>
            </w:r>
            <w:r>
              <w:rPr>
                <w:rFonts w:ascii="Calibri" w:hAnsi="Calibri"/>
                <w:sz w:val="18"/>
              </w:rPr>
              <w:t xml:space="preserve"> por defecto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Rol interno: </w:t>
            </w:r>
            <w:r>
              <w:rPr>
                <w:rFonts w:ascii="Consolas" w:hAnsi="Consolas"/>
                <w:color w:val="1F4D78"/>
                <w:sz w:val="17"/>
                <w:shd w:fill="EEF2F6"/>
              </w:rPr>
              <w:t>visitor</w:t>
            </w:r>
            <w:r>
              <w:rPr>
                <w:rFonts w:ascii="Calibri" w:hAnsi="Calibri"/>
                <w:sz w:val="18"/>
              </w:rPr>
              <w:t xml:space="preserve">, </w:t>
            </w:r>
            <w:r>
              <w:rPr>
                <w:rFonts w:ascii="Consolas" w:hAnsi="Consolas"/>
                <w:color w:val="1F4D78"/>
                <w:sz w:val="17"/>
                <w:shd w:fill="EEF2F6"/>
              </w:rPr>
              <w:t>editor</w:t>
            </w:r>
            <w:r>
              <w:rPr>
                <w:rFonts w:ascii="Calibri" w:hAnsi="Calibri"/>
                <w:sz w:val="18"/>
              </w:rPr>
              <w:t xml:space="preserve"> o </w:t>
            </w:r>
            <w:r>
              <w:rPr>
                <w:rFonts w:ascii="Consolas" w:hAnsi="Consolas"/>
                <w:color w:val="1F4D78"/>
                <w:sz w:val="17"/>
                <w:shd w:fill="EEF2F6"/>
              </w:rPr>
              <w:t>admin</w:t>
            </w:r>
            <w:r>
              <w:rPr>
                <w:rFonts w:ascii="Calibri" w:hAnsi="Calibri"/>
                <w:sz w:val="18"/>
              </w:rPr>
              <w:t>. No es editable directamente por el usuario.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created_at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Creación del perfil.</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updated_at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Última modificación.</w:t>
            </w:r>
          </w:p>
        </w:tc>
      </w:tr>
    </w:tbl>
    <w:p>
      <w:pPr>
        <w:spacing w:after="40"/>
      </w:pPr>
    </w:p>
    <w:p>
      <w:pPr>
        <w:pStyle w:val="Heading2"/>
      </w:pPr>
      <w:r>
        <w:t>user_event_interactions</w:t>
      </w:r>
    </w:p>
    <w:p>
      <w:r>
        <w:rPr>
          <w:rFonts w:ascii="Calibri" w:hAnsi="Calibri"/>
        </w:rPr>
        <w:t>Historial de señales que usa el motor de recomendaciones. No almacena un puntaje enviado por el cliente: el backend asigna el peso de cada tipo de interacción y puede reducir su efecto con el paso del tiempo.</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1800"/>
        <w:gridCol w:w="1400"/>
        <w:gridCol w:w="1800"/>
        <w:gridCol w:w="4360"/>
      </w:tblGrid>
      <w:tr>
        <w:trPr>
          <w:cantSplit/>
          <w:tblHeader w:val="true"/>
        </w:trPr>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Columna</w:t>
            </w:r>
          </w:p>
        </w:tc>
        <w:tc>
          <w:tcPr>
            <w:tcW w:type="dxa" w:w="14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Tipo</w:t>
            </w:r>
          </w:p>
        </w:tc>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Requisito</w:t>
            </w:r>
          </w:p>
        </w:tc>
        <w:tc>
          <w:tcPr>
            <w:tcW w:type="dxa" w:w="43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Significado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PK, 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Identificador de la interacción.</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user_id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 xml:space="preserve">FK obligatoria → </w:t>
            </w:r>
            <w:r>
              <w:rPr>
                <w:rFonts w:ascii="Consolas" w:hAnsi="Consolas"/>
                <w:color w:val="1F4D78"/>
                <w:sz w:val="17"/>
                <w:shd w:fill="EEF2F6"/>
              </w:rPr>
              <w:t>auth.users.id</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Persona que generó la señal.</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event_id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 xml:space="preserve">FK obligatoria → </w:t>
            </w:r>
            <w:r>
              <w:rPr>
                <w:rFonts w:ascii="Consolas" w:hAnsi="Consolas"/>
                <w:color w:val="1F4D78"/>
                <w:sz w:val="17"/>
                <w:shd w:fill="EEF2F6"/>
              </w:rPr>
              <w:t>events.id</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Evento asociado a la señal.</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interaction_type</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Obligatorio, controlado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Acción: ver detalle, abrir fuente u oficial, mostrar interés, descartar, compartir o reportar.</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occurred_at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Momento de la interacción.</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metadata</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jsonb</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Objeto vacío por defecto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Contexto no sensible opcional, por ejemplo superficie de origen.</w:t>
            </w:r>
          </w:p>
        </w:tc>
      </w:tr>
    </w:tbl>
    <w:p>
      <w:pPr>
        <w:spacing w:after="40"/>
      </w:pPr>
    </w:p>
    <w:p>
      <w:pPr>
        <w:pStyle w:val="Heading2"/>
      </w:pPr>
      <w:r>
        <w:t>reports</w:t>
      </w:r>
    </w:p>
    <w:p>
      <w:r>
        <w:rPr>
          <w:rFonts w:ascii="Calibri" w:hAnsi="Calibri"/>
        </w:rPr>
        <w:t>Reportes de usuarios sobre un evento, por ejemplo fecha incorrecta, evento cancelado o enlace roto.</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1800"/>
        <w:gridCol w:w="1400"/>
        <w:gridCol w:w="1800"/>
        <w:gridCol w:w="4360"/>
      </w:tblGrid>
      <w:tr>
        <w:trPr>
          <w:cantSplit/>
          <w:tblHeader w:val="true"/>
        </w:trPr>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Columna</w:t>
            </w:r>
          </w:p>
        </w:tc>
        <w:tc>
          <w:tcPr>
            <w:tcW w:type="dxa" w:w="14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Tipo</w:t>
            </w:r>
          </w:p>
        </w:tc>
        <w:tc>
          <w:tcPr>
            <w:tcW w:type="dxa" w:w="18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Requisito</w:t>
            </w:r>
          </w:p>
        </w:tc>
        <w:tc>
          <w:tcPr>
            <w:tcW w:type="dxa" w:w="43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Significado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PK, 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Identificador del reporte.</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user_id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 xml:space="preserve">FK obligatoria → </w:t>
            </w:r>
            <w:r>
              <w:rPr>
                <w:rFonts w:ascii="Consolas" w:hAnsi="Consolas"/>
                <w:color w:val="1F4D78"/>
                <w:sz w:val="17"/>
                <w:shd w:fill="EEF2F6"/>
              </w:rPr>
              <w:t>auth.users.id</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Persona que lo creó.</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event_id</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uuid</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 xml:space="preserve">FK obligatoria → </w:t>
            </w:r>
            <w:r>
              <w:rPr>
                <w:rFonts w:ascii="Consolas" w:hAnsi="Consolas"/>
                <w:color w:val="1F4D78"/>
                <w:sz w:val="17"/>
                <w:shd w:fill="EEF2F6"/>
              </w:rPr>
              <w:t>events.id</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Evento reportado.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reason</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Obligatorio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Motivo escrito por el usuario.</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status</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text</w:t>
            </w:r>
          </w:p>
        </w:tc>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pending</w:t>
            </w:r>
            <w:r>
              <w:rPr>
                <w:rFonts w:ascii="Calibri" w:hAnsi="Calibri"/>
                <w:sz w:val="18"/>
              </w:rPr>
              <w:t xml:space="preserve"> por defecto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 xml:space="preserve">Flujo de revisión: </w:t>
            </w:r>
            <w:r>
              <w:rPr>
                <w:rFonts w:ascii="Consolas" w:hAnsi="Consolas"/>
                <w:color w:val="1F4D78"/>
                <w:sz w:val="17"/>
                <w:shd w:fill="EEF2F6"/>
              </w:rPr>
              <w:t>pending</w:t>
            </w:r>
            <w:r>
              <w:rPr>
                <w:rFonts w:ascii="Calibri" w:hAnsi="Calibri"/>
                <w:sz w:val="18"/>
              </w:rPr>
              <w:t xml:space="preserve">, </w:t>
            </w:r>
            <w:r>
              <w:rPr>
                <w:rFonts w:ascii="Consolas" w:hAnsi="Consolas"/>
                <w:color w:val="1F4D78"/>
                <w:sz w:val="17"/>
                <w:shd w:fill="EEF2F6"/>
              </w:rPr>
              <w:t>reviewed</w:t>
            </w:r>
            <w:r>
              <w:rPr>
                <w:rFonts w:ascii="Calibri" w:hAnsi="Calibri"/>
                <w:sz w:val="18"/>
              </w:rPr>
              <w:t xml:space="preserve"> o </w:t>
            </w:r>
            <w:r>
              <w:rPr>
                <w:rFonts w:ascii="Consolas" w:hAnsi="Consolas"/>
                <w:color w:val="1F4D78"/>
                <w:sz w:val="17"/>
                <w:shd w:fill="EEF2F6"/>
              </w:rPr>
              <w:t>resolved</w:t>
            </w:r>
            <w:r>
              <w:rPr>
                <w:rFonts w:ascii="Calibri" w:hAnsi="Calibri"/>
                <w:sz w:val="18"/>
              </w:rPr>
              <w:t>.</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created_at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Fecha de creación.</w:t>
            </w:r>
          </w:p>
        </w:tc>
      </w:tr>
      <w:tr>
        <w:trPr>
          <w:cantSplit/>
        </w:trPr>
        <w:tc>
          <w:tcPr>
            <w:tcW w:type="dxa" w:w="18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updated_at</w:t>
            </w:r>
          </w:p>
        </w:tc>
        <w:tc>
          <w:tcPr>
            <w:tcW w:type="dxa" w:w="14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timestamptz</w:t>
            </w:r>
          </w:p>
        </w:tc>
        <w:tc>
          <w:tcPr>
            <w:tcW w:type="dxa" w:w="1800"/>
            <w:tcMar>
              <w:top w:w="80" w:type="dxa"/>
              <w:start w:w="120" w:type="dxa"/>
              <w:bottom w:w="80" w:type="dxa"/>
              <w:end w:w="120" w:type="dxa"/>
            </w:tcMar>
            <w:vAlign w:val="center"/>
          </w:tcPr>
          <w:p>
            <w:pPr>
              <w:spacing w:before="0" w:after="0" w:line="259" w:lineRule="auto"/>
            </w:pPr>
            <w:r>
              <w:rPr>
                <w:rFonts w:ascii="Calibri" w:hAnsi="Calibri"/>
                <w:sz w:val="18"/>
              </w:rPr>
              <w:t>Automático</w:t>
            </w:r>
          </w:p>
        </w:tc>
        <w:tc>
          <w:tcPr>
            <w:tcW w:type="dxa" w:w="4360"/>
            <w:tcMar>
              <w:top w:w="80" w:type="dxa"/>
              <w:start w:w="120" w:type="dxa"/>
              <w:bottom w:w="80" w:type="dxa"/>
              <w:end w:w="120" w:type="dxa"/>
            </w:tcMar>
            <w:vAlign w:val="center"/>
          </w:tcPr>
          <w:p>
            <w:pPr>
              <w:spacing w:before="0" w:after="0" w:line="259" w:lineRule="auto"/>
            </w:pPr>
            <w:r>
              <w:rPr>
                <w:rFonts w:ascii="Calibri" w:hAnsi="Calibri"/>
                <w:sz w:val="18"/>
              </w:rPr>
              <w:t>Última modificación administrativa.</w:t>
            </w:r>
          </w:p>
        </w:tc>
      </w:tr>
    </w:tbl>
    <w:p>
      <w:pPr>
        <w:spacing w:after="40"/>
      </w:pPr>
    </w:p>
    <w:p>
      <w:pPr>
        <w:pStyle w:val="Heading1"/>
      </w:pPr>
      <w:r>
        <w:t>4. Índices y reglas de integridad</w:t>
      </w:r>
    </w:p>
    <w:p>
      <w:pPr>
        <w:numPr>
          <w:ilvl w:val="0"/>
          <w:numId w:val="10"/>
        </w:numPr>
      </w:pPr>
      <w:r>
        <w:rPr>
          <w:rFonts w:ascii="Consolas" w:hAnsi="Consolas"/>
          <w:color w:val="1F4D78"/>
          <w:sz w:val="19"/>
          <w:shd w:fill="EEF2F6"/>
        </w:rPr>
        <w:t>sources</w:t>
      </w:r>
      <w:r>
        <w:rPr>
          <w:rFonts w:ascii="Calibri" w:hAnsi="Calibri"/>
        </w:rPr>
        <w:t xml:space="preserve">, </w:t>
      </w:r>
      <w:r>
        <w:rPr>
          <w:rFonts w:ascii="Consolas" w:hAnsi="Consolas"/>
          <w:color w:val="1F4D78"/>
          <w:sz w:val="19"/>
          <w:shd w:fill="EEF2F6"/>
        </w:rPr>
        <w:t>organizers</w:t>
      </w:r>
      <w:r>
        <w:rPr>
          <w:rFonts w:ascii="Calibri" w:hAnsi="Calibri"/>
        </w:rPr>
        <w:t xml:space="preserve"> y </w:t>
      </w:r>
      <w:r>
        <w:rPr>
          <w:rFonts w:ascii="Consolas" w:hAnsi="Consolas"/>
          <w:color w:val="1F4D78"/>
          <w:sz w:val="19"/>
          <w:shd w:fill="EEF2F6"/>
        </w:rPr>
        <w:t>categories</w:t>
      </w:r>
      <w:r>
        <w:rPr>
          <w:rFonts w:ascii="Calibri" w:hAnsi="Calibri"/>
        </w:rPr>
        <w:t xml:space="preserve"> poseen unicidad por nombre sin distinguir mayúsculas.</w:t>
      </w:r>
    </w:p>
    <w:p>
      <w:pPr>
        <w:numPr>
          <w:ilvl w:val="0"/>
          <w:numId w:val="10"/>
        </w:numPr>
      </w:pPr>
      <w:r>
        <w:rPr>
          <w:rFonts w:ascii="Consolas" w:hAnsi="Consolas"/>
          <w:color w:val="1F4D78"/>
          <w:sz w:val="19"/>
          <w:shd w:fill="EEF2F6"/>
        </w:rPr>
        <w:t>communes</w:t>
      </w:r>
      <w:r>
        <w:rPr>
          <w:rFonts w:ascii="Calibri" w:hAnsi="Calibri"/>
        </w:rPr>
        <w:t xml:space="preserve"> es única por país, región y comuna.</w:t>
      </w:r>
    </w:p>
    <w:p>
      <w:pPr>
        <w:numPr>
          <w:ilvl w:val="0"/>
          <w:numId w:val="10"/>
        </w:numPr>
      </w:pPr>
      <w:r>
        <w:rPr>
          <w:rFonts w:ascii="Consolas" w:hAnsi="Consolas"/>
          <w:color w:val="1F4D78"/>
          <w:sz w:val="19"/>
          <w:shd w:fill="EEF2F6"/>
        </w:rPr>
        <w:t>events.external_key</w:t>
      </w:r>
      <w:r>
        <w:rPr>
          <w:rFonts w:ascii="Calibri" w:hAnsi="Calibri"/>
        </w:rPr>
        <w:t xml:space="preserve"> es único y evita duplicados lógicos.</w:t>
      </w:r>
    </w:p>
    <w:p>
      <w:pPr>
        <w:numPr>
          <w:ilvl w:val="0"/>
          <w:numId w:val="10"/>
        </w:numPr>
      </w:pPr>
      <w:r>
        <w:rPr>
          <w:rFonts w:ascii="Consolas" w:hAnsi="Consolas"/>
          <w:color w:val="1F4D78"/>
          <w:sz w:val="19"/>
          <w:shd w:fill="EEF2F6"/>
        </w:rPr>
        <w:t>event_categories</w:t>
      </w:r>
      <w:r>
        <w:rPr>
          <w:rFonts w:ascii="Calibri" w:hAnsi="Calibri"/>
        </w:rPr>
        <w:t xml:space="preserve"> no permite repetir el mismo par evento-categoría.</w:t>
      </w:r>
    </w:p>
    <w:p>
      <w:pPr>
        <w:numPr>
          <w:ilvl w:val="0"/>
          <w:numId w:val="10"/>
        </w:numPr>
      </w:pPr>
      <w:r>
        <w:rPr>
          <w:rFonts w:ascii="Consolas" w:hAnsi="Consolas"/>
          <w:color w:val="1F4D78"/>
          <w:sz w:val="19"/>
          <w:shd w:fill="EEF2F6"/>
        </w:rPr>
        <w:t>media_assets</w:t>
      </w:r>
      <w:r>
        <w:rPr>
          <w:rFonts w:ascii="Calibri" w:hAnsi="Calibri"/>
        </w:rPr>
        <w:t xml:space="preserve"> no permite repetir la misma URL dentro de un evento.</w:t>
      </w:r>
    </w:p>
    <w:p>
      <w:pPr>
        <w:numPr>
          <w:ilvl w:val="0"/>
          <w:numId w:val="10"/>
        </w:numPr>
      </w:pPr>
      <w:r>
        <w:rPr>
          <w:rFonts w:ascii="Calibri" w:hAnsi="Calibri"/>
        </w:rPr>
        <w:t>Existen índices para fecha de inicio, región, estado, fuente, comuna y búsquedas por categoría.</w:t>
      </w:r>
    </w:p>
    <w:p>
      <w:pPr>
        <w:numPr>
          <w:ilvl w:val="0"/>
          <w:numId w:val="10"/>
        </w:numPr>
      </w:pPr>
      <w:r>
        <w:rPr>
          <w:rFonts w:ascii="Calibri" w:hAnsi="Calibri"/>
        </w:rPr>
        <w:t xml:space="preserve">Los valores de estados, roles y tipos multimedia se controlan mediante restricciones </w:t>
      </w:r>
      <w:r>
        <w:rPr>
          <w:rFonts w:ascii="Consolas" w:hAnsi="Consolas"/>
          <w:color w:val="1F4D78"/>
          <w:sz w:val="19"/>
          <w:shd w:fill="EEF2F6"/>
        </w:rPr>
        <w:t>check</w:t>
      </w:r>
      <w:r>
        <w:rPr>
          <w:rFonts w:ascii="Calibri" w:hAnsi="Calibri"/>
        </w:rPr>
        <w:t>.</w:t>
      </w:r>
    </w:p>
    <w:p>
      <w:pPr>
        <w:pStyle w:val="Heading2"/>
      </w:pPr>
      <w:r>
        <w:t>Índices de deduplicación previa a IA</w:t>
      </w:r>
    </w:p>
    <w:p>
      <w:r>
        <w:rPr>
          <w:rFonts w:ascii="Consolas" w:hAnsi="Consolas"/>
          <w:color w:val="1F4D78"/>
          <w:sz w:val="19"/>
          <w:shd w:fill="EEF2F6"/>
        </w:rPr>
        <w:t>events_match_source_url_idx</w:t>
      </w:r>
      <w:r>
        <w:rPr>
          <w:rFonts w:ascii="Calibri" w:hAnsi="Calibri"/>
        </w:rPr>
        <w:t xml:space="preserve"> y </w:t>
      </w:r>
      <w:r>
        <w:rPr>
          <w:rFonts w:ascii="Consolas" w:hAnsi="Consolas"/>
          <w:color w:val="1F4D78"/>
          <w:sz w:val="19"/>
          <w:shd w:fill="EEF2F6"/>
        </w:rPr>
        <w:t>events_match_official_url_idx</w:t>
      </w:r>
      <w:r>
        <w:rPr>
          <w:rFonts w:ascii="Calibri" w:hAnsi="Calibri"/>
        </w:rPr>
        <w:t xml:space="preserve"> son índices B-tree de expresión. Ambos utilizan </w:t>
      </w:r>
      <w:r>
        <w:rPr>
          <w:rFonts w:ascii="Consolas" w:hAnsi="Consolas"/>
          <w:color w:val="1F4D78"/>
          <w:sz w:val="19"/>
          <w:shd w:fill="EEF2F6"/>
        </w:rPr>
        <w:t>lower(split_part(rtrim(url, '/'), '#', 1))</w:t>
      </w:r>
      <w:r>
        <w:rPr>
          <w:rFonts w:ascii="Calibri" w:hAnsi="Calibri"/>
        </w:rPr>
        <w:t xml:space="preserve">, sustituyendo </w:t>
      </w:r>
      <w:r>
        <w:rPr>
          <w:rFonts w:ascii="Consolas" w:hAnsi="Consolas"/>
          <w:color w:val="1F4D78"/>
          <w:sz w:val="19"/>
          <w:shd w:fill="EEF2F6"/>
        </w:rPr>
        <w:t>url</w:t>
      </w:r>
      <w:r>
        <w:rPr>
          <w:rFonts w:ascii="Calibri" w:hAnsi="Calibri"/>
        </w:rPr>
        <w:t xml:space="preserve"> por su columna respectiva. El cliente envía la URL candidata normalizada; la consulta mantiene exactamente la misma expresión en el lado almacenado para poder utilizar esos índices. La clave </w:t>
      </w:r>
      <w:r>
        <w:rPr>
          <w:rFonts w:ascii="Consolas" w:hAnsi="Consolas"/>
          <w:color w:val="1F4D78"/>
          <w:sz w:val="19"/>
          <w:shd w:fill="EEF2F6"/>
        </w:rPr>
        <w:t>external_key</w:t>
      </w:r>
      <w:r>
        <w:rPr>
          <w:rFonts w:ascii="Calibri" w:hAnsi="Calibri"/>
        </w:rPr>
        <w:t xml:space="preserve"> conserva el índice único que ya tenía.</w:t>
      </w:r>
    </w:p>
    <w:p>
      <w:r>
        <w:rPr>
          <w:rFonts w:ascii="Calibri" w:hAnsi="Calibri"/>
        </w:rPr>
        <w:t xml:space="preserve">La RPC separa las búsquedas por clave, URL de extracción y URL oficial mediante </w:t>
      </w:r>
      <w:r>
        <w:rPr>
          <w:rFonts w:ascii="Consolas" w:hAnsi="Consolas"/>
          <w:color w:val="1F4D78"/>
          <w:sz w:val="19"/>
          <w:shd w:fill="EEF2F6"/>
        </w:rPr>
        <w:t>UNION ALL</w:t>
      </w:r>
      <w:r>
        <w:rPr>
          <w:rFonts w:ascii="Calibri" w:hAnsi="Calibri"/>
        </w:rPr>
        <w:t xml:space="preserve">. Después conserva la coincidencia con </w:t>
      </w:r>
      <w:r>
        <w:rPr>
          <w:rFonts w:ascii="Consolas" w:hAnsi="Consolas"/>
          <w:color w:val="1F4D78"/>
          <w:sz w:val="19"/>
          <w:shd w:fill="EEF2F6"/>
        </w:rPr>
        <w:t>last_seen_at</w:t>
      </w:r>
      <w:r>
        <w:rPr>
          <w:rFonts w:ascii="Calibri" w:hAnsi="Calibri"/>
        </w:rPr>
        <w:t xml:space="preserve"> más reciente por </w:t>
      </w:r>
      <w:r>
        <w:rPr>
          <w:rFonts w:ascii="Consolas" w:hAnsi="Consolas"/>
          <w:color w:val="1F4D78"/>
          <w:sz w:val="19"/>
          <w:shd w:fill="EEF2F6"/>
        </w:rPr>
        <w:t>local_key</w:t>
      </w:r>
      <w:r>
        <w:rPr>
          <w:rFonts w:ascii="Calibri" w:hAnsi="Calibri"/>
        </w:rPr>
        <w:t xml:space="preserve">; ante empate, ordena por </w:t>
      </w:r>
      <w:r>
        <w:rPr>
          <w:rFonts w:ascii="Consolas" w:hAnsi="Consolas"/>
          <w:color w:val="1F4D78"/>
          <w:sz w:val="19"/>
          <w:shd w:fill="EEF2F6"/>
        </w:rPr>
        <w:t>events.id</w:t>
      </w:r>
      <w:r>
        <w:rPr>
          <w:rFonts w:ascii="Calibri" w:hAnsi="Calibri"/>
        </w:rPr>
        <w:t xml:space="preserve">. Sigue devolviendo los textos editoriales, el OCR, la procedencia y la supresión existentes. Es </w:t>
      </w:r>
      <w:r>
        <w:rPr>
          <w:rFonts w:ascii="Consolas" w:hAnsi="Consolas"/>
          <w:color w:val="1F4D78"/>
          <w:sz w:val="19"/>
          <w:shd w:fill="EEF2F6"/>
        </w:rPr>
        <w:t>STABLE</w:t>
      </w:r>
      <w:r>
        <w:rPr>
          <w:rFonts w:ascii="Calibri" w:hAnsi="Calibri"/>
        </w:rPr>
        <w:t>, no modifica datos y mantiene la firma REST anterior.</w:t>
      </w:r>
    </w:p>
    <w:p>
      <w:pPr>
        <w:pStyle w:val="Heading1"/>
      </w:pPr>
      <w:r>
        <w:t>5. Diccionario de categorías observadas</w:t>
      </w:r>
    </w:p>
    <w:p>
      <w:r>
        <w:rPr>
          <w:rFonts w:ascii="Calibri" w:hAnsi="Calibri"/>
        </w:rPr>
        <w:t xml:space="preserve">Las categorías son </w:t>
      </w:r>
      <w:r>
        <w:rPr>
          <w:rFonts w:ascii="Calibri" w:hAnsi="Calibri"/>
          <w:b/>
        </w:rPr>
        <w:t>dinámicas</w:t>
      </w:r>
      <w:r>
        <w:rPr>
          <w:rFonts w:ascii="Calibri" w:hAnsi="Calibri"/>
        </w:rPr>
        <w:t xml:space="preserve">: se copian desde las taxonomías de las fuentes y se complementan con reglas de los conectores. Por ello, esta sección es una </w:t>
      </w:r>
      <w:r>
        <w:rPr>
          <w:rFonts w:ascii="Calibri" w:hAnsi="Calibri"/>
          <w:b/>
        </w:rPr>
        <w:t>fotografía histórica</w:t>
      </w:r>
      <w:r>
        <w:rPr>
          <w:rFonts w:ascii="Calibri" w:hAnsi="Calibri"/>
        </w:rPr>
        <w:t xml:space="preserve"> del archivo local del 1 de septiembre de 2026: </w:t>
      </w:r>
      <w:r>
        <w:rPr>
          <w:rFonts w:ascii="Calibri" w:hAnsi="Calibri"/>
          <w:b/>
        </w:rPr>
        <w:t>399 eventos y 61 etiquetas</w:t>
      </w:r>
      <w:r>
        <w:rPr>
          <w:rFonts w:ascii="Calibri" w:hAnsi="Calibri"/>
        </w:rPr>
        <w:t>; no representa el catálogo vigente y la cantidad puede cambiar en cada corrida.</w:t>
      </w:r>
    </w:p>
    <w:p>
      <w:pPr>
        <w:pStyle w:val="Heading2"/>
      </w:pPr>
      <w:r>
        <w:t>Disciplinas y contenidos culturales</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2500"/>
        <w:gridCol w:w="1100"/>
        <w:gridCol w:w="5760"/>
      </w:tblGrid>
      <w:tr>
        <w:trPr>
          <w:cantSplit/>
          <w:tblHeader w:val="true"/>
        </w:trPr>
        <w:tc>
          <w:tcPr>
            <w:tcW w:type="dxa" w:w="25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Categoría</w:t>
            </w:r>
          </w:p>
        </w:tc>
        <w:tc>
          <w:tcPr>
            <w:tcW w:type="dxa" w:w="1100"/>
            <w:tcMar>
              <w:top w:w="80" w:type="dxa"/>
              <w:start w:w="120" w:type="dxa"/>
              <w:bottom w:w="80" w:type="dxa"/>
              <w:end w:w="120" w:type="dxa"/>
            </w:tcMar>
            <w:vAlign w:val="center"/>
            <w:shd w:fill="E8EEF5"/>
          </w:tcPr>
          <w:p>
            <w:pPr>
              <w:keepNext/>
              <w:spacing w:before="0" w:after="0" w:line="259" w:lineRule="auto"/>
              <w:jc w:val="center"/>
            </w:pPr>
            <w:r>
              <w:rPr>
                <w:rFonts w:ascii="Calibri" w:hAnsi="Calibri"/>
                <w:b/>
                <w:color w:val="17324D"/>
                <w:sz w:val="18"/>
              </w:rPr>
              <w:t>Eventos observados</w:t>
            </w:r>
          </w:p>
        </w:tc>
        <w:tc>
          <w:tcPr>
            <w:tcW w:type="dxa" w:w="57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Definición operativa</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Música</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34</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Conciertos, recitales y actividades donde la música es el contenido principal.</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Teatro</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16</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Obras teatrales, dramaturgia y presentaciones escénicas teatrales.</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Cine</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13</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Exhibiciones, ciclos, festivales o conversaciones centradas en obras audiovisuales.</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Artes escénicas</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12</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Categoría amplia para teatro, danza, performance, circo u otras artes en vivo.</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Danza</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9</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Presentaciones, encuentros o formación cuyo contenido principal es el movimiento y la danza.</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Artes mediales</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7</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Creación artística basada en medios digitales, audiovisuales, interactivos o tecnológicos.</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Artes visuales</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20</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Pintura, escultura, grabado, instalación y otras expresiones principalmente visuales.</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Artesanía</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3</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Oficios y objetos elaborados mediante técnicas artesanales.</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Fotografía</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3</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Exposiciones, talleres o actividades centradas en fotografía.</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Literatura</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3</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Libros, lectura, escritura, poesía o mediación literaria.</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Ópera</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2</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Representaciones o actividades relacionadas con ópera y canto lírico.</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Títeres</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Espectáculos o actividades de teatro de muñecos y objetos.</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Humanidades</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3</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Reflexión, investigación o divulgación en historia, filosofía, letras y áreas afines.</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Patrimonio cultural</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3</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Salvaguardia, difusión o activación de patrimonio material e inmaterial.</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Cultura</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24</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Etiqueta transversal cuando la fuente no entrega una disciplina cultural más específica.</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Gestión cultural</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2</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Formación, redes o prácticas de administración y producción cultural.</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Encuentros Culturales y Artísticos</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Reuniones o actividades participativas que integran más de una disciplina artística.</w:t>
            </w:r>
          </w:p>
        </w:tc>
      </w:tr>
    </w:tbl>
    <w:p>
      <w:pPr>
        <w:spacing w:after="40"/>
      </w:pPr>
    </w:p>
    <w:p>
      <w:pPr>
        <w:pStyle w:val="Heading2"/>
      </w:pPr>
      <w:r>
        <w:t>Formatos, espacios y programas</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2500"/>
        <w:gridCol w:w="1100"/>
        <w:gridCol w:w="5760"/>
      </w:tblGrid>
      <w:tr>
        <w:trPr>
          <w:cantSplit/>
          <w:tblHeader w:val="true"/>
        </w:trPr>
        <w:tc>
          <w:tcPr>
            <w:tcW w:type="dxa" w:w="25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Categoría</w:t>
            </w:r>
          </w:p>
        </w:tc>
        <w:tc>
          <w:tcPr>
            <w:tcW w:type="dxa" w:w="1100"/>
            <w:tcMar>
              <w:top w:w="80" w:type="dxa"/>
              <w:start w:w="120" w:type="dxa"/>
              <w:bottom w:w="80" w:type="dxa"/>
              <w:end w:w="120" w:type="dxa"/>
            </w:tcMar>
            <w:vAlign w:val="center"/>
            <w:shd w:fill="E8EEF5"/>
          </w:tcPr>
          <w:p>
            <w:pPr>
              <w:keepNext/>
              <w:spacing w:before="0" w:after="0" w:line="259" w:lineRule="auto"/>
              <w:jc w:val="center"/>
            </w:pPr>
            <w:r>
              <w:rPr>
                <w:rFonts w:ascii="Calibri" w:hAnsi="Calibri"/>
                <w:b/>
                <w:color w:val="17324D"/>
                <w:sz w:val="18"/>
              </w:rPr>
              <w:t>Eventos observados</w:t>
            </w:r>
          </w:p>
        </w:tc>
        <w:tc>
          <w:tcPr>
            <w:tcW w:type="dxa" w:w="57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Definición operativa</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Taller</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15</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Actividad formativa o práctica con participación activa de asistentes.</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Exposición</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8</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Muestra abierta al público, temporal o permanente.</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Feria</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6</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Encuentro con múltiples expositores, puestos o participantes.</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Festival</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Programación concentrada que reúne varias actividades bajo una convocatoria común.</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Actividad</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12</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Tipo genérico utilizado cuando no existe un formato más preciso.</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Evento</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3</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Etiqueta genérica de la fuente; aporta poca información temática.</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Museo</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31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Actividad o ficha asociada a un museo o espacio museal.</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Bibliotecas</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7</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Actividad vinculada a bibliotecas y servicios bibliotecarios.</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Biblioverano</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Programa o campaña estacional de actividades bibliotecarias durante el verano.</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Guía de Librerías</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89</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Ficha de una librería dentro de Chile Cultura; puede representar un lugar o directorio, no necesariamente un evento.</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Guía de ferias y festivales del libro</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12</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Ficha de una feria o festival literario dentro de una guía; debe verificarse que posea fecha de evento.</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Agenda Ciudad</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8</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Taxonomía de Valpo Cultura para actividades de agenda urbana o ciudadana.</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Agenda Cultural Municipal</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Actividad perteneciente a una programación cultural municipal.</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Agenda Teatro Municipal</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Actividad publicada dentro de la programación de un teatro municipal.</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Rutas Patrimoniales y Turísticas</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2</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Recorridos o circuitos vinculados a patrimonio y turismo.</w:t>
            </w:r>
          </w:p>
        </w:tc>
      </w:tr>
    </w:tbl>
    <w:p>
      <w:pPr>
        <w:spacing w:after="40"/>
      </w:pPr>
    </w:p>
    <w:p>
      <w:pPr>
        <w:pStyle w:val="Heading2"/>
      </w:pPr>
      <w:r>
        <w:t>Vino, gastronomía y turismo</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2500"/>
        <w:gridCol w:w="1100"/>
        <w:gridCol w:w="5760"/>
      </w:tblGrid>
      <w:tr>
        <w:trPr>
          <w:cantSplit/>
          <w:tblHeader w:val="true"/>
        </w:trPr>
        <w:tc>
          <w:tcPr>
            <w:tcW w:type="dxa" w:w="25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Categoría</w:t>
            </w:r>
          </w:p>
        </w:tc>
        <w:tc>
          <w:tcPr>
            <w:tcW w:type="dxa" w:w="1100"/>
            <w:tcMar>
              <w:top w:w="80" w:type="dxa"/>
              <w:start w:w="120" w:type="dxa"/>
              <w:bottom w:w="80" w:type="dxa"/>
              <w:end w:w="120" w:type="dxa"/>
            </w:tcMar>
            <w:vAlign w:val="center"/>
            <w:shd w:fill="E8EEF5"/>
          </w:tcPr>
          <w:p>
            <w:pPr>
              <w:keepNext/>
              <w:spacing w:before="0" w:after="0" w:line="259" w:lineRule="auto"/>
              <w:jc w:val="center"/>
            </w:pPr>
            <w:r>
              <w:rPr>
                <w:rFonts w:ascii="Calibri" w:hAnsi="Calibri"/>
                <w:b/>
                <w:color w:val="17324D"/>
                <w:sz w:val="18"/>
              </w:rPr>
              <w:t>Eventos observados</w:t>
            </w:r>
          </w:p>
        </w:tc>
        <w:tc>
          <w:tcPr>
            <w:tcW w:type="dxa" w:w="57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Definición operativa</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Enoturismo</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50</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Experiencias turísticas vinculadas a viñas, bodegas, vino y territorio vitivinícola.</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Vino</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50</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Actividades donde el vino es tema o producto central.</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Festivales del Vino y la Gastronomía</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48</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Vendimias, festivales, celebraciones y ferias que combinan vino y oferta gastronómica.</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Gastronomía</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Ferias, degustaciones o encuentros enfocados principalmente en alimentos y cocina.</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Turismo</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4</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Actividades y experiencias orientadas a visitantes o promoción de destinos.</w:t>
            </w:r>
          </w:p>
        </w:tc>
      </w:tr>
    </w:tbl>
    <w:p>
      <w:pPr>
        <w:spacing w:after="40"/>
      </w:pPr>
    </w:p>
    <w:p>
      <w:pPr>
        <w:pStyle w:val="Heading2"/>
      </w:pPr>
      <w:r>
        <w:t>Ferias sectoriales, ciencia y desarrollo</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2500"/>
        <w:gridCol w:w="1100"/>
        <w:gridCol w:w="5760"/>
      </w:tblGrid>
      <w:tr>
        <w:trPr>
          <w:cantSplit/>
          <w:tblHeader w:val="true"/>
        </w:trPr>
        <w:tc>
          <w:tcPr>
            <w:tcW w:type="dxa" w:w="25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Categoría</w:t>
            </w:r>
          </w:p>
        </w:tc>
        <w:tc>
          <w:tcPr>
            <w:tcW w:type="dxa" w:w="1100"/>
            <w:tcMar>
              <w:top w:w="80" w:type="dxa"/>
              <w:start w:w="120" w:type="dxa"/>
              <w:bottom w:w="80" w:type="dxa"/>
              <w:end w:w="120" w:type="dxa"/>
            </w:tcMar>
            <w:vAlign w:val="center"/>
            <w:shd w:fill="E8EEF5"/>
          </w:tcPr>
          <w:p>
            <w:pPr>
              <w:keepNext/>
              <w:spacing w:before="0" w:after="0" w:line="259" w:lineRule="auto"/>
              <w:jc w:val="center"/>
            </w:pPr>
            <w:r>
              <w:rPr>
                <w:rFonts w:ascii="Calibri" w:hAnsi="Calibri"/>
                <w:b/>
                <w:color w:val="17324D"/>
                <w:sz w:val="18"/>
              </w:rPr>
              <w:t>Eventos observados</w:t>
            </w:r>
          </w:p>
        </w:tc>
        <w:tc>
          <w:tcPr>
            <w:tcW w:type="dxa" w:w="57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Definición operativa</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Negocios</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6</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Ferias y encuentros profesionales con foco comercial o empresarial.</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Construcción</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Exposición o encuentro del sector construcción e infraestructura.</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Industria naval</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Exposición o encuentro de actividades navales, marítimas y proveedores asociados.</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Minería</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Feria o encuentro profesional del ecosistema minero.</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Salud</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Actividad sectorial relacionada con salud, atención o bienestar.</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Tecnología</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Evento donde innovación o tecnologías son el tema central.</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Emprendimiento</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Actividad de apoyo, formación o vinculación para emprendimientos.</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Ciencias</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2</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Divulgación, investigación o actividades científicas.</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Medio ambiente</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2</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Conservación, sostenibilidad, naturaleza o problemáticas ambientales.</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Deportes</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Actividad cuyo componente principal es deportivo.</w:t>
            </w:r>
          </w:p>
        </w:tc>
      </w:tr>
    </w:tbl>
    <w:p>
      <w:pPr>
        <w:spacing w:after="40"/>
      </w:pPr>
    </w:p>
    <w:p>
      <w:pPr>
        <w:pStyle w:val="Heading2"/>
      </w:pPr>
      <w:r>
        <w:t>Audiencias, comunidades y clasificación institucional</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2500"/>
        <w:gridCol w:w="1100"/>
        <w:gridCol w:w="5760"/>
      </w:tblGrid>
      <w:tr>
        <w:trPr>
          <w:cantSplit/>
          <w:tblHeader w:val="true"/>
        </w:trPr>
        <w:tc>
          <w:tcPr>
            <w:tcW w:type="dxa" w:w="25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Categoría</w:t>
            </w:r>
          </w:p>
        </w:tc>
        <w:tc>
          <w:tcPr>
            <w:tcW w:type="dxa" w:w="1100"/>
            <w:tcMar>
              <w:top w:w="80" w:type="dxa"/>
              <w:start w:w="120" w:type="dxa"/>
              <w:bottom w:w="80" w:type="dxa"/>
              <w:end w:w="120" w:type="dxa"/>
            </w:tcMar>
            <w:vAlign w:val="center"/>
            <w:shd w:fill="E8EEF5"/>
          </w:tcPr>
          <w:p>
            <w:pPr>
              <w:keepNext/>
              <w:spacing w:before="0" w:after="0" w:line="259" w:lineRule="auto"/>
              <w:jc w:val="center"/>
            </w:pPr>
            <w:r>
              <w:rPr>
                <w:rFonts w:ascii="Calibri" w:hAnsi="Calibri"/>
                <w:b/>
                <w:color w:val="17324D"/>
                <w:sz w:val="18"/>
              </w:rPr>
              <w:t>Eventos observados</w:t>
            </w:r>
          </w:p>
        </w:tc>
        <w:tc>
          <w:tcPr>
            <w:tcW w:type="dxa" w:w="57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Definición operativa</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Personas-Mayores</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5</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Etiqueta de audiencia para actividades destinadas o especialmente pertinentes a personas mayores.</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Pueblos-Originarios</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5</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Actividades vinculadas a pueblos indígenas, sus culturas, memorias o comunidades.</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Vinculación con el Medio</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8</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Taxonomía UOH para actividades de relación entre universidad y entorno social o territorial.</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Institucional</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4</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Actividad general de la institución; no describe necesariamente el contenido cultural.</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Educación Continua</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Formación posterior o complementaria ofrecida por la universidad.</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Dirección de Salud Mental</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Unidad UOH responsable o asociada; funciona más como procedencia organizacional que como tema.</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Escuela de Ciencias Sociales</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Unidad académica UOH asociada al evento.</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Escuela de Educación</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Unidad académica UOH asociada al evento.</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ECA3</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3</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Escuela de Ciencias Agroalimentarias, Animales y Ambientales de la UOH.</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ICA3</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2</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Instituto de Ciencias Agroalimentarias, Animales y Ambientales de la UOH.</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ICSo</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2</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Instituto de Ciencias Sociales de la UOH.</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ICED</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1</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 xml:space="preserve">Instituto de Ciencias de la Educación de la UOH; su estilización institucional es </w:t>
            </w:r>
            <w:r>
              <w:rPr>
                <w:rFonts w:ascii="Consolas" w:hAnsi="Consolas"/>
                <w:color w:val="1F4D78"/>
                <w:sz w:val="17"/>
                <w:shd w:fill="EEF2F6"/>
              </w:rPr>
              <w:t>ICEd</w:t>
            </w:r>
            <w:r>
              <w:rPr>
                <w:rFonts w:ascii="Calibri" w:hAnsi="Calibri"/>
                <w:sz w:val="18"/>
              </w:rPr>
              <w:t>.</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PAOCC</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2</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Programa de Apoyo a Organizaciones Culturales Colaboradoras del Ministerio de las Culturas.</w:t>
            </w:r>
          </w:p>
        </w:tc>
      </w:tr>
    </w:tbl>
    <w:p>
      <w:pPr>
        <w:spacing w:after="40"/>
      </w:pPr>
    </w:p>
    <w:p>
      <w:r>
        <w:rPr>
          <w:rFonts w:ascii="Calibri" w:hAnsi="Calibri"/>
        </w:rPr>
        <w:t xml:space="preserve">Las expansiones de ECA3, ICA3, ICSo e ICEd se verificaron en páginas institucionales de la </w:t>
      </w:r>
      <w:hyperlink r:id="rId12">
        <w:r>
          <w:rPr>
            <w:color w:val="2E74B5"/>
            <w:u w:val="single"/>
          </w:rPr>
          <w:t>Universidad de O’Higgins</w:t>
        </w:r>
      </w:hyperlink>
      <w:r>
        <w:rPr>
          <w:rFonts w:ascii="Calibri" w:hAnsi="Calibri"/>
        </w:rPr>
        <w:t xml:space="preserve">. PAOCC se verificó en el sitio oficial del </w:t>
      </w:r>
      <w:hyperlink r:id="rId13">
        <w:r>
          <w:rPr>
            <w:color w:val="2E74B5"/>
            <w:u w:val="single"/>
          </w:rPr>
          <w:t>Ministerio de las Culturas, las Artes y el Patrimonio</w:t>
        </w:r>
      </w:hyperlink>
      <w:r>
        <w:rPr>
          <w:rFonts w:ascii="Calibri" w:hAnsi="Calibri"/>
        </w:rPr>
        <w:t>.</w:t>
      </w:r>
    </w:p>
    <w:p>
      <w:pPr>
        <w:pStyle w:val="Heading2"/>
      </w:pPr>
      <w:r>
        <w:t>Etiqueta que debe corregirse</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2500"/>
        <w:gridCol w:w="1100"/>
        <w:gridCol w:w="5760"/>
      </w:tblGrid>
      <w:tr>
        <w:trPr>
          <w:cantSplit/>
          <w:tblHeader w:val="true"/>
        </w:trPr>
        <w:tc>
          <w:tcPr>
            <w:tcW w:type="dxa" w:w="25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Etiqueta</w:t>
            </w:r>
          </w:p>
        </w:tc>
        <w:tc>
          <w:tcPr>
            <w:tcW w:type="dxa" w:w="1100"/>
            <w:tcMar>
              <w:top w:w="80" w:type="dxa"/>
              <w:start w:w="120" w:type="dxa"/>
              <w:bottom w:w="80" w:type="dxa"/>
              <w:end w:w="120" w:type="dxa"/>
            </w:tcMar>
            <w:vAlign w:val="center"/>
            <w:shd w:fill="E8EEF5"/>
          </w:tcPr>
          <w:p>
            <w:pPr>
              <w:keepNext/>
              <w:spacing w:before="0" w:after="0" w:line="259" w:lineRule="auto"/>
              <w:jc w:val="center"/>
            </w:pPr>
            <w:r>
              <w:rPr>
                <w:rFonts w:ascii="Calibri" w:hAnsi="Calibri"/>
                <w:b/>
                <w:color w:val="17324D"/>
                <w:sz w:val="18"/>
              </w:rPr>
              <w:t>Eventos observados</w:t>
            </w:r>
          </w:p>
        </w:tc>
        <w:tc>
          <w:tcPr>
            <w:tcW w:type="dxa" w:w="57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Diagnóstico</w:t>
            </w:r>
          </w:p>
        </w:tc>
      </w:tr>
      <w:tr>
        <w:trPr>
          <w:cantSplit/>
        </w:trPr>
        <w:tc>
          <w:tcPr>
            <w:tcW w:type="dxa" w:w="25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Calendar_Month Inscribirse</w:t>
            </w:r>
          </w:p>
        </w:tc>
        <w:tc>
          <w:tcPr>
            <w:tcW w:type="dxa" w:w="1100"/>
            <w:tcMar>
              <w:top w:w="80" w:type="dxa"/>
              <w:start w:w="120" w:type="dxa"/>
              <w:bottom w:w="80" w:type="dxa"/>
              <w:end w:w="120" w:type="dxa"/>
            </w:tcMar>
            <w:vAlign w:val="center"/>
          </w:tcPr>
          <w:p>
            <w:pPr>
              <w:spacing w:before="0" w:after="0" w:line="259" w:lineRule="auto"/>
              <w:jc w:val="center"/>
            </w:pPr>
            <w:r>
              <w:rPr>
                <w:rFonts w:ascii="Calibri" w:hAnsi="Calibri"/>
                <w:sz w:val="18"/>
              </w:rPr>
              <w:t>27</w:t>
            </w:r>
          </w:p>
        </w:tc>
        <w:tc>
          <w:tcPr>
            <w:tcW w:type="dxa" w:w="5760"/>
            <w:tcMar>
              <w:top w:w="80" w:type="dxa"/>
              <w:start w:w="120" w:type="dxa"/>
              <w:bottom w:w="80" w:type="dxa"/>
              <w:end w:w="120" w:type="dxa"/>
            </w:tcMar>
            <w:vAlign w:val="center"/>
          </w:tcPr>
          <w:p>
            <w:pPr>
              <w:spacing w:before="0" w:after="0" w:line="259" w:lineRule="auto"/>
            </w:pPr>
            <w:r>
              <w:rPr>
                <w:rFonts w:ascii="Calibri" w:hAnsi="Calibri"/>
                <w:sz w:val="18"/>
              </w:rPr>
              <w:t>Ruido de interfaz capturado desde Maipú en Común. Combina texto de un icono/calendario y un botón; no debe mostrarse como categoría pública. Se recomienda eliminarla durante la normalización.</w:t>
            </w:r>
          </w:p>
        </w:tc>
      </w:tr>
    </w:tbl>
    <w:p>
      <w:pPr>
        <w:spacing w:after="40"/>
      </w:pPr>
    </w:p>
    <w:p>
      <w:pPr>
        <w:pStyle w:val="Heading1"/>
      </w:pPr>
      <w:r>
        <w:t>6. Recomendación de taxonomía</w:t>
      </w:r>
    </w:p>
    <w:p>
      <w:r>
        <w:rPr>
          <w:rFonts w:ascii="Calibri" w:hAnsi="Calibri"/>
        </w:rPr>
        <w:t xml:space="preserve">La lista actual mezcla cuatro dimensiones distintas: tema, formato, audiencia y procedencia. Para el MVP esto conserva fielmente la fuente, pero una interfaz de filtros más limpia debería añadir a </w:t>
      </w:r>
      <w:r>
        <w:rPr>
          <w:rFonts w:ascii="Consolas" w:hAnsi="Consolas"/>
          <w:color w:val="1F4D78"/>
          <w:sz w:val="19"/>
          <w:shd w:fill="EEF2F6"/>
        </w:rPr>
        <w:t>categories</w:t>
      </w:r>
      <w:r>
        <w:rPr>
          <w:rFonts w:ascii="Calibri" w:hAnsi="Calibri"/>
        </w:rPr>
        <w:t xml:space="preserve"> una clasificación futura como:</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2700"/>
        <w:gridCol w:w="6660"/>
      </w:tblGrid>
      <w:tr>
        <w:trPr>
          <w:cantSplit/>
          <w:tblHeader w:val="true"/>
        </w:trPr>
        <w:tc>
          <w:tcPr>
            <w:tcW w:type="dxa" w:w="27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Tipo propuesto</w:t>
            </w:r>
          </w:p>
        </w:tc>
        <w:tc>
          <w:tcPr>
            <w:tcW w:type="dxa" w:w="66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Ejemplos</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discipline</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Música, Teatro, Cine, Literatura.</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format</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Taller, Feria, Festival, Exposición.</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topic</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Vino, Patrimonio cultural, Medio ambiente.</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audience</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Personas-Mayores, Pueblos-Originarios.</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sector</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Minería, Construcción, Industria naval.</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program</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Biblioverano, PAOCC.</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source_taxonomy</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Agenda Ciudad, ECA3, ICA3, ICSo, ICEd.</w:t>
            </w:r>
          </w:p>
        </w:tc>
      </w:tr>
    </w:tbl>
    <w:p>
      <w:pPr>
        <w:spacing w:after="40"/>
      </w:pPr>
    </w:p>
    <w:p>
      <w:r>
        <w:rPr>
          <w:rFonts w:ascii="Calibri" w:hAnsi="Calibri"/>
        </w:rPr>
        <w:t xml:space="preserve">También se recomienda incorporar </w:t>
      </w:r>
      <w:r>
        <w:rPr>
          <w:rFonts w:ascii="Consolas" w:hAnsi="Consolas"/>
          <w:color w:val="1F4D78"/>
          <w:sz w:val="19"/>
          <w:shd w:fill="EEF2F6"/>
        </w:rPr>
        <w:t>slug</w:t>
      </w:r>
      <w:r>
        <w:rPr>
          <w:rFonts w:ascii="Calibri" w:hAnsi="Calibri"/>
        </w:rPr>
        <w:t xml:space="preserve">, </w:t>
      </w:r>
      <w:r>
        <w:rPr>
          <w:rFonts w:ascii="Consolas" w:hAnsi="Consolas"/>
          <w:color w:val="1F4D78"/>
          <w:sz w:val="19"/>
          <w:shd w:fill="EEF2F6"/>
        </w:rPr>
        <w:t>description</w:t>
      </w:r>
      <w:r>
        <w:rPr>
          <w:rFonts w:ascii="Calibri" w:hAnsi="Calibri"/>
        </w:rPr>
        <w:t xml:space="preserve">, </w:t>
      </w:r>
      <w:r>
        <w:rPr>
          <w:rFonts w:ascii="Consolas" w:hAnsi="Consolas"/>
          <w:color w:val="1F4D78"/>
          <w:sz w:val="19"/>
          <w:shd w:fill="EEF2F6"/>
        </w:rPr>
        <w:t>category_type</w:t>
      </w:r>
      <w:r>
        <w:rPr>
          <w:rFonts w:ascii="Calibri" w:hAnsi="Calibri"/>
        </w:rPr>
        <w:t xml:space="preserve"> e </w:t>
      </w:r>
      <w:r>
        <w:rPr>
          <w:rFonts w:ascii="Consolas" w:hAnsi="Consolas"/>
          <w:color w:val="1F4D78"/>
          <w:sz w:val="19"/>
          <w:shd w:fill="EEF2F6"/>
        </w:rPr>
        <w:t>is_active</w:t>
      </w:r>
      <w:r>
        <w:rPr>
          <w:rFonts w:ascii="Calibri" w:hAnsi="Calibri"/>
        </w:rPr>
        <w:t xml:space="preserve"> en una migración posterior, además de una tabla de alias. Así, </w:t>
      </w:r>
      <w:r>
        <w:rPr>
          <w:rFonts w:ascii="Consolas" w:hAnsi="Consolas"/>
          <w:color w:val="1F4D78"/>
          <w:sz w:val="19"/>
          <w:shd w:fill="EEF2F6"/>
        </w:rPr>
        <w:t>Ópera</w:t>
      </w:r>
      <w:r>
        <w:rPr>
          <w:rFonts w:ascii="Calibri" w:hAnsi="Calibri"/>
        </w:rPr>
        <w:t xml:space="preserve"> y </w:t>
      </w:r>
      <w:r>
        <w:rPr>
          <w:rFonts w:ascii="Consolas" w:hAnsi="Consolas"/>
          <w:color w:val="1F4D78"/>
          <w:sz w:val="19"/>
          <w:shd w:fill="EEF2F6"/>
        </w:rPr>
        <w:t>opera</w:t>
      </w:r>
      <w:r>
        <w:rPr>
          <w:rFonts w:ascii="Calibri" w:hAnsi="Calibri"/>
        </w:rPr>
        <w:t>, o etiquetas equivalentes entre fuentes, pueden apuntar a una categoría canónica sin perder el texto original.</w:t>
      </w:r>
    </w:p>
    <w:p>
      <w:pPr>
        <w:pStyle w:val="Heading1"/>
      </w:pPr>
      <w:r>
        <w:t>7. Seguridad y acceso</w:t>
      </w:r>
    </w:p>
    <w:p>
      <w:r>
        <w:rPr>
          <w:rFonts w:ascii="Calibri" w:hAnsi="Calibri"/>
        </w:rPr>
        <w:t>La migración habilita Row Level Security en todas las tablas.</w:t>
      </w:r>
    </w:p>
    <w:tbl>
      <w:tblPr>
        <w:tblW w:type="dxa" w:w="9360"/>
        <w:jc w:val="left"/>
        <w:tblLayout w:type="fixed"/>
        <w:tblLook w:firstColumn="1" w:firstRow="1" w:lastColumn="0" w:lastRow="0" w:noHBand="0" w:noVBand="1" w:val="04A0"/>
        <w:tblInd w:w="120" w:type="dxa"/>
        <w:tblBorders>
          <w:top w:val="single" w:sz="4" w:space="0" w:color="C9D3DE"/>
          <w:left w:val="single" w:sz="4" w:space="0" w:color="C9D3DE"/>
          <w:bottom w:val="single" w:sz="4" w:space="0" w:color="C9D3DE"/>
          <w:right w:val="single" w:sz="4" w:space="0" w:color="C9D3DE"/>
          <w:insideH w:val="single" w:sz="4" w:space="0" w:color="C9D3DE"/>
          <w:insideV w:val="single" w:sz="4" w:space="0" w:color="C9D3DE"/>
        </w:tblBorders>
      </w:tblPr>
      <w:tblGrid>
        <w:gridCol w:w="2700"/>
        <w:gridCol w:w="6660"/>
      </w:tblGrid>
      <w:tr>
        <w:trPr>
          <w:cantSplit/>
          <w:tblHeader w:val="true"/>
        </w:trPr>
        <w:tc>
          <w:tcPr>
            <w:tcW w:type="dxa" w:w="270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Rol</w:t>
            </w:r>
          </w:p>
        </w:tc>
        <w:tc>
          <w:tcPr>
            <w:tcW w:type="dxa" w:w="6660"/>
            <w:tcMar>
              <w:top w:w="80" w:type="dxa"/>
              <w:start w:w="120" w:type="dxa"/>
              <w:bottom w:w="80" w:type="dxa"/>
              <w:end w:w="120" w:type="dxa"/>
            </w:tcMar>
            <w:vAlign w:val="center"/>
            <w:shd w:fill="E8EEF5"/>
          </w:tcPr>
          <w:p>
            <w:pPr>
              <w:keepNext/>
              <w:spacing w:before="0" w:after="0" w:line="259" w:lineRule="auto"/>
            </w:pPr>
            <w:r>
              <w:rPr>
                <w:rFonts w:ascii="Calibri" w:hAnsi="Calibri"/>
                <w:b/>
                <w:color w:val="17324D"/>
                <w:sz w:val="18"/>
              </w:rPr>
              <w:t>Acceso efectivo</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anon</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Lectura de fuentes activas, organizadores no bloqueados, comunas, categorías y eventos publicados de organizadores permitidos.</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authenticated</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La misma lectura pública; además puede leer/editar su nombre de perfil, registrar/eliminar sus propias interacciones y crear/ver sus propios reportes.</w:t>
            </w:r>
          </w:p>
        </w:tc>
      </w:tr>
      <w:tr>
        <w:trPr>
          <w:cantSplit/>
        </w:trPr>
        <w:tc>
          <w:tcPr>
            <w:tcW w:type="dxa" w:w="2700"/>
            <w:tcMar>
              <w:top w:w="80" w:type="dxa"/>
              <w:start w:w="120" w:type="dxa"/>
              <w:bottom w:w="80" w:type="dxa"/>
              <w:end w:w="120" w:type="dxa"/>
            </w:tcMar>
            <w:vAlign w:val="center"/>
          </w:tcPr>
          <w:p>
            <w:pPr>
              <w:spacing w:before="0" w:after="0" w:line="259" w:lineRule="auto"/>
            </w:pPr>
            <w:r>
              <w:rPr>
                <w:rFonts w:ascii="Consolas" w:hAnsi="Consolas"/>
                <w:color w:val="1F4D78"/>
                <w:sz w:val="17"/>
                <w:shd w:fill="EEF2F6"/>
              </w:rPr>
              <w:t>service_role</w:t>
            </w:r>
          </w:p>
        </w:tc>
        <w:tc>
          <w:tcPr>
            <w:tcW w:type="dxa" w:w="6660"/>
            <w:tcMar>
              <w:top w:w="80" w:type="dxa"/>
              <w:start w:w="120" w:type="dxa"/>
              <w:bottom w:w="80" w:type="dxa"/>
              <w:end w:w="120" w:type="dxa"/>
            </w:tcMar>
            <w:vAlign w:val="center"/>
          </w:tcPr>
          <w:p>
            <w:pPr>
              <w:spacing w:before="0" w:after="0" w:line="259" w:lineRule="auto"/>
            </w:pPr>
            <w:r>
              <w:rPr>
                <w:rFonts w:ascii="Calibri" w:hAnsi="Calibri"/>
                <w:sz w:val="18"/>
              </w:rPr>
              <w:t>Acceso completo para el proceso de ingesta. Debe permanecer exclusivamente en backend o CI.</w:t>
            </w:r>
          </w:p>
        </w:tc>
      </w:tr>
    </w:tbl>
    <w:p>
      <w:pPr>
        <w:spacing w:after="40"/>
      </w:pPr>
    </w:p>
    <w:p>
      <w:r>
        <w:rPr>
          <w:rFonts w:ascii="Consolas" w:hAnsi="Consolas"/>
          <w:color w:val="1F4D78"/>
          <w:sz w:val="19"/>
          <w:shd w:fill="EEF2F6"/>
        </w:rPr>
        <w:t>scrape_runs</w:t>
      </w:r>
      <w:r>
        <w:rPr>
          <w:rFonts w:ascii="Calibri" w:hAnsi="Calibri"/>
        </w:rPr>
        <w:t xml:space="preserve"> no posee lectura pública. El usuario no puede cambiar su propio </w:t>
      </w:r>
      <w:r>
        <w:rPr>
          <w:rFonts w:ascii="Consolas" w:hAnsi="Consolas"/>
          <w:color w:val="1F4D78"/>
          <w:sz w:val="19"/>
          <w:shd w:fill="EEF2F6"/>
        </w:rPr>
        <w:t>role</w:t>
      </w:r>
      <w:r>
        <w:rPr>
          <w:rFonts w:ascii="Calibri" w:hAnsi="Calibri"/>
        </w:rPr>
        <w:t xml:space="preserve"> ni actualizar el estado de sus reportes desde el frontend.</w:t>
      </w:r>
    </w:p>
    <w:p>
      <w:r>
        <w:rPr>
          <w:rFonts w:ascii="Calibri" w:hAnsi="Calibri"/>
        </w:rPr>
        <w:t xml:space="preserve">La vista </w:t>
      </w:r>
      <w:r>
        <w:rPr>
          <w:rFonts w:ascii="Consolas" w:hAnsi="Consolas"/>
          <w:color w:val="1F4D78"/>
          <w:sz w:val="19"/>
          <w:shd w:fill="EEF2F6"/>
        </w:rPr>
        <w:t>public_event_catalog</w:t>
      </w:r>
      <w:r>
        <w:rPr>
          <w:rFonts w:ascii="Calibri" w:hAnsi="Calibri"/>
        </w:rPr>
        <w:t xml:space="preserve"> está disponible para </w:t>
      </w:r>
      <w:r>
        <w:rPr>
          <w:rFonts w:ascii="Consolas" w:hAnsi="Consolas"/>
          <w:color w:val="1F4D78"/>
          <w:sz w:val="19"/>
          <w:shd w:fill="EEF2F6"/>
        </w:rPr>
        <w:t>anon</w:t>
      </w:r>
      <w:r>
        <w:rPr>
          <w:rFonts w:ascii="Calibri" w:hAnsi="Calibri"/>
        </w:rPr>
        <w:t xml:space="preserve">, </w:t>
      </w:r>
      <w:r>
        <w:rPr>
          <w:rFonts w:ascii="Consolas" w:hAnsi="Consolas"/>
          <w:color w:val="1F4D78"/>
          <w:sz w:val="19"/>
          <w:shd w:fill="EEF2F6"/>
        </w:rPr>
        <w:t>authenticated</w:t>
      </w:r>
      <w:r>
        <w:rPr>
          <w:rFonts w:ascii="Calibri" w:hAnsi="Calibri"/>
        </w:rPr>
        <w:t xml:space="preserve"> y </w:t>
      </w:r>
      <w:r>
        <w:rPr>
          <w:rFonts w:ascii="Consolas" w:hAnsi="Consolas"/>
          <w:color w:val="1F4D78"/>
          <w:sz w:val="19"/>
          <w:shd w:fill="EEF2F6"/>
        </w:rPr>
        <w:t>service_role</w:t>
      </w:r>
      <w:r>
        <w:rPr>
          <w:rFonts w:ascii="Calibri" w:hAnsi="Calibri"/>
        </w:rPr>
        <w:t xml:space="preserve">. Une cada evento con </w:t>
      </w:r>
      <w:r>
        <w:rPr>
          <w:rFonts w:ascii="Consolas" w:hAnsi="Consolas"/>
          <w:color w:val="1F4D78"/>
          <w:sz w:val="19"/>
          <w:shd w:fill="EEF2F6"/>
        </w:rPr>
        <w:t>source_name</w:t>
      </w:r>
      <w:r>
        <w:rPr>
          <w:rFonts w:ascii="Calibri" w:hAnsi="Calibri"/>
        </w:rPr>
        <w:t xml:space="preserve"> y </w:t>
      </w:r>
      <w:r>
        <w:rPr>
          <w:rFonts w:ascii="Consolas" w:hAnsi="Consolas"/>
          <w:color w:val="1F4D78"/>
          <w:sz w:val="19"/>
          <w:shd w:fill="EEF2F6"/>
        </w:rPr>
        <w:t>organizer_name</w:t>
      </w:r>
      <w:r>
        <w:rPr>
          <w:rFonts w:ascii="Calibri" w:hAnsi="Calibri"/>
        </w:rPr>
        <w:t>; con usuarios públicos hereda las políticas RLS de las tablas y, por tanto, no expone eventos suprimidos ni organizadores bloqueados.</w:t>
      </w:r>
    </w:p>
    <w:p>
      <w:r>
        <w:rPr>
          <w:rFonts w:ascii="Consolas" w:hAnsi="Consolas"/>
          <w:color w:val="1F4D78"/>
          <w:sz w:val="19"/>
          <w:shd w:fill="EEF2F6"/>
        </w:rPr>
        <w:t>event_provenance</w:t>
      </w:r>
      <w:r>
        <w:rPr>
          <w:rFonts w:ascii="Calibri" w:hAnsi="Calibri"/>
        </w:rPr>
        <w:t xml:space="preserve">, </w:t>
      </w:r>
      <w:r>
        <w:rPr>
          <w:rFonts w:ascii="Consolas" w:hAnsi="Consolas"/>
          <w:color w:val="1F4D78"/>
          <w:sz w:val="19"/>
          <w:shd w:fill="EEF2F6"/>
        </w:rPr>
        <w:t>catalog_staging</w:t>
      </w:r>
      <w:r>
        <w:rPr>
          <w:rFonts w:ascii="Calibri" w:hAnsi="Calibri"/>
        </w:rPr>
        <w:t xml:space="preserve">, </w:t>
      </w:r>
      <w:r>
        <w:rPr>
          <w:rFonts w:ascii="Consolas" w:hAnsi="Consolas"/>
          <w:color w:val="1F4D78"/>
          <w:sz w:val="19"/>
          <w:shd w:fill="EEF2F6"/>
        </w:rPr>
        <w:t>scrape_runs</w:t>
      </w:r>
      <w:r>
        <w:rPr>
          <w:rFonts w:ascii="Calibri" w:hAnsi="Calibri"/>
        </w:rPr>
        <w:t xml:space="preserve">, </w:t>
      </w:r>
      <w:r>
        <w:rPr>
          <w:rFonts w:ascii="Consolas" w:hAnsi="Consolas"/>
          <w:color w:val="1F4D78"/>
          <w:sz w:val="19"/>
          <w:shd w:fill="EEF2F6"/>
        </w:rPr>
        <w:t>match_existing_events(jsonb)</w:t>
      </w:r>
      <w:r>
        <w:rPr>
          <w:rFonts w:ascii="Calibri" w:hAnsi="Calibri"/>
        </w:rPr>
        <w:t xml:space="preserve">, </w:t>
      </w:r>
      <w:r>
        <w:rPr>
          <w:rFonts w:ascii="Consolas" w:hAnsi="Consolas"/>
          <w:color w:val="1F4D78"/>
          <w:sz w:val="19"/>
          <w:shd w:fill="EEF2F6"/>
        </w:rPr>
        <w:t>cleanup_expired_events()</w:t>
      </w:r>
      <w:r>
        <w:rPr>
          <w:rFonts w:ascii="Calibri" w:hAnsi="Calibri"/>
        </w:rPr>
        <w:t xml:space="preserve"> y </w:t>
      </w:r>
      <w:r>
        <w:rPr>
          <w:rFonts w:ascii="Consolas" w:hAnsi="Consolas"/>
          <w:color w:val="1F4D78"/>
          <w:sz w:val="19"/>
          <w:shd w:fill="EEF2F6"/>
        </w:rPr>
        <w:t>publish_staged_catalog(...)</w:t>
      </w:r>
      <w:r>
        <w:rPr>
          <w:rFonts w:ascii="Calibri" w:hAnsi="Calibri"/>
        </w:rPr>
        <w:t xml:space="preserve"> no se exponen al navegador. Se reservan al proceso de ingesta que opera con </w:t>
      </w:r>
      <w:r>
        <w:rPr>
          <w:rFonts w:ascii="Consolas" w:hAnsi="Consolas"/>
          <w:color w:val="1F4D78"/>
          <w:sz w:val="19"/>
          <w:shd w:fill="EEF2F6"/>
        </w:rPr>
        <w:t>service_role</w:t>
      </w:r>
      <w:r>
        <w:rPr>
          <w:rFonts w:ascii="Calibri" w:hAnsi="Calibri"/>
        </w:rPr>
        <w:t xml:space="preserve">. La función </w:t>
      </w:r>
      <w:r>
        <w:rPr>
          <w:rFonts w:ascii="Consolas" w:hAnsi="Consolas"/>
          <w:color w:val="1F4D78"/>
          <w:sz w:val="19"/>
          <w:shd w:fill="EEF2F6"/>
        </w:rPr>
        <w:t>is_organizer_blocked(uuid)</w:t>
      </w:r>
      <w:r>
        <w:rPr>
          <w:rFonts w:ascii="Calibri" w:hAnsi="Calibri"/>
        </w:rPr>
        <w:t xml:space="preserve"> puede ejecutarse desde las políticas públicas, pero solo devuelve un booleano y no revela el motivo ni la fecha del bloqueo.</w:t>
      </w:r>
    </w:p>
    <w:p>
      <w:pPr>
        <w:pStyle w:val="Heading1"/>
      </w:pPr>
      <w:r>
        <w:t>8. Ciclo de carga</w:t>
      </w:r>
    </w:p>
    <w:p>
      <w:pPr>
        <w:numPr>
          <w:ilvl w:val="0"/>
          <w:numId w:val="12"/>
        </w:numPr>
      </w:pPr>
      <w:r>
        <w:rPr>
          <w:rFonts w:ascii="Calibri" w:hAnsi="Calibri"/>
        </w:rPr>
        <w:t>Se recorren todas las fuentes habilitadas.</w:t>
      </w:r>
    </w:p>
    <w:p>
      <w:pPr>
        <w:numPr>
          <w:ilvl w:val="0"/>
          <w:numId w:val="12"/>
        </w:numPr>
      </w:pPr>
      <w:r>
        <w:rPr>
          <w:rFonts w:ascii="Calibri" w:hAnsi="Calibri"/>
        </w:rPr>
        <w:t xml:space="preserve">Los conectores producen objetos </w:t>
      </w:r>
      <w:r>
        <w:rPr>
          <w:rFonts w:ascii="Consolas" w:hAnsi="Consolas"/>
          <w:color w:val="1F4D78"/>
          <w:sz w:val="19"/>
          <w:shd w:fill="EEF2F6"/>
        </w:rPr>
        <w:t>Event</w:t>
      </w:r>
      <w:r>
        <w:rPr>
          <w:rFonts w:ascii="Calibri" w:hAnsi="Calibri"/>
        </w:rPr>
        <w:t xml:space="preserve"> con un esquema común.</w:t>
      </w:r>
    </w:p>
    <w:p>
      <w:pPr>
        <w:numPr>
          <w:ilvl w:val="0"/>
          <w:numId w:val="12"/>
        </w:numPr>
      </w:pPr>
      <w:r>
        <w:rPr>
          <w:rFonts w:ascii="Calibri" w:hAnsi="Calibri"/>
        </w:rPr>
        <w:t>El pipeline elimina duplicados y fija un identificador estable.</w:t>
      </w:r>
    </w:p>
    <w:p>
      <w:pPr>
        <w:numPr>
          <w:ilvl w:val="0"/>
          <w:numId w:val="12"/>
        </w:numPr>
      </w:pPr>
      <w:r>
        <w:rPr>
          <w:rFonts w:ascii="Calibri" w:hAnsi="Calibri"/>
        </w:rPr>
        <w:t>Se aplican metadatos geográficos estáticos y reglas deterministas.</w:t>
      </w:r>
    </w:p>
    <w:p>
      <w:pPr>
        <w:numPr>
          <w:ilvl w:val="0"/>
          <w:numId w:val="12"/>
        </w:numPr>
      </w:pPr>
      <w:r>
        <w:rPr>
          <w:rFonts w:ascii="Calibri" w:hAnsi="Calibri"/>
        </w:rPr>
        <w:t>Supabase identifica coincidencias por clave externa o URL original/oficial y devuelve los organizadores bloqueados. La clave externa procede de la consolidación título-fecha-lugar.</w:t>
      </w:r>
    </w:p>
    <w:p>
      <w:pPr>
        <w:numPr>
          <w:ilvl w:val="0"/>
          <w:numId w:val="12"/>
        </w:numPr>
      </w:pPr>
      <w:r>
        <w:rPr>
          <w:rFonts w:ascii="Calibri" w:hAnsi="Calibri"/>
        </w:rPr>
        <w:t>Solo los eventos nuevos, modificados o con enriquecimiento pendiente pasan por OCR, redacción editorial y normalización NVIDIA. Los que no cambiaron reutilizan los resultados guardados.</w:t>
      </w:r>
    </w:p>
    <w:p>
      <w:pPr>
        <w:numPr>
          <w:ilvl w:val="0"/>
          <w:numId w:val="12"/>
        </w:numPr>
      </w:pPr>
      <w:r>
        <w:rPr>
          <w:rFonts w:ascii="Calibri" w:hAnsi="Calibri"/>
        </w:rPr>
        <w:t>Se filtran regiones y pertinencia cultural, y se genera la ubicación canónica.</w:t>
      </w:r>
    </w:p>
    <w:p>
      <w:pPr>
        <w:numPr>
          <w:ilvl w:val="0"/>
          <w:numId w:val="12"/>
        </w:numPr>
      </w:pPr>
      <w:r>
        <w:rPr>
          <w:rFonts w:ascii="Calibri" w:hAnsi="Calibri"/>
        </w:rPr>
        <w:t>Se generan respaldos JSON y CSV.</w:t>
      </w:r>
    </w:p>
    <w:p>
      <w:pPr>
        <w:numPr>
          <w:ilvl w:val="0"/>
          <w:numId w:val="12"/>
        </w:numPr>
      </w:pPr>
      <w:r>
        <w:rPr>
          <w:rFonts w:ascii="Calibri" w:hAnsi="Calibri"/>
        </w:rPr>
        <w:t xml:space="preserve">Se crea una fila </w:t>
      </w:r>
      <w:r>
        <w:rPr>
          <w:rFonts w:ascii="Consolas" w:hAnsi="Consolas"/>
          <w:color w:val="1F4D78"/>
          <w:sz w:val="19"/>
          <w:shd w:fill="EEF2F6"/>
        </w:rPr>
        <w:t>running</w:t>
      </w:r>
      <w:r>
        <w:rPr>
          <w:rFonts w:ascii="Calibri" w:hAnsi="Calibri"/>
        </w:rPr>
        <w:t xml:space="preserve"> en </w:t>
      </w:r>
      <w:r>
        <w:rPr>
          <w:rFonts w:ascii="Consolas" w:hAnsi="Consolas"/>
          <w:color w:val="1F4D78"/>
          <w:sz w:val="19"/>
          <w:shd w:fill="EEF2F6"/>
        </w:rPr>
        <w:t>scrape_runs</w:t>
      </w:r>
      <w:r>
        <w:rPr>
          <w:rFonts w:ascii="Calibri" w:hAnsi="Calibri"/>
        </w:rPr>
        <w:t>.</w:t>
      </w:r>
    </w:p>
    <w:p>
      <w:pPr>
        <w:numPr>
          <w:ilvl w:val="0"/>
          <w:numId w:val="12"/>
        </w:numPr>
      </w:pPr>
      <w:r>
        <w:rPr>
          <w:rFonts w:ascii="Calibri" w:hAnsi="Calibri"/>
        </w:rPr>
        <w:t xml:space="preserve">Se cargan fragmentos privados en </w:t>
      </w:r>
      <w:r>
        <w:rPr>
          <w:rFonts w:ascii="Consolas" w:hAnsi="Consolas"/>
          <w:color w:val="1F4D78"/>
          <w:sz w:val="19"/>
          <w:shd w:fill="EEF2F6"/>
        </w:rPr>
        <w:t>catalog_staging</w:t>
      </w:r>
      <w:r>
        <w:rPr>
          <w:rFonts w:ascii="Calibri" w:hAnsi="Calibri"/>
        </w:rPr>
        <w:t>.</w:t>
      </w:r>
    </w:p>
    <w:p>
      <w:pPr>
        <w:numPr>
          <w:ilvl w:val="0"/>
          <w:numId w:val="12"/>
        </w:numPr>
      </w:pPr>
      <w:r>
        <w:rPr>
          <w:rFonts w:ascii="Consolas" w:hAnsi="Consolas"/>
          <w:color w:val="1F4D78"/>
          <w:sz w:val="19"/>
          <w:shd w:fill="EEF2F6"/>
        </w:rPr>
        <w:t>publish_staged_catalog(...)</w:t>
      </w:r>
      <w:r>
        <w:rPr>
          <w:rFonts w:ascii="Calibri" w:hAnsi="Calibri"/>
        </w:rPr>
        <w:t xml:space="preserve"> publica entidades, eventos, procedencia y relaciones; concilia ausencias y, si está habilitado, llama a </w:t>
      </w:r>
      <w:r>
        <w:rPr>
          <w:rFonts w:ascii="Consolas" w:hAnsi="Consolas"/>
          <w:color w:val="1F4D78"/>
          <w:sz w:val="19"/>
          <w:shd w:fill="EEF2F6"/>
        </w:rPr>
        <w:t>cleanup_expired_events()</w:t>
      </w:r>
      <w:r>
        <w:rPr>
          <w:rFonts w:ascii="Calibri" w:hAnsi="Calibri"/>
        </w:rPr>
        <w:t xml:space="preserve"> en la misma transacción.</w:t>
      </w:r>
    </w:p>
    <w:p>
      <w:pPr>
        <w:numPr>
          <w:ilvl w:val="0"/>
          <w:numId w:val="12"/>
        </w:numPr>
      </w:pPr>
      <w:r>
        <w:rPr>
          <w:rFonts w:ascii="Calibri" w:hAnsi="Calibri"/>
        </w:rPr>
        <w:t xml:space="preserve">La ejecución se marca </w:t>
      </w:r>
      <w:r>
        <w:rPr>
          <w:rFonts w:ascii="Consolas" w:hAnsi="Consolas"/>
          <w:color w:val="1F4D78"/>
          <w:sz w:val="19"/>
          <w:shd w:fill="EEF2F6"/>
        </w:rPr>
        <w:t>succeeded</w:t>
      </w:r>
      <w:r>
        <w:rPr>
          <w:rFonts w:ascii="Calibri" w:hAnsi="Calibri"/>
        </w:rPr>
        <w:t xml:space="preserve"> o </w:t>
      </w:r>
      <w:r>
        <w:rPr>
          <w:rFonts w:ascii="Consolas" w:hAnsi="Consolas"/>
          <w:color w:val="1F4D78"/>
          <w:sz w:val="19"/>
          <w:shd w:fill="EEF2F6"/>
        </w:rPr>
        <w:t>failed</w:t>
      </w:r>
      <w:r>
        <w:rPr>
          <w:rFonts w:ascii="Calibri" w:hAnsi="Calibri"/>
        </w:rPr>
        <w:t>.</w:t>
      </w:r>
    </w:p>
    <w:p>
      <w:r>
        <w:rPr>
          <w:rFonts w:ascii="Calibri" w:hAnsi="Calibri"/>
        </w:rPr>
        <w:t xml:space="preserve">La carga empieza </w:t>
      </w:r>
      <w:r>
        <w:rPr>
          <w:rFonts w:ascii="Calibri" w:hAnsi="Calibri"/>
          <w:b/>
        </w:rPr>
        <w:t>después</w:t>
      </w:r>
      <w:r>
        <w:rPr>
          <w:rFonts w:ascii="Calibri" w:hAnsi="Calibri"/>
        </w:rPr>
        <w:t xml:space="preserve"> de finalizar la extracción completa; no se sube un evento inmediatamente después de encontrarlo. </w:t>
      </w:r>
      <w:r>
        <w:rPr>
          <w:rFonts w:ascii="Consolas" w:hAnsi="Consolas"/>
          <w:color w:val="1F4D78"/>
          <w:sz w:val="19"/>
          <w:shd w:fill="EEF2F6"/>
        </w:rPr>
        <w:t>SUPABASE_BATCH_SIZE</w:t>
      </w:r>
      <w:r>
        <w:rPr>
          <w:rFonts w:ascii="Calibri" w:hAnsi="Calibri"/>
        </w:rPr>
        <w:t xml:space="preserve"> controla los fragmentos de carga. Para las consultas de coincidencias, el cliente acota cada lote entre 1 y 500 candidatos, incluso si la configuración es mayor; el workflow utiliza 200. Así evita que una respuesta de más de 1.000 coincidencias se trunque con el límite habitual de filas de PostgREST. Todas las operaciones NVIDIA comparten el límite </w:t>
      </w:r>
      <w:r>
        <w:rPr>
          <w:rFonts w:ascii="Consolas" w:hAnsi="Consolas"/>
          <w:color w:val="1F4D78"/>
          <w:sz w:val="19"/>
          <w:shd w:fill="EEF2F6"/>
        </w:rPr>
        <w:t>NVIDIA_RPM_LIMIT</w:t>
      </w:r>
      <w:r>
        <w:rPr>
          <w:rFonts w:ascii="Calibri" w:hAnsi="Calibri"/>
        </w:rPr>
        <w:t>; con el valor 40 se fuerza un intervalo seguro de al menos 1,55 segundos entre inicios de solicitudes.</w:t>
      </w:r>
    </w:p>
    <w:p>
      <w:pPr>
        <w:pStyle w:val="Heading2"/>
      </w:pPr>
      <w:r>
        <w:t>Reglas de limpieza por vencimiento</w:t>
      </w:r>
    </w:p>
    <w:p>
      <w:r>
        <w:rPr>
          <w:rFonts w:ascii="Calibri" w:hAnsi="Calibri"/>
        </w:rPr>
        <w:t xml:space="preserve">Con </w:t>
      </w:r>
      <w:r>
        <w:rPr>
          <w:rFonts w:ascii="Consolas" w:hAnsi="Consolas"/>
          <w:color w:val="1F4D78"/>
          <w:sz w:val="19"/>
          <w:shd w:fill="EEF2F6"/>
        </w:rPr>
        <w:t>SUPABASE_DELETE_EXPIRED=true</w:t>
      </w:r>
      <w:r>
        <w:rPr>
          <w:rFonts w:ascii="Calibri" w:hAnsi="Calibri"/>
        </w:rPr>
        <w:t xml:space="preserve">, la publicación invoca </w:t>
      </w:r>
      <w:r>
        <w:rPr>
          <w:rFonts w:ascii="Consolas" w:hAnsi="Consolas"/>
          <w:color w:val="1F4D78"/>
          <w:sz w:val="19"/>
          <w:shd w:fill="EEF2F6"/>
        </w:rPr>
        <w:t>cleanup_expired_events()</w:t>
      </w:r>
      <w:r>
        <w:rPr>
          <w:rFonts w:ascii="Calibri" w:hAnsi="Calibri"/>
        </w:rPr>
        <w:t xml:space="preserve"> después de la conciliación. Es una función PostgreSQL invocable por RPC, no un trigger ni un </w:t>
      </w:r>
      <w:r>
        <w:rPr>
          <w:rFonts w:ascii="Consolas" w:hAnsi="Consolas"/>
          <w:color w:val="1F4D78"/>
          <w:sz w:val="19"/>
          <w:shd w:fill="EEF2F6"/>
        </w:rPr>
        <w:t>PROCEDURE</w:t>
      </w:r>
      <w:r>
        <w:rPr>
          <w:rFonts w:ascii="Calibri" w:hAnsi="Calibri"/>
        </w:rPr>
        <w:t xml:space="preserve"> que requiera </w:t>
      </w:r>
      <w:r>
        <w:rPr>
          <w:rFonts w:ascii="Consolas" w:hAnsi="Consolas"/>
          <w:color w:val="1F4D78"/>
          <w:sz w:val="19"/>
          <w:shd w:fill="EEF2F6"/>
        </w:rPr>
        <w:t>CALL</w:t>
      </w:r>
      <w:r>
        <w:rPr>
          <w:rFonts w:ascii="Calibri" w:hAnsi="Calibri"/>
        </w:rPr>
        <w:t xml:space="preserve">. Su reloj de referencia es </w:t>
      </w:r>
      <w:r>
        <w:rPr>
          <w:rFonts w:ascii="Consolas" w:hAnsi="Consolas"/>
          <w:color w:val="1F4D78"/>
          <w:sz w:val="19"/>
          <w:shd w:fill="EEF2F6"/>
        </w:rPr>
        <w:t>now()</w:t>
      </w:r>
      <w:r>
        <w:rPr>
          <w:rFonts w:ascii="Calibri" w:hAnsi="Calibri"/>
        </w:rPr>
        <w:t xml:space="preserve"> del servidor, correspondiente al inicio de la transacción. La firma antigua de publicación conserva </w:t>
      </w:r>
      <w:r>
        <w:rPr>
          <w:rFonts w:ascii="Consolas" w:hAnsi="Consolas"/>
          <w:color w:val="1F4D78"/>
          <w:sz w:val="19"/>
          <w:shd w:fill="EEF2F6"/>
        </w:rPr>
        <w:t>p_current_time</w:t>
      </w:r>
      <w:r>
        <w:rPr>
          <w:rFonts w:ascii="Calibri" w:hAnsi="Calibri"/>
        </w:rPr>
        <w:t xml:space="preserve"> y </w:t>
      </w:r>
      <w:r>
        <w:rPr>
          <w:rFonts w:ascii="Consolas" w:hAnsi="Consolas"/>
          <w:color w:val="1F4D78"/>
          <w:sz w:val="19"/>
          <w:shd w:fill="EEF2F6"/>
        </w:rPr>
        <w:t>p_day_start</w:t>
      </w:r>
      <w:r>
        <w:rPr>
          <w:rFonts w:ascii="Calibri" w:hAnsi="Calibri"/>
        </w:rPr>
        <w:t xml:space="preserve"> por compatibilidad, pero ya no los utiliza para decidir el vencimiento.</w:t>
      </w:r>
    </w:p>
    <w:p>
      <w:pPr>
        <w:numPr>
          <w:ilvl w:val="0"/>
          <w:numId w:val="10"/>
        </w:numPr>
      </w:pPr>
      <w:r>
        <w:rPr>
          <w:rFonts w:ascii="Calibri" w:hAnsi="Calibri"/>
        </w:rPr>
        <w:t xml:space="preserve">Si existe </w:t>
      </w:r>
      <w:r>
        <w:rPr>
          <w:rFonts w:ascii="Consolas" w:hAnsi="Consolas"/>
          <w:color w:val="1F4D78"/>
          <w:sz w:val="19"/>
          <w:shd w:fill="EEF2F6"/>
        </w:rPr>
        <w:t>end_at</w:t>
      </w:r>
      <w:r>
        <w:rPr>
          <w:rFonts w:ascii="Calibri" w:hAnsi="Calibri"/>
        </w:rPr>
        <w:t xml:space="preserve">, elimina solo cuando </w:t>
      </w:r>
      <w:r>
        <w:rPr>
          <w:rFonts w:ascii="Consolas" w:hAnsi="Consolas"/>
          <w:color w:val="1F4D78"/>
          <w:sz w:val="19"/>
          <w:shd w:fill="EEF2F6"/>
        </w:rPr>
        <w:t>end_at &lt; now()</w:t>
      </w:r>
      <w:r>
        <w:rPr>
          <w:rFonts w:ascii="Calibri" w:hAnsi="Calibri"/>
        </w:rPr>
        <w:t>.</w:t>
      </w:r>
    </w:p>
    <w:p>
      <w:pPr>
        <w:numPr>
          <w:ilvl w:val="0"/>
          <w:numId w:val="10"/>
        </w:numPr>
      </w:pPr>
      <w:r>
        <w:rPr>
          <w:rFonts w:ascii="Calibri" w:hAnsi="Calibri"/>
        </w:rPr>
        <w:t xml:space="preserve">Si no existe </w:t>
      </w:r>
      <w:r>
        <w:rPr>
          <w:rFonts w:ascii="Consolas" w:hAnsi="Consolas"/>
          <w:color w:val="1F4D78"/>
          <w:sz w:val="19"/>
          <w:shd w:fill="EEF2F6"/>
        </w:rPr>
        <w:t>end_at</w:t>
      </w:r>
      <w:r>
        <w:rPr>
          <w:rFonts w:ascii="Calibri" w:hAnsi="Calibri"/>
        </w:rPr>
        <w:t xml:space="preserve">, elimina solo cuando </w:t>
      </w:r>
      <w:r>
        <w:rPr>
          <w:rFonts w:ascii="Consolas" w:hAnsi="Consolas"/>
          <w:color w:val="1F4D78"/>
          <w:sz w:val="19"/>
          <w:shd w:fill="EEF2F6"/>
        </w:rPr>
        <w:t>start_at</w:t>
      </w:r>
      <w:r>
        <w:rPr>
          <w:rFonts w:ascii="Calibri" w:hAnsi="Calibri"/>
        </w:rPr>
        <w:t xml:space="preserve"> es anterior al comienzo del día actual en </w:t>
      </w:r>
      <w:r>
        <w:rPr>
          <w:rFonts w:ascii="Consolas" w:hAnsi="Consolas"/>
          <w:color w:val="1F4D78"/>
          <w:sz w:val="19"/>
          <w:shd w:fill="EEF2F6"/>
        </w:rPr>
        <w:t>America/Santiago</w:t>
      </w:r>
      <w:r>
        <w:rPr>
          <w:rFonts w:ascii="Calibri" w:hAnsi="Calibri"/>
        </w:rPr>
        <w:t>; conserva un evento sin término durante todo su día local.</w:t>
      </w:r>
    </w:p>
    <w:p>
      <w:pPr>
        <w:numPr>
          <w:ilvl w:val="0"/>
          <w:numId w:val="10"/>
        </w:numPr>
      </w:pPr>
      <w:r>
        <w:rPr>
          <w:rFonts w:ascii="Calibri" w:hAnsi="Calibri"/>
        </w:rPr>
        <w:t xml:space="preserve">Requiere </w:t>
      </w:r>
      <w:r>
        <w:rPr>
          <w:rFonts w:ascii="Consolas" w:hAnsi="Consolas"/>
          <w:color w:val="1F4D78"/>
          <w:sz w:val="19"/>
          <w:shd w:fill="EEF2F6"/>
        </w:rPr>
        <w:t>start_at</w:t>
      </w:r>
      <w:r>
        <w:rPr>
          <w:rFonts w:ascii="Calibri" w:hAnsi="Calibri"/>
        </w:rPr>
        <w:t xml:space="preserve"> no nulo y una cronología coherente: </w:t>
      </w:r>
      <w:r>
        <w:rPr>
          <w:rFonts w:ascii="Consolas" w:hAnsi="Consolas"/>
          <w:color w:val="1F4D78"/>
          <w:sz w:val="19"/>
          <w:shd w:fill="EEF2F6"/>
        </w:rPr>
        <w:t>end_at</w:t>
      </w:r>
      <w:r>
        <w:rPr>
          <w:rFonts w:ascii="Calibri" w:hAnsi="Calibri"/>
        </w:rPr>
        <w:t xml:space="preserve"> nulo o mayor o igual al inicio.</w:t>
      </w:r>
    </w:p>
    <w:p>
      <w:pPr>
        <w:numPr>
          <w:ilvl w:val="0"/>
          <w:numId w:val="10"/>
        </w:numPr>
      </w:pPr>
      <w:r>
        <w:rPr>
          <w:rFonts w:ascii="Calibri" w:hAnsi="Calibri"/>
        </w:rPr>
        <w:t>Conserva cualquier evento suprimido o con al menos una interacción de usuario, positiva o negativa. No distingue entre creación manual y extracción para evaluar el vencimiento.</w:t>
      </w:r>
    </w:p>
    <w:p>
      <w:pPr>
        <w:numPr>
          <w:ilvl w:val="0"/>
          <w:numId w:val="10"/>
        </w:numPr>
      </w:pPr>
      <w:r>
        <w:rPr>
          <w:rFonts w:ascii="Calibri" w:hAnsi="Calibri"/>
        </w:rPr>
        <w:t>Las categorías asociadas, los medios y la procedencia se eliminan por las cascadas existentes.</w:t>
      </w:r>
    </w:p>
    <w:p>
      <w:r>
        <w:rPr>
          <w:rFonts w:ascii="Calibri" w:hAnsi="Calibri"/>
        </w:rPr>
        <w:t xml:space="preserve">La función devuelve el número de eventos borrados y una segunda llamada sin cambios devuelve cero. Aplica un bloqueo </w:t>
      </w:r>
      <w:r>
        <w:rPr>
          <w:rFonts w:ascii="Consolas" w:hAnsi="Consolas"/>
          <w:color w:val="1F4D78"/>
          <w:sz w:val="19"/>
          <w:shd w:fill="EEF2F6"/>
        </w:rPr>
        <w:t>SHARE</w:t>
      </w:r>
      <w:r>
        <w:rPr>
          <w:rFonts w:ascii="Calibri" w:hAnsi="Calibri"/>
        </w:rPr>
        <w:t xml:space="preserve"> sobre </w:t>
      </w:r>
      <w:r>
        <w:rPr>
          <w:rFonts w:ascii="Consolas" w:hAnsi="Consolas"/>
          <w:color w:val="1F4D78"/>
          <w:sz w:val="19"/>
          <w:shd w:fill="EEF2F6"/>
        </w:rPr>
        <w:t>user_event_interactions</w:t>
      </w:r>
      <w:r>
        <w:rPr>
          <w:rFonts w:ascii="Calibri" w:hAnsi="Calibri"/>
        </w:rPr>
        <w:t xml:space="preserve"> para impedir que una interacción concurrente se pierda durante la comprobación y el borrado. El tiempo de espera de bloqueos se limita a cinco segundos. Las inserciones de interacciones pueden esperar mientras dure la transacción de publicación; ante contención no resuelta, la operación falla y se revierte.</w:t>
      </w:r>
    </w:p>
    <w:p>
      <w:pPr>
        <w:pStyle w:val="Heading2"/>
      </w:pPr>
      <w:r>
        <w:t>Reglas de conciliación por ausencia</w:t>
      </w:r>
    </w:p>
    <w:p>
      <w:r>
        <w:rPr>
          <w:rFonts w:ascii="Calibri" w:hAnsi="Calibri"/>
        </w:rPr>
        <w:t xml:space="preserve">Con </w:t>
      </w:r>
      <w:r>
        <w:rPr>
          <w:rFonts w:ascii="Consolas" w:hAnsi="Consolas"/>
          <w:color w:val="1F4D78"/>
          <w:sz w:val="19"/>
          <w:shd w:fill="EEF2F6"/>
        </w:rPr>
        <w:t>SUPABASE_RECONCILE_STALE=true</w:t>
      </w:r>
      <w:r>
        <w:rPr>
          <w:rFonts w:ascii="Calibri" w:hAnsi="Calibri"/>
        </w:rPr>
        <w:t xml:space="preserve">, la publicación retira filas de las fuentes autorizadas para conciliar cuyo </w:t>
      </w:r>
      <w:r>
        <w:rPr>
          <w:rFonts w:ascii="Consolas" w:hAnsi="Consolas"/>
          <w:color w:val="1F4D78"/>
          <w:sz w:val="19"/>
          <w:shd w:fill="EEF2F6"/>
        </w:rPr>
        <w:t>last_seen_at</w:t>
      </w:r>
      <w:r>
        <w:rPr>
          <w:rFonts w:ascii="Calibri" w:hAnsi="Calibri"/>
        </w:rPr>
        <w:t xml:space="preserve"> es anterior a </w:t>
      </w:r>
      <w:r>
        <w:rPr>
          <w:rFonts w:ascii="Consolas" w:hAnsi="Consolas"/>
          <w:color w:val="1F4D78"/>
          <w:sz w:val="19"/>
          <w:shd w:fill="EEF2F6"/>
        </w:rPr>
        <w:t>p_seen_at</w:t>
      </w:r>
      <w:r>
        <w:rPr>
          <w:rFonts w:ascii="Calibri" w:hAnsi="Calibri"/>
        </w:rPr>
        <w:t xml:space="preserve">. Además exige procedencia en </w:t>
      </w:r>
      <w:r>
        <w:rPr>
          <w:rFonts w:ascii="Consolas" w:hAnsi="Consolas"/>
          <w:color w:val="1F4D78"/>
          <w:sz w:val="19"/>
          <w:shd w:fill="EEF2F6"/>
        </w:rPr>
        <w:t>event_provenance</w:t>
      </w:r>
      <w:r>
        <w:rPr>
          <w:rFonts w:ascii="Calibri" w:hAnsi="Calibri"/>
        </w:rPr>
        <w:t xml:space="preserve">, un método distinto de </w:t>
      </w:r>
      <w:r>
        <w:rPr>
          <w:rFonts w:ascii="Consolas" w:hAnsi="Consolas"/>
          <w:color w:val="1F4D78"/>
          <w:sz w:val="19"/>
          <w:shd w:fill="EEF2F6"/>
        </w:rPr>
        <w:t>manual</w:t>
      </w:r>
      <w:r>
        <w:rPr>
          <w:rFonts w:ascii="Calibri" w:hAnsi="Calibri"/>
        </w:rPr>
        <w:t>, ausencia de supresión y ausencia de interacciones. Los eventos manuales no desaparecen por faltar en una página extraída.</w:t>
      </w:r>
    </w:p>
    <w:p>
      <w:r>
        <w:rPr>
          <w:rFonts w:ascii="Calibri" w:hAnsi="Calibri"/>
        </w:rPr>
        <w:t>Una fuente completa o vacía de forma confirmada puede autorizar esta conciliación; una fuente parcial o fallida no la autoriza. Las fuentes retiradas explícitamente en configuración también pueden conciliarse. Esta regla es independiente del vencimiento: una ficha ausente puede retirarse aunque tuviera fecha futura. Ambas rutas de borrado son parte de la misma transacción; si falla cualquier paso, se revierten publicación, relaciones y borrados, y se conserva staging.</w:t>
      </w:r>
    </w:p>
    <w:p>
      <w:pPr>
        <w:pStyle w:val="Heading1"/>
      </w:pPr>
      <w:r>
        <w:t>9. Consultas útiles</w:t>
      </w:r>
    </w:p>
    <w:p>
      <w:pPr>
        <w:pStyle w:val="Heading2"/>
      </w:pPr>
      <w:r>
        <w:t>Próximos eventos publicados</w:t>
      </w:r>
    </w:p>
    <w:p>
      <w:pPr>
        <w:spacing w:before="60" w:after="160" w:line="252" w:lineRule="auto"/>
        <w:ind w:left="216" w:right="216"/>
        <w:shd w:fill="F1F3F5"/>
      </w:pPr>
      <w:r>
        <w:rPr>
          <w:rFonts w:ascii="Consolas" w:hAnsi="Consolas"/>
          <w:color w:val="17324D"/>
          <w:sz w:val="17"/>
        </w:rPr>
        <w:t>select id, title, start_at, venue, city, region, is_free</w:t>
      </w:r>
      <w:r>
        <w:br/>
      </w:r>
      <w:r>
        <w:rPr>
          <w:rFonts w:ascii="Consolas" w:hAnsi="Consolas"/>
          <w:color w:val="17324D"/>
          <w:sz w:val="17"/>
        </w:rPr>
        <w:t>from public.events</w:t>
      </w:r>
      <w:r>
        <w:br/>
      </w:r>
      <w:r>
        <w:rPr>
          <w:rFonts w:ascii="Consolas" w:hAnsi="Consolas"/>
          <w:color w:val="17324D"/>
          <w:sz w:val="17"/>
        </w:rPr>
        <w:t>where status = 'published'</w:t>
      </w:r>
      <w:r>
        <w:br/>
      </w:r>
      <w:r>
        <w:rPr>
          <w:rFonts w:ascii="Consolas" w:hAnsi="Consolas"/>
          <w:color w:val="17324D"/>
          <w:sz w:val="17"/>
        </w:rPr>
        <w:t xml:space="preserve">  and start_at is not null</w:t>
      </w:r>
      <w:r>
        <w:br/>
      </w:r>
      <w:r>
        <w:rPr>
          <w:rFonts w:ascii="Consolas" w:hAnsi="Consolas"/>
          <w:color w:val="17324D"/>
          <w:sz w:val="17"/>
        </w:rPr>
        <w:t xml:space="preserve">  and not is_suppressed</w:t>
      </w:r>
      <w:r>
        <w:br/>
      </w:r>
      <w:r>
        <w:rPr>
          <w:rFonts w:ascii="Consolas" w:hAnsi="Consolas"/>
          <w:color w:val="17324D"/>
          <w:sz w:val="17"/>
        </w:rPr>
        <w:t xml:space="preserve">  and (end_at is null or end_at &gt;= start_at)</w:t>
      </w:r>
      <w:r>
        <w:br/>
      </w:r>
      <w:r>
        <w:rPr>
          <w:rFonts w:ascii="Consolas" w:hAnsi="Consolas"/>
          <w:color w:val="17324D"/>
          <w:sz w:val="17"/>
        </w:rPr>
        <w:t xml:space="preserve">  and (</w:t>
      </w:r>
      <w:r>
        <w:br/>
      </w:r>
      <w:r>
        <w:rPr>
          <w:rFonts w:ascii="Consolas" w:hAnsi="Consolas"/>
          <w:color w:val="17324D"/>
          <w:sz w:val="17"/>
        </w:rPr>
        <w:t xml:space="preserve">    end_at &gt;= now()</w:t>
      </w:r>
      <w:r>
        <w:br/>
      </w:r>
      <w:r>
        <w:rPr>
          <w:rFonts w:ascii="Consolas" w:hAnsi="Consolas"/>
          <w:color w:val="17324D"/>
          <w:sz w:val="17"/>
        </w:rPr>
        <w:t xml:space="preserve">    or (end_at is null and start_at &gt;=</w:t>
      </w:r>
      <w:r>
        <w:br/>
      </w:r>
      <w:r>
        <w:rPr>
          <w:rFonts w:ascii="Consolas" w:hAnsi="Consolas"/>
          <w:color w:val="17324D"/>
          <w:sz w:val="17"/>
        </w:rPr>
        <w:t xml:space="preserve">      (date_trunc('day', now() at time zone 'America/Santiago')</w:t>
      </w:r>
      <w:r>
        <w:br/>
      </w:r>
      <w:r>
        <w:rPr>
          <w:rFonts w:ascii="Consolas" w:hAnsi="Consolas"/>
          <w:color w:val="17324D"/>
          <w:sz w:val="17"/>
        </w:rPr>
        <w:t xml:space="preserve">        at time zone 'America/Santiago'))</w:t>
      </w:r>
      <w:r>
        <w:br/>
      </w:r>
      <w:r>
        <w:rPr>
          <w:rFonts w:ascii="Consolas" w:hAnsi="Consolas"/>
          <w:color w:val="17324D"/>
          <w:sz w:val="17"/>
        </w:rPr>
        <w:t xml:space="preserve">  )</w:t>
      </w:r>
      <w:r>
        <w:br/>
      </w:r>
      <w:r>
        <w:rPr>
          <w:rFonts w:ascii="Consolas" w:hAnsi="Consolas"/>
          <w:color w:val="17324D"/>
          <w:sz w:val="17"/>
        </w:rPr>
        <w:t>order by start_at nulls last;</w:t>
      </w:r>
    </w:p>
    <w:p>
      <w:pPr>
        <w:pStyle w:val="Heading2"/>
      </w:pPr>
      <w:r>
        <w:t>Eventos con sus categorías</w:t>
      </w:r>
    </w:p>
    <w:p>
      <w:pPr>
        <w:spacing w:before="60" w:after="160" w:line="252" w:lineRule="auto"/>
        <w:ind w:left="216" w:right="216"/>
        <w:shd w:fill="F1F3F5"/>
      </w:pPr>
      <w:r>
        <w:rPr>
          <w:rFonts w:ascii="Consolas" w:hAnsi="Consolas"/>
          <w:color w:val="17324D"/>
          <w:sz w:val="17"/>
        </w:rPr>
        <w:t>select</w:t>
      </w:r>
      <w:r>
        <w:br/>
      </w:r>
      <w:r>
        <w:rPr>
          <w:rFonts w:ascii="Consolas" w:hAnsi="Consolas"/>
          <w:color w:val="17324D"/>
          <w:sz w:val="17"/>
        </w:rPr>
        <w:t xml:space="preserve">  e.id,</w:t>
      </w:r>
      <w:r>
        <w:br/>
      </w:r>
      <w:r>
        <w:rPr>
          <w:rFonts w:ascii="Consolas" w:hAnsi="Consolas"/>
          <w:color w:val="17324D"/>
          <w:sz w:val="17"/>
        </w:rPr>
        <w:t xml:space="preserve">  e.title,</w:t>
      </w:r>
      <w:r>
        <w:br/>
      </w:r>
      <w:r>
        <w:rPr>
          <w:rFonts w:ascii="Consolas" w:hAnsi="Consolas"/>
          <w:color w:val="17324D"/>
          <w:sz w:val="17"/>
        </w:rPr>
        <w:t xml:space="preserve">  array_agg(c.name order by c.name) as categories</w:t>
      </w:r>
      <w:r>
        <w:br/>
      </w:r>
      <w:r>
        <w:rPr>
          <w:rFonts w:ascii="Consolas" w:hAnsi="Consolas"/>
          <w:color w:val="17324D"/>
          <w:sz w:val="17"/>
        </w:rPr>
        <w:t>from public.events e</w:t>
      </w:r>
      <w:r>
        <w:br/>
      </w:r>
      <w:r>
        <w:rPr>
          <w:rFonts w:ascii="Consolas" w:hAnsi="Consolas"/>
          <w:color w:val="17324D"/>
          <w:sz w:val="17"/>
        </w:rPr>
        <w:t>left join public.event_categories ec on ec.event_id = e.id</w:t>
      </w:r>
      <w:r>
        <w:br/>
      </w:r>
      <w:r>
        <w:rPr>
          <w:rFonts w:ascii="Consolas" w:hAnsi="Consolas"/>
          <w:color w:val="17324D"/>
          <w:sz w:val="17"/>
        </w:rPr>
        <w:t>left join public.categories c on c.id = ec.category_id</w:t>
      </w:r>
      <w:r>
        <w:br/>
      </w:r>
      <w:r>
        <w:rPr>
          <w:rFonts w:ascii="Consolas" w:hAnsi="Consolas"/>
          <w:color w:val="17324D"/>
          <w:sz w:val="17"/>
        </w:rPr>
        <w:t>group by e.id, e.title</w:t>
      </w:r>
      <w:r>
        <w:br/>
      </w:r>
      <w:r>
        <w:rPr>
          <w:rFonts w:ascii="Consolas" w:hAnsi="Consolas"/>
          <w:color w:val="17324D"/>
          <w:sz w:val="17"/>
        </w:rPr>
        <w:t>order by e.title;</w:t>
      </w:r>
    </w:p>
    <w:p>
      <w:pPr>
        <w:pStyle w:val="Heading2"/>
      </w:pPr>
      <w:r>
        <w:t>Cantidad por fuente</w:t>
      </w:r>
    </w:p>
    <w:p>
      <w:pPr>
        <w:spacing w:before="60" w:after="160" w:line="252" w:lineRule="auto"/>
        <w:ind w:left="216" w:right="216"/>
        <w:shd w:fill="F1F3F5"/>
      </w:pPr>
      <w:r>
        <w:rPr>
          <w:rFonts w:ascii="Consolas" w:hAnsi="Consolas"/>
          <w:color w:val="17324D"/>
          <w:sz w:val="17"/>
        </w:rPr>
        <w:t>select s.name as source, count(*) as events</w:t>
      </w:r>
      <w:r>
        <w:br/>
      </w:r>
      <w:r>
        <w:rPr>
          <w:rFonts w:ascii="Consolas" w:hAnsi="Consolas"/>
          <w:color w:val="17324D"/>
          <w:sz w:val="17"/>
        </w:rPr>
        <w:t>from public.events e</w:t>
      </w:r>
      <w:r>
        <w:br/>
      </w:r>
      <w:r>
        <w:rPr>
          <w:rFonts w:ascii="Consolas" w:hAnsi="Consolas"/>
          <w:color w:val="17324D"/>
          <w:sz w:val="17"/>
        </w:rPr>
        <w:t>join public.sources s on s.id = e.source_id</w:t>
      </w:r>
      <w:r>
        <w:br/>
      </w:r>
      <w:r>
        <w:rPr>
          <w:rFonts w:ascii="Consolas" w:hAnsi="Consolas"/>
          <w:color w:val="17324D"/>
          <w:sz w:val="17"/>
        </w:rPr>
        <w:t>group by s.id, s.name</w:t>
      </w:r>
      <w:r>
        <w:br/>
      </w:r>
      <w:r>
        <w:rPr>
          <w:rFonts w:ascii="Consolas" w:hAnsi="Consolas"/>
          <w:color w:val="17324D"/>
          <w:sz w:val="17"/>
        </w:rPr>
        <w:t>order by events desc;</w:t>
      </w:r>
    </w:p>
    <w:p>
      <w:pPr>
        <w:pStyle w:val="Heading2"/>
      </w:pPr>
      <w:r>
        <w:t>Últimas ejecuciones</w:t>
      </w:r>
    </w:p>
    <w:p>
      <w:pPr>
        <w:spacing w:before="60" w:after="160" w:line="252" w:lineRule="auto"/>
        <w:ind w:left="216" w:right="216"/>
        <w:shd w:fill="F1F3F5"/>
      </w:pPr>
      <w:r>
        <w:rPr>
          <w:rFonts w:ascii="Consolas" w:hAnsi="Consolas"/>
          <w:color w:val="17324D"/>
          <w:sz w:val="17"/>
        </w:rPr>
        <w:t>select started_at, finished_at, status, events_count, error_message, metadata</w:t>
      </w:r>
      <w:r>
        <w:br/>
      </w:r>
      <w:r>
        <w:rPr>
          <w:rFonts w:ascii="Consolas" w:hAnsi="Consolas"/>
          <w:color w:val="17324D"/>
          <w:sz w:val="17"/>
        </w:rPr>
        <w:t>from public.scrape_runs</w:t>
      </w:r>
      <w:r>
        <w:br/>
      </w:r>
      <w:r>
        <w:rPr>
          <w:rFonts w:ascii="Consolas" w:hAnsi="Consolas"/>
          <w:color w:val="17324D"/>
          <w:sz w:val="17"/>
        </w:rPr>
        <w:t>order by started_at desc</w:t>
      </w:r>
      <w:r>
        <w:br/>
      </w:r>
      <w:r>
        <w:rPr>
          <w:rFonts w:ascii="Consolas" w:hAnsi="Consolas"/>
          <w:color w:val="17324D"/>
          <w:sz w:val="17"/>
        </w:rPr>
        <w:t>limit 20;</w:t>
      </w:r>
    </w:p>
    <w:p>
      <w:pPr>
        <w:pStyle w:val="Heading2"/>
      </w:pPr>
      <w:r>
        <w:t>Borrados registrados por sincronización</w:t>
      </w:r>
    </w:p>
    <w:p>
      <w:pPr>
        <w:spacing w:before="60" w:after="160" w:line="252" w:lineRule="auto"/>
        <w:ind w:left="216" w:right="216"/>
        <w:shd w:fill="F1F3F5"/>
      </w:pPr>
      <w:r>
        <w:rPr>
          <w:rFonts w:ascii="Consolas" w:hAnsi="Consolas"/>
          <w:color w:val="17324D"/>
          <w:sz w:val="17"/>
        </w:rPr>
        <w:t>select started_at, status, events_count,</w:t>
      </w:r>
      <w:r>
        <w:br/>
      </w:r>
      <w:r>
        <w:rPr>
          <w:rFonts w:ascii="Consolas" w:hAnsi="Consolas"/>
          <w:color w:val="17324D"/>
          <w:sz w:val="17"/>
        </w:rPr>
        <w:t xml:space="preserve">       metadata -&gt;&gt; 'removed_stale' as removed_stale,</w:t>
      </w:r>
      <w:r>
        <w:br/>
      </w:r>
      <w:r>
        <w:rPr>
          <w:rFonts w:ascii="Consolas" w:hAnsi="Consolas"/>
          <w:color w:val="17324D"/>
          <w:sz w:val="17"/>
        </w:rPr>
        <w:t xml:space="preserve">       metadata -&gt;&gt; 'removed_expired' as removed_expired</w:t>
      </w:r>
      <w:r>
        <w:br/>
      </w:r>
      <w:r>
        <w:rPr>
          <w:rFonts w:ascii="Consolas" w:hAnsi="Consolas"/>
          <w:color w:val="17324D"/>
          <w:sz w:val="17"/>
        </w:rPr>
        <w:t>from public.scrape_runs</w:t>
      </w:r>
      <w:r>
        <w:br/>
      </w:r>
      <w:r>
        <w:rPr>
          <w:rFonts w:ascii="Consolas" w:hAnsi="Consolas"/>
          <w:color w:val="17324D"/>
          <w:sz w:val="17"/>
        </w:rPr>
        <w:t>order by started_at desc</w:t>
      </w:r>
      <w:r>
        <w:br/>
      </w:r>
      <w:r>
        <w:rPr>
          <w:rFonts w:ascii="Consolas" w:hAnsi="Consolas"/>
          <w:color w:val="17324D"/>
          <w:sz w:val="17"/>
        </w:rPr>
        <w:t>limit 20;</w:t>
      </w:r>
    </w:p>
    <w:p>
      <w:r>
        <w:rPr>
          <w:rFonts w:ascii="Calibri" w:hAnsi="Calibri"/>
        </w:rPr>
        <w:t xml:space="preserve">Esta consulta es administrativa; </w:t>
      </w:r>
      <w:r>
        <w:rPr>
          <w:rFonts w:ascii="Consolas" w:hAnsi="Consolas"/>
          <w:color w:val="1F4D78"/>
          <w:sz w:val="19"/>
          <w:shd w:fill="EEF2F6"/>
        </w:rPr>
        <w:t>scrape_runs</w:t>
      </w:r>
      <w:r>
        <w:rPr>
          <w:rFonts w:ascii="Calibri" w:hAnsi="Calibri"/>
        </w:rPr>
        <w:t xml:space="preserve"> no tiene lectura pública.</w:t>
      </w:r>
    </w:p>
    <w:p>
      <w:pPr>
        <w:pStyle w:val="Heading1"/>
      </w:pPr>
      <w:r>
        <w:t>10. Validación de migraciones</w:t>
      </w:r>
    </w:p>
    <w:p>
      <w:r>
        <w:rPr>
          <w:rFonts w:ascii="Consolas" w:hAnsi="Consolas"/>
          <w:color w:val="1F4D78"/>
          <w:sz w:val="19"/>
          <w:shd w:fill="EEF2F6"/>
        </w:rPr>
        <w:t>tools/test_database.sh</w:t>
      </w:r>
      <w:r>
        <w:rPr>
          <w:rFonts w:ascii="Calibri" w:hAnsi="Calibri"/>
        </w:rPr>
        <w:t xml:space="preserve"> instala todas las migraciones ordenadas y ejecuta los archivos SQL de </w:t>
      </w:r>
      <w:r>
        <w:rPr>
          <w:rFonts w:ascii="Consolas" w:hAnsi="Consolas"/>
          <w:color w:val="1F4D78"/>
          <w:sz w:val="19"/>
          <w:shd w:fill="EEF2F6"/>
        </w:rPr>
        <w:t>supabase/tests/</w:t>
      </w:r>
      <w:r>
        <w:rPr>
          <w:rFonts w:ascii="Calibri" w:hAnsi="Calibri"/>
        </w:rPr>
        <w:t xml:space="preserve"> sobre una base temporal vacía llamada </w:t>
      </w:r>
      <w:r>
        <w:rPr>
          <w:rFonts w:ascii="Consolas" w:hAnsi="Consolas"/>
          <w:color w:val="1F4D78"/>
          <w:sz w:val="19"/>
          <w:shd w:fill="EEF2F6"/>
        </w:rPr>
        <w:t>eventos_test</w:t>
      </w:r>
      <w:r>
        <w:rPr>
          <w:rFonts w:ascii="Calibri" w:hAnsi="Calibri"/>
        </w:rPr>
        <w:t xml:space="preserve">. El fixture mínimo de Auth simula usuarios y roles para probar el catálogo; no valida el servicio Supabase Auth real. El script no lee </w:t>
      </w:r>
      <w:r>
        <w:rPr>
          <w:rFonts w:ascii="Consolas" w:hAnsi="Consolas"/>
          <w:color w:val="1F4D78"/>
          <w:sz w:val="19"/>
          <w:shd w:fill="EEF2F6"/>
        </w:rPr>
        <w:t>.env</w:t>
      </w:r>
      <w:r>
        <w:rPr>
          <w:rFonts w:ascii="Calibri" w:hAnsi="Calibri"/>
        </w:rPr>
        <w:t>. Nunca se debe apuntar a la base de producción.</w:t>
      </w:r>
    </w:p>
    <w:p>
      <w:r>
        <w:rPr>
          <w:rFonts w:ascii="Calibri" w:hAnsi="Calibri"/>
        </w:rPr>
        <w:t xml:space="preserve">Las pruebas cubren vencimiento con y sin término, día local chileno, fechas incoherentes, supresiones, señales positivas y negativas, cascadas, idempotencia, permisos privados, búsqueda por clave/URL, lotes de 1.205 candidatos y rollback de publicación después de un fallo forzado. El workflow añade un trabajo </w:t>
      </w:r>
      <w:r>
        <w:rPr>
          <w:rFonts w:ascii="Consolas" w:hAnsi="Consolas"/>
          <w:color w:val="1F4D78"/>
          <w:sz w:val="19"/>
          <w:shd w:fill="EEF2F6"/>
        </w:rPr>
        <w:t>validate</w:t>
      </w:r>
      <w:r>
        <w:rPr>
          <w:rFonts w:ascii="Calibri" w:hAnsi="Calibri"/>
        </w:rPr>
        <w:t xml:space="preserve"> con PostgreSQL 17 temporal y exige su éxito antes de ejecutar </w:t>
      </w:r>
      <w:r>
        <w:rPr>
          <w:rFonts w:ascii="Consolas" w:hAnsi="Consolas"/>
          <w:color w:val="1F4D78"/>
          <w:sz w:val="19"/>
          <w:shd w:fill="EEF2F6"/>
        </w:rPr>
        <w:t>scrape</w:t>
      </w:r>
      <w:r>
        <w:rPr>
          <w:rFonts w:ascii="Calibri" w:hAnsi="Calibri"/>
        </w:rPr>
        <w:t>. No aplica migraciones remotas automáticamente en cada ejecución.</w:t>
      </w:r>
    </w:p>
    <w:p>
      <w:r>
        <w:rPr>
          <w:rFonts w:ascii="Calibri" w:hAnsi="Calibri"/>
        </w:rPr>
        <w:t>El 20 de octubre se verificaron localmente las nueve migraciones y las tres suites SQL en PostgreSQL embebido mediante PGlite, con zonas UTC, Santiago y Tokio. Pasaron también las 144 pruebas de Python, incluida la comprobación de que este diccionario referencia todas las migraciones versionadas. Esto no sustituye la primera ejecución del nuevo trabajo en GitHub Actions con PostgreSQL 17; su resultado se consulta en el workflow después del push.</w:t>
      </w:r>
    </w:p>
    <w:p>
      <w:pPr>
        <w:pStyle w:val="Heading1"/>
      </w:pPr>
      <w:r>
        <w:t>11. Limitaciones conocidas</w:t>
      </w:r>
    </w:p>
    <w:p>
      <w:pPr>
        <w:numPr>
          <w:ilvl w:val="0"/>
          <w:numId w:val="10"/>
        </w:numPr>
      </w:pPr>
      <w:r>
        <w:rPr>
          <w:rFonts w:ascii="Calibri" w:hAnsi="Calibri"/>
        </w:rPr>
        <w:t>No existe todavía una marca explícita para eventos de día completo.</w:t>
      </w:r>
    </w:p>
    <w:p>
      <w:pPr>
        <w:numPr>
          <w:ilvl w:val="0"/>
          <w:numId w:val="10"/>
        </w:numPr>
      </w:pPr>
      <w:r>
        <w:rPr>
          <w:rFonts w:ascii="Consolas" w:hAnsi="Consolas"/>
          <w:color w:val="1F4D78"/>
          <w:sz w:val="19"/>
          <w:shd w:fill="EEF2F6"/>
        </w:rPr>
        <w:t>price_text</w:t>
      </w:r>
      <w:r>
        <w:rPr>
          <w:rFonts w:ascii="Calibri" w:hAnsi="Calibri"/>
        </w:rPr>
        <w:t xml:space="preserve"> no permite comparar precios numéricamente.</w:t>
      </w:r>
    </w:p>
    <w:p>
      <w:pPr>
        <w:numPr>
          <w:ilvl w:val="0"/>
          <w:numId w:val="10"/>
        </w:numPr>
      </w:pPr>
      <w:r>
        <w:rPr>
          <w:rFonts w:ascii="Calibri" w:hAnsi="Calibri"/>
        </w:rPr>
        <w:t>Las categorías proceden de varias fuentes y todavía no cuentan con jerarquía o tipo almacenado.</w:t>
      </w:r>
    </w:p>
    <w:p>
      <w:pPr>
        <w:numPr>
          <w:ilvl w:val="0"/>
          <w:numId w:val="10"/>
        </w:numPr>
      </w:pPr>
      <w:r>
        <w:rPr>
          <w:rFonts w:ascii="Calibri" w:hAnsi="Calibri"/>
        </w:rPr>
        <w:t>Algunos registros de Chile Cultura parecen corresponder a directorios de lugares o guías, no a eventos fechados; deben distinguirse en una futura regla de calidad.</w:t>
      </w:r>
    </w:p>
    <w:p>
      <w:pPr>
        <w:numPr>
          <w:ilvl w:val="0"/>
          <w:numId w:val="10"/>
        </w:numPr>
      </w:pPr>
      <w:r>
        <w:rPr>
          <w:rFonts w:ascii="Consolas" w:hAnsi="Consolas"/>
          <w:color w:val="1F4D78"/>
          <w:sz w:val="19"/>
          <w:shd w:fill="EEF2F6"/>
        </w:rPr>
        <w:t>Calendar_Month Inscribirse</w:t>
      </w:r>
      <w:r>
        <w:rPr>
          <w:rFonts w:ascii="Calibri" w:hAnsi="Calibri"/>
        </w:rPr>
        <w:t xml:space="preserve"> es una etiqueta inválida conocida.</w:t>
      </w:r>
    </w:p>
    <w:p>
      <w:pPr>
        <w:numPr>
          <w:ilvl w:val="0"/>
          <w:numId w:val="10"/>
        </w:numPr>
      </w:pPr>
      <w:r>
        <w:rPr>
          <w:rFonts w:ascii="Calibri" w:hAnsi="Calibri"/>
        </w:rPr>
        <w:t>La limpieza conserva eventos con interacciones para no perder señales del recomendador. Esta protección es temporal: antes de eliminarlos habrá que desacoplar o agregar esas señales. Conservar una fila no implica que esté vigente; el frontend debe filtrar fechas en sus consultas.</w:t>
      </w:r>
    </w:p>
    <w:p>
      <w:pPr>
        <w:numPr>
          <w:ilvl w:val="0"/>
          <w:numId w:val="10"/>
        </w:numPr>
      </w:pPr>
      <w:r>
        <w:rPr>
          <w:rFonts w:ascii="Calibri" w:hAnsi="Calibri"/>
        </w:rPr>
        <w:t>Las supresiones y las fechas incompletas o incoherentes se conservan para control o revisión; la función no corrige automáticamente fechas erróneas.</w:t>
      </w:r>
    </w:p>
    <w:p>
      <w:pPr>
        <w:numPr>
          <w:ilvl w:val="0"/>
          <w:numId w:val="10"/>
        </w:numPr>
      </w:pPr>
      <w:r>
        <w:rPr>
          <w:rFonts w:ascii="Calibri" w:hAnsi="Calibri"/>
        </w:rPr>
        <w:t xml:space="preserve">Con </w:t>
      </w:r>
      <w:r>
        <w:rPr>
          <w:rFonts w:ascii="Consolas" w:hAnsi="Consolas"/>
          <w:color w:val="1F4D78"/>
          <w:sz w:val="19"/>
          <w:shd w:fill="EEF2F6"/>
        </w:rPr>
        <w:t>SUPABASE_RECONCILE_STALE=true</w:t>
      </w:r>
      <w:r>
        <w:rPr>
          <w:rFonts w:ascii="Calibri" w:hAnsi="Calibri"/>
        </w:rPr>
        <w:t xml:space="preserve">, una fuente </w:t>
      </w:r>
      <w:r>
        <w:rPr>
          <w:rFonts w:ascii="Consolas" w:hAnsi="Consolas"/>
          <w:color w:val="1F4D78"/>
          <w:sz w:val="19"/>
          <w:shd w:fill="EEF2F6"/>
        </w:rPr>
        <w:t>succeeded</w:t>
      </w:r>
      <w:r>
        <w:rPr>
          <w:rFonts w:ascii="Calibri" w:hAnsi="Calibri"/>
        </w:rPr>
        <w:t xml:space="preserve"> o </w:t>
      </w:r>
      <w:r>
        <w:rPr>
          <w:rFonts w:ascii="Consolas" w:hAnsi="Consolas"/>
          <w:color w:val="1F4D78"/>
          <w:sz w:val="19"/>
          <w:shd w:fill="EEF2F6"/>
        </w:rPr>
        <w:t>complete_empty</w:t>
      </w:r>
      <w:r>
        <w:rPr>
          <w:rFonts w:ascii="Calibri" w:hAnsi="Calibri"/>
        </w:rPr>
        <w:t xml:space="preserve"> puede retirar registros ausentes. Una fuente </w:t>
      </w:r>
      <w:r>
        <w:rPr>
          <w:rFonts w:ascii="Consolas" w:hAnsi="Consolas"/>
          <w:color w:val="1F4D78"/>
          <w:sz w:val="19"/>
          <w:shd w:fill="EEF2F6"/>
        </w:rPr>
        <w:t>partial</w:t>
      </w:r>
      <w:r>
        <w:rPr>
          <w:rFonts w:ascii="Calibri" w:hAnsi="Calibri"/>
        </w:rPr>
        <w:t xml:space="preserve"> o </w:t>
      </w:r>
      <w:r>
        <w:rPr>
          <w:rFonts w:ascii="Consolas" w:hAnsi="Consolas"/>
          <w:color w:val="1F4D78"/>
          <w:sz w:val="19"/>
          <w:shd w:fill="EEF2F6"/>
        </w:rPr>
        <w:t>failed</w:t>
      </w:r>
      <w:r>
        <w:rPr>
          <w:rFonts w:ascii="Calibri" w:hAnsi="Calibri"/>
        </w:rPr>
        <w:t xml:space="preserve"> nunca autoriza esa limpieza.</w:t>
      </w:r>
    </w:p>
    <w:p>
      <w:pPr>
        <w:numPr>
          <w:ilvl w:val="0"/>
          <w:numId w:val="10"/>
        </w:numPr>
      </w:pPr>
      <w:r>
        <w:rPr>
          <w:rFonts w:ascii="Calibri" w:hAnsi="Calibri"/>
        </w:rPr>
        <w:t>La publicación pública es transaccional; una carga de staging interrumpida no modifica el catálogo.</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5E6B78"/>
        <w:sz w:val="17"/>
      </w:rPr>
      <w:t xml:space="preserve">Uso personal · Página </w:t>
    </w:r>
    <w:r>
      <w:rPr>
        <w:rFonts w:ascii="Calibri" w:hAnsi="Calibri"/>
        <w:color w:val="5E6B78"/>
        <w:sz w:val="17"/>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5E6B78"/>
        <w:sz w:val="17"/>
      </w:rPr>
      <w:t>EVENTO CULTURAL · DOCUMENTACIÓN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color w:val="17324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Calibri" w:hAnsi="Calibri"/>
      <w:i/>
      <w:iCs/>
      <w:color w:val="5E6B7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www.uoh.cl/" TargetMode="External"/><Relationship Id="rId13" Type="http://schemas.openxmlformats.org/officeDocument/2006/relationships/hyperlink" Target="https://www.cultura.gob.cl/paoc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de datos de eventos culturales</dc:title>
  <dc:subject>Diccionario de tablas, columnas, relaciones y categorías</dc:subject>
  <dc:creator/>
  <cp:keywords>Supabase, PostgreSQL, eventos culturales, diccionario de datos</cp:keywords>
  <dc:description>generated by python-docx</dc:description>
  <cp:lastModifiedBy/>
  <cp:revision>1</cp:revision>
  <dcterms:created xsi:type="dcterms:W3CDTF">2013-12-23T23:15:00Z</dcterms:created>
  <dcterms:modified xsi:type="dcterms:W3CDTF">2013-12-23T23:15:00Z</dcterms:modified>
  <cp:category/>
</cp:coreProperties>
</file>