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0"/>
      </w:tblGrid>
      <w:tr>
        <w:tc>
          <w:tcPr>
            <w:tcW w:type="dxa" w:w="9500"/>
            <w:tcBorders>
              <w:top w:val="none"/>
              <w:left w:val="none"/>
              <w:bottom w:val="none"/>
              <w:right w:val="none"/>
            </w:tcBorders>
            <w:shd w:fill="102234" w:val="clear"/>
            <w:tcMar>
              <w:top w:type="dxa" w:w="700"/>
              <w:left w:type="dxa" w:w="600"/>
              <w:bottom w:type="dxa" w:w="700"/>
              <w:right w:type="dxa" w:w="600"/>
            </w:tcMar>
          </w:tcPr>
          <w:p>
            <w:pPr>
              <w:spacing w:after="180"/>
            </w:pPr>
            <w:r>
              <w:rPr>
                <w:rFonts w:ascii="Arial" w:cs="Arial" w:eastAsia="Arial" w:hAnsi="Arial"/>
                <w:b/>
                <w:bCs/>
                <w:color w:val="159A88"/>
                <w:sz w:val="19"/>
                <w:szCs w:val="19"/>
              </w:rPr>
              <w:t xml:space="preserve">DOCUMENTACIÓN TÉCNICA</w:t>
            </w:r>
          </w:p>
          <w:p>
            <w:pPr>
              <w:spacing w:after="18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52"/>
                <w:szCs w:val="52"/>
              </w:rPr>
              <w:t xml:space="preserve">Base de datos de eventos culturales</w:t>
            </w:r>
          </w:p>
          <w:p>
            <w:r>
              <w:rPr>
                <w:rFonts w:ascii="Arial" w:cs="Arial" w:eastAsia="Arial" w:hAnsi="Arial"/>
                <w:color w:val="DDE6EB"/>
                <w:sz w:val="24"/>
                <w:szCs w:val="24"/>
              </w:rPr>
              <w:t xml:space="preserve">Diccionario del esquema vigente de Supabase/PostgreSQL</w:t>
            </w:r>
          </w:p>
        </w:tc>
      </w:tr>
    </w:tbl>
    <w:p>
      <w:pPr>
        <w:spacing w:after="120" w:before="360"/>
      </w:pPr>
      <w:r>
        <w:rPr>
          <w:rFonts w:ascii="Arial" w:cs="Arial" w:eastAsia="Arial" w:hAnsi="Arial"/>
          <w:b/>
          <w:bCs/>
          <w:color w:val="1E2A33"/>
          <w:sz w:val="22"/>
          <w:szCs w:val="22"/>
        </w:rPr>
        <w:t xml:space="preserve">Proyecto Evento Cultural · Capstone 2026 · Fase 2</w:t>
      </w:r>
    </w:p>
    <w:p>
      <w:pPr>
        <w:spacing w:after="80"/>
      </w:pPr>
      <w:r>
        <w:rPr>
          <w:rFonts w:ascii="Arial" w:cs="Arial" w:eastAsia="Arial" w:hAnsi="Arial"/>
          <w:color w:val="66737D"/>
          <w:sz w:val="20"/>
          <w:szCs w:val="20"/>
        </w:rPr>
        <w:t xml:space="preserve">Versión documentada: 3 de octubre de 2026</w:t>
      </w:r>
    </w:p>
    <w:p>
      <w:pPr>
        <w:spacing w:after="80"/>
      </w:pPr>
      <w:r>
        <w:rPr>
          <w:rFonts w:ascii="Arial" w:cs="Arial" w:eastAsia="Arial" w:hAnsi="Arial"/>
          <w:color w:val="66737D"/>
          <w:sz w:val="20"/>
          <w:szCs w:val="20"/>
        </w:rPr>
        <w:t xml:space="preserve">Fuente de verdad: seis migraciones SQL versionadas entre el 31 de agosto y el 24 de septiembre de 2026.</w:t>
      </w:r>
    </w:p>
    <w:p>
      <w:r>
        <w:br w:type="page"/>
      </w:r>
    </w:p>
    <w:p>
      <w:pPr>
        <w:pStyle w:val="Title"/>
        <w:spacing w:after="220"/>
      </w:pPr>
      <w:r>
        <w:rPr>
          <w:rFonts w:ascii="Cambria" w:cs="Cambria" w:eastAsia="Cambria" w:hAnsi="Cambria"/>
          <w:b/>
          <w:bCs/>
          <w:color w:val="102234"/>
          <w:sz w:val="38"/>
          <w:szCs w:val="38"/>
        </w:rPr>
        <w:t xml:space="preserve">Contenido</w:t>
      </w:r>
    </w:p>
    <w:p>
      <w:pPr>
        <w:pBdr>
          <w:bottom w:val="single" w:color="CCD5DA" w:sz="3" w:space="2"/>
        </w:pBdr>
        <w:spacing w:after="105"/>
      </w:pPr>
      <w:r>
        <w:rPr>
          <w:rFonts w:ascii="Arial" w:cs="Arial" w:eastAsia="Arial" w:hAnsi="Arial"/>
          <w:b/>
          <w:bCs/>
          <w:color w:val="1E2A33"/>
          <w:sz w:val="20"/>
          <w:szCs w:val="20"/>
        </w:rPr>
        <w:t xml:space="preserve">01  Vista general</w:t>
      </w:r>
    </w:p>
    <w:p>
      <w:pPr>
        <w:pBdr>
          <w:bottom w:val="single" w:color="CCD5DA" w:sz="3" w:space="2"/>
        </w:pBdr>
        <w:spacing w:after="105"/>
      </w:pPr>
      <w:r>
        <w:rPr>
          <w:rFonts w:ascii="Arial" w:cs="Arial" w:eastAsia="Arial" w:hAnsi="Arial"/>
          <w:b/>
          <w:bCs/>
          <w:color w:val="66737D"/>
          <w:sz w:val="20"/>
          <w:szCs w:val="20"/>
        </w:rPr>
        <w:t xml:space="preserve">02  Convenciones generales</w:t>
      </w:r>
    </w:p>
    <w:p>
      <w:pPr>
        <w:pBdr>
          <w:bottom w:val="single" w:color="CCD5DA" w:sz="3" w:space="2"/>
        </w:pBdr>
        <w:spacing w:after="105"/>
      </w:pPr>
      <w:r>
        <w:rPr>
          <w:rFonts w:ascii="Arial" w:cs="Arial" w:eastAsia="Arial" w:hAnsi="Arial"/>
          <w:b/>
          <w:bCs/>
          <w:color w:val="1E2A33"/>
          <w:sz w:val="20"/>
          <w:szCs w:val="20"/>
        </w:rPr>
        <w:t xml:space="preserve">03  Diccionario de tablas y columnas</w:t>
      </w:r>
    </w:p>
    <w:p>
      <w:pPr>
        <w:pBdr>
          <w:bottom w:val="single" w:color="CCD5DA" w:sz="3" w:space="2"/>
        </w:pBdr>
        <w:spacing w:after="105"/>
      </w:pPr>
      <w:r>
        <w:rPr>
          <w:rFonts w:ascii="Arial" w:cs="Arial" w:eastAsia="Arial" w:hAnsi="Arial"/>
          <w:b w:val="false"/>
          <w:bCs w:val="false"/>
          <w:color w:val="66737D"/>
          <w:sz w:val="20"/>
          <w:szCs w:val="20"/>
        </w:rPr>
        <w:t xml:space="preserve">04  Índices y reglas de integridad</w:t>
      </w:r>
    </w:p>
    <w:p>
      <w:pPr>
        <w:pBdr>
          <w:bottom w:val="single" w:color="CCD5DA" w:sz="3" w:space="2"/>
        </w:pBdr>
        <w:spacing w:after="105"/>
      </w:pPr>
      <w:r>
        <w:rPr>
          <w:rFonts w:ascii="Arial" w:cs="Arial" w:eastAsia="Arial" w:hAnsi="Arial"/>
          <w:b w:val="false"/>
          <w:bCs w:val="false"/>
          <w:color w:val="1E2A33"/>
          <w:sz w:val="20"/>
          <w:szCs w:val="20"/>
        </w:rPr>
        <w:t xml:space="preserve">05  Diccionario de categorías observadas</w:t>
      </w:r>
    </w:p>
    <w:p>
      <w:pPr>
        <w:pBdr>
          <w:bottom w:val="single" w:color="CCD5DA" w:sz="3" w:space="2"/>
        </w:pBdr>
        <w:spacing w:after="105"/>
      </w:pPr>
      <w:r>
        <w:rPr>
          <w:rFonts w:ascii="Arial" w:cs="Arial" w:eastAsia="Arial" w:hAnsi="Arial"/>
          <w:b w:val="false"/>
          <w:bCs w:val="false"/>
          <w:color w:val="66737D"/>
          <w:sz w:val="20"/>
          <w:szCs w:val="20"/>
        </w:rPr>
        <w:t xml:space="preserve">06  Recomendación de taxonomía</w:t>
      </w:r>
    </w:p>
    <w:p>
      <w:pPr>
        <w:pBdr>
          <w:bottom w:val="single" w:color="CCD5DA" w:sz="3" w:space="2"/>
        </w:pBdr>
        <w:spacing w:after="105"/>
      </w:pPr>
      <w:r>
        <w:rPr>
          <w:rFonts w:ascii="Arial" w:cs="Arial" w:eastAsia="Arial" w:hAnsi="Arial"/>
          <w:b w:val="false"/>
          <w:bCs w:val="false"/>
          <w:color w:val="1E2A33"/>
          <w:sz w:val="20"/>
          <w:szCs w:val="20"/>
        </w:rPr>
        <w:t xml:space="preserve">07  Seguridad y acceso</w:t>
      </w:r>
    </w:p>
    <w:p>
      <w:pPr>
        <w:pBdr>
          <w:bottom w:val="single" w:color="CCD5DA" w:sz="3" w:space="2"/>
        </w:pBdr>
        <w:spacing w:after="105"/>
      </w:pPr>
      <w:r>
        <w:rPr>
          <w:rFonts w:ascii="Arial" w:cs="Arial" w:eastAsia="Arial" w:hAnsi="Arial"/>
          <w:b w:val="false"/>
          <w:bCs w:val="false"/>
          <w:color w:val="66737D"/>
          <w:sz w:val="20"/>
          <w:szCs w:val="20"/>
        </w:rPr>
        <w:t xml:space="preserve">08  Ciclo de carga</w:t>
      </w:r>
    </w:p>
    <w:p>
      <w:pPr>
        <w:pBdr>
          <w:bottom w:val="single" w:color="CCD5DA" w:sz="3" w:space="2"/>
        </w:pBdr>
        <w:spacing w:after="105"/>
      </w:pPr>
      <w:r>
        <w:rPr>
          <w:rFonts w:ascii="Arial" w:cs="Arial" w:eastAsia="Arial" w:hAnsi="Arial"/>
          <w:b w:val="false"/>
          <w:bCs w:val="false"/>
          <w:color w:val="1E2A33"/>
          <w:sz w:val="20"/>
          <w:szCs w:val="20"/>
        </w:rPr>
        <w:t xml:space="preserve">09  Consultas útiles</w:t>
      </w:r>
    </w:p>
    <w:p>
      <w:pPr>
        <w:pBdr>
          <w:bottom w:val="single" w:color="CCD5DA" w:sz="3" w:space="2"/>
        </w:pBdr>
        <w:spacing w:after="105"/>
      </w:pPr>
      <w:r>
        <w:rPr>
          <w:rFonts w:ascii="Arial" w:cs="Arial" w:eastAsia="Arial" w:hAnsi="Arial"/>
          <w:b w:val="false"/>
          <w:bCs w:val="false"/>
          <w:color w:val="66737D"/>
          <w:sz w:val="20"/>
          <w:szCs w:val="20"/>
        </w:rPr>
        <w:t xml:space="preserve">10  Limitaciones conocidas</w:t>
      </w:r>
    </w:p>
    <w:p>
      <w:pPr>
        <w:spacing w:after="80" w:before="230"/>
      </w:pPr>
      <w:r>
        <w:rPr>
          <w:rFonts w:ascii="Arial" w:cs="Arial" w:eastAsia="Arial" w:hAnsi="Arial"/>
          <w:b/>
          <w:bCs/>
          <w:color w:val="159A88"/>
          <w:sz w:val="20"/>
          <w:szCs w:val="20"/>
        </w:rPr>
        <w:t xml:space="preserve">Estado del modelo</w:t>
      </w:r>
    </w:p>
    <w:p>
      <w:r>
        <w:rPr>
          <w:rFonts w:ascii="Arial" w:cs="Arial" w:eastAsia="Arial" w:hAnsi="Arial"/>
          <w:color w:val="66737D"/>
          <w:sz w:val="19"/>
          <w:szCs w:val="19"/>
        </w:rPr>
        <w:t xml:space="preserve">favorites fue eliminada; las señales de recomendación se almacenan en user_event_interactions. La publicación del catálogo usa staging y una RPC transaccional.</w:t>
      </w:r>
    </w:p>
    <w:p>
      <w:r>
        <w:br w:type="page"/>
      </w:r>
    </w:p>
    <w:p>
      <w:pPr>
        <w:pStyle w:val="Heading1"/>
        <w:spacing w:after="90" w:before="220"/>
      </w:pPr>
      <w:r>
        <w:rPr>
          <w:rFonts w:ascii="Cambria" w:cs="Cambria" w:eastAsia="Cambria" w:hAnsi="Cambria"/>
          <w:b/>
          <w:bCs/>
          <w:color w:val="102234"/>
          <w:sz w:val="30"/>
          <w:szCs w:val="30"/>
        </w:rPr>
        <w:t xml:space="preserve">1. Vista general</w:t>
      </w:r>
    </w:p>
    <w:p>
      <w:pPr>
        <w:spacing w:after="80" w:before="80"/>
        <w:jc w:val="center"/>
      </w:pPr>
      <w:r>
        <w:drawing>
          <wp:inline distT="0" distB="0" distL="0" distR="0">
            <wp:extent cx="657225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cs="Arial" w:eastAsia="Arial" w:hAnsi="Arial"/>
          <w:i/>
          <w:iCs/>
          <w:color w:val="66737D"/>
          <w:sz w:val="17"/>
          <w:szCs w:val="17"/>
        </w:rPr>
        <w:t xml:space="preserve">Figura 1. Relaciones principales del esquema vigente.</w:t>
      </w:r>
    </w:p>
    <w:p>
      <w:pPr>
        <w:spacing w:after="110" w:line="300"/>
        <w:jc w:val="both"/>
      </w:pP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scrape_runs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registra la salud de cada sincronización y no necesita una clave foránea hacia los eventos. Una ejecución puede descubrir cientos de eventos, pero los eventos permanecen vigentes entre ejecuciones mediante sus identificadores deterministas.</w:t>
      </w:r>
    </w:p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Tablas de ingesta y catálogo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Tabla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sources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Agenda, municipalidad, ticketera o sitio desde el que se obtuvo la información.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organizers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Institución o entidad responsable de organizar el evento.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communes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Ubicación administrativa normalizada del evento.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categories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Etiquetas temáticas, de formato, audiencia o procedencia.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events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Registro canónico de cada evento consolidado.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event_categories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Relación muchos-a-muchos entre eventos y categorías.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media_assets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Imágenes y futuros videos, audios o documentos asociados.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event_provenance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Evidencia privada: texto original, OCR y URL canónica.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scrape_runs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Bitácora técnica de ejecuciones locales y de GitHub Actions.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catalog_staging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Fragmentos privados temporales usados para publicar un lote de forma atómica.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Tablas de aplicación y usuarios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Tabla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profiles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Perfil público mínimo asociado a Supabase Auth.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user_event_interactions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Señales de comportamiento para recomendaciones: visualizaciones, interés, descarte, aperturas y compartidos.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reports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Avisos de usuarios sobre información incorrecta o problemática.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Vistas y funciones operativas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Objeto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Finalidad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public_event_catalog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Vista pública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Entrega eventos publicados con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source_name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y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organizer_name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respetando RLS, supresión y bloqueos.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set_updated_at()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Trigger function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Mantiene automáticamente las columnas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updated_at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handle_new_user()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Trigger function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Crea el perfil mínimo al registrarse un usuario en Supabase Auth.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match_existing_events(jsonb)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RPC privada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Detecta coincidencias antes de OCR y redacción, y reutiliza procedencia editorial existente.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is_organizer_blocked(uuid)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Función de seguridad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Permite aplicar la exclusión de organizadores sin exponer sus columnas administrativas.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publish_staged_catalog(...)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RPC privada y transaccional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Publica un lote completo desde staging, reconcilia registros obsoletos y elimina eventos vencidos.</w:t>
            </w:r>
          </w:p>
        </w:tc>
      </w:tr>
    </w:tbl>
    <w:p>
      <w:pPr>
        <w:pStyle w:val="Heading1"/>
        <w:pageBreakBefore/>
        <w:spacing w:after="90" w:before="220"/>
      </w:pPr>
      <w:r>
        <w:rPr>
          <w:rFonts w:ascii="Cambria" w:cs="Cambria" w:eastAsia="Cambria" w:hAnsi="Cambria"/>
          <w:b/>
          <w:bCs/>
          <w:color w:val="102234"/>
          <w:sz w:val="30"/>
          <w:szCs w:val="30"/>
        </w:rPr>
        <w:t xml:space="preserve">2. Convenciones generales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Todos los nombres usan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snake_case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Las claves primarias son UUID. El scraper produce UUID v5 deterministas para el catálogo;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repetir una extracción actualiza las mismas filas mediante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upsert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timestamptz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representa fecha y hora con zona horaria. Supabase la almacena internamente de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forma normalizada y el cliente debe presentarla en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America/Santiago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cuando corresponda.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Un valor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null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significa que la fuente no entregó el dato o que no pudo validarse. No debe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interpretarse como una cadena vacía ni como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false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created_at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indica cuándo nació la fila;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updated_at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, su última modificación;</w:t>
      </w:r>
    </w:p>
    <w:p>
      <w:pPr>
        <w:spacing w:after="110" w:line="300"/>
        <w:jc w:val="both"/>
      </w:pP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last_seen_at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, la última extracción en que el registro volvió a encontrarse.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Las fechas textuales no interpretables, como “por confirmar”, descartan el evento antes de llamar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a Supabase. Las fechas sin offset se localizan en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America/Santiago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. Si solo se conoce una fecha sin hora, PostgreSQL la recibe a medianoche; la versión actual todavía no posee un campo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is_all_day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para distinguir esos casos.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location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siempre contiene una etiqueta utilizable.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location_precision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evita confundir una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región de respaldo con una dirección exacta y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location_source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registra cómo se obtuvo.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La clave secreta de Supabase se utiliza únicamente en el scraper o en CI. Nunca pertenece al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navegador, al frontend, al repositorio ni a los logs.</w:t>
      </w:r>
    </w:p>
    <w:p>
      <w:pPr>
        <w:pStyle w:val="Heading1"/>
        <w:pageBreakBefore/>
        <w:spacing w:after="90" w:before="220"/>
      </w:pPr>
      <w:r>
        <w:rPr>
          <w:rFonts w:ascii="Cambria" w:cs="Cambria" w:eastAsia="Cambria" w:hAnsi="Cambria"/>
          <w:b/>
          <w:bCs/>
          <w:color w:val="102234"/>
          <w:sz w:val="30"/>
          <w:szCs w:val="30"/>
        </w:rPr>
        <w:t xml:space="preserve">3. Diccionario de tablas y columnas</w:t>
      </w:r>
    </w:p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sources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Catálogo de fuentes. Un registro representa el sitio o agenda de procedencia, no una página de detalle individual.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UUID determinista derivado del nombre normalizado de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Nombre legible, por ejemplo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Chile Cultura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website_url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Origen web principal, normalmente protocolo y dominio.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is_active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true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Indica si la fuente se considera activa para lectura pública. No activa ni desactiva el conector local.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Última carga en que la fuente aportó al menos un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Momento de creación de la fila.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Última actualización; mantenida por trigger.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organizers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Entidades que producen, convocan o gestionan eventos. Puede tratarse de una municipalidad, corporación cultural, universidad, museo, productora u otra organización.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UUID determinista derivado del nombre normalizado.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Nombre publicado por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entity_type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Clasificación futura, por ejemplo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municipality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university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producer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; el scraper actual envía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null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Última ejecución en que apareció la organización.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is_blocked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false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Si es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true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el organizador y todos sus eventos dejan de ser visibles y de procesarse con 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blocked_reason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Motivo administrativo de la exclusión.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blocked_at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Momento en que se aplicó el bloqueo.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Momento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Última modificación.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communes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Catálogo territorial. Su identidad combina país, región y comuna para evitar ambigüedades.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UUID determinista de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país + región + comuna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Nombre de la comuna, por ejemplo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Santiago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region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Región administrativa informada o inferida por el conector.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country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Chile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País de la comuna.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Momento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Última modificación.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categories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Catálogo dinámico de etiquetas. La tabla no limita las categorías a una lista cerrada porque cada fuente puede incorporar nuevas taxonomías. El significado de las etiquetas observadas se detalla en la sección 5.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UUID determinista del nombre normalizado; evita duplicados por mayúsculas o acentos.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name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Obligatorio, único sin distinguir mayúsculas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Etiqueta conservada para visualización.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Primera aparición de la categoría.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Última modificación de su nombre.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events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Tabla central. Una fila es la representación consolidada de un evento luego de extraer, filtrar por región y deduplicar todas las fuentes.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 y origen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UUID v5 derivado de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external_key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; estable entre ejecuciones.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external_key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Obligatorio, único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Identificador canónico de deduplicación. Usa título, fecha y lugar; si falta ubicación incorpora fuente y URL para evitar colisiones.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source_id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sources.id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Fuente que aportó el registro conservado.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organizer_id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FK opcional →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organizers.id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Organizador normalizado; queda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null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si no se publicó.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commune_id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FK opcional →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communes.id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Comuna normalizada; queda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null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si no pudo determinarse.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title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Nombre público del evento. Los registros sin título se descartan antes de cargar.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start_at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Columna nullable; obligatorio para la ingesta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Inicio del evento con offset. El scraper descarta eventos sin una fecha válida.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end_at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Término del evento; puede coincidir con el inicio o ser desconocido.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venue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Nombre del recinto, sala, parque, viña o espacio virtual.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address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Dirección textual publicada por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city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Ciudad o localidad; no sustituye la comuna administrativa.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region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Copia denormalizada de la región para filtros rápidos.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country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Chile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País del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postal_code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Código postal publicado o configurado para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latitude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double precision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Latitud validada entre -90 y 90.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longitude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double precision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Longitud validada entre -180 y 180.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location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Etiqueta canónica para mostrar y buscar, construida desde recinto, dirección y territorio. Nunca queda vacía.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location_precision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Nivel disponible: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exact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coordinates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venue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commune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city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region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online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country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location_source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Procedencia: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source-data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source-default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deterministic-inference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nvidia-nim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geographic-fallback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Estado editorial: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cancelled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draft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archived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 El scraper actual carga como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published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is_suppressed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false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Exclusión administrativa persistente; el scraper no la sobrescribe.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suppression_reason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Motivo de la exclusión individual.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suppressed_at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Momento en que se ocultó 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audience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Público objetivo textual, por ejemplo familiar o mayores de edad.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is_free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true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: gratuito;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false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: pagado;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null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: la fuente no permite determinarlo.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description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Versión editorial factual destinada a publicación. No sustituye la evidencia privada.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price_text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Precio tal como fue informado, incluidos rangos o condiciones. No es un valor numérico contable.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currency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CLP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Moneda asociada a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price_text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; se recomienda código ISO 4217.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image_url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Imagen principal para consultas sencillas. También se refleja en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media_assets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source_url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Página exacta o endpoint desde el que se extrajo la información.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official_url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Página oficial o canónica del evento, si es distinta de la fuente intermediaria.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extraction_method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Método usado, por ejemplo API, JSON-LD, tarjetas HTML, Playwright o NVIDIA NIM.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scraped_at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Momento en que el conector obtuvo el registro.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last_seen_at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Última sincronización que volvió a encontrar el evento. Permite detectar registros posiblemente vencidos.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Primera inserción en Supabase.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Último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upsert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o modificación.</w:t>
            </w:r>
          </w:p>
        </w:tc>
      </w:tr>
    </w:tbl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La eliminación de una fuente está restringida mientras tenga eventos. Si se elimina un organizador o una comuna, su referencia en el evento se convierte en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null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y el evento permanece.</w:t>
      </w:r>
    </w:p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event_provenance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Tabla privada para auditoría y reutilización de resultados. No tiene permisos para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anon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ni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authenticated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 y FK →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Evento al que pertenece la evidencia.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original_url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URL normalizada utilizada en la deduplicación previa.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source_description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Descripción saneada tal como fue obtenida de la fuente.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ocr_text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Texto visible transcrito desde el afiche.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is_rewritten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Indica si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events.description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difiere del texto original.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Última actualización de la evidencia.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event_categories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Tabla puente. Un evento puede tener cero, una o muchas categorías, y una categoría puede pertenecer a muchos eventos.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 compuesta, FK →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Evento clasificado. Se elimina en cascada con el evento.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category_id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 compuesta, FK →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categories.id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Categoría asignada. Se elimina en cascada con la categoría.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Momento de creación de la asociación.</w:t>
            </w:r>
          </w:p>
        </w:tc>
      </w:tr>
    </w:tbl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Antes de reinsertar las categorías de un lote, el exportador elimina sus asociaciones anteriores. Esto permite retirar una categoría que ya no aparezca en la fuente sin duplicar relaciones.</w:t>
      </w:r>
    </w:p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media_assets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Recursos visuales o descargables asociados al evento. En el MVP solo se cargan imágenes.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PK, 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UUID determinista de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evento + URL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Evento propietario; eliminación en cascada.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url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Obligatorio, única por evento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Dirección pública del recurso.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media_type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image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Uno de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image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video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audio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document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is_primary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boolean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false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Señala el recurso principal. La imagen importada actualmente se marca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true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Momento de creación.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scrape_runs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Bitácora de observabilidad. Permite saber si una ejecución alcanzó Supabase, terminó correctamente o falló durante la carga.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PK, automático o enviado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Identificador único de la ejecución.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started_at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Inicio de la sincronización con Supabase, posterior a la extracción completa.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finished_at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Término exitoso o fallido; es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null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mientras figura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running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running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succeeded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failed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events_count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No negativo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Cantidad de eventos consolidados que se intentó cargar.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error_message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Resumen técnico del error, limitado por el cliente a 2.000 caracteres.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metadata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{}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Entorno de ejecución: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runner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repositorio, ID de GitHub Actions, commit y evento disparador.</w:t>
            </w:r>
          </w:p>
        </w:tc>
      </w:tr>
    </w:tbl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Los fragmentos se cargan primero en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catalog_staging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, que no es visible al público. La función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publish_staged_catalog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aplica el catálogo, relaciones y limpieza dentro de una única transacción; si falla, las tablas públicas conservan el estado anterior.</w:t>
      </w:r>
    </w:p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catalog_staging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Área privada y temporal de publicación. No forma parte del catálogo consultado por el frontend.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run_id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 compuesta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Ejecución propietaria del fragmento.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entity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 compuesta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Entidad contenida: fuentes, eventos, procedencia o relaciones.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chunk_index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integer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 compuesta, no negativo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Orden del fragmento dentro de la entidad.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payload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Obligatorio, arreglo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Filas serializadas que la RPC convertirá a tipos PostgreSQL.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Permite retirar staging abandonado después de siete días.</w:t>
            </w:r>
          </w:p>
        </w:tc>
      </w:tr>
    </w:tbl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RLS está habilitado y solo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service_role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puede leer o escribir esta tabla. El lote se elimina al publicarse correctamente; si la RPC falla, permanece fuera del catálogo público para diagnóstico.</w:t>
      </w:r>
    </w:p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profiles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Extensión mínima de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auth.users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. Se crea automáticamente después del registro en Supabase Auth.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 y FK →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Identidad del usuario autenticado.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display_name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Opcional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Nombre visible; el usuario puede modificar solo esta columna.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role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visitor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Rol interno: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visitor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editor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admin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 No es editable directamente por el usuario.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Creación del perfil.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Última modificación.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user_event_interactions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Historial de señales que usa el motor de recomendaciones. No almacena un puntaje enviado por el cliente: el backend asigna el peso de cada tipo de interacción y puede reducir su efecto con el paso del tiempo.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PK, 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Identificador de la interacción.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user_id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Persona que generó la señal.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Evento asociado a la señal.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interaction_type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Obligatorio, controlado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Acción: ver detalle, abrir fuente u oficial, mostrar interés, descartar, compartir o reportar.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occurred_at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Momento de la interacción.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metadata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jsonb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Objeto vacío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Contexto no sensible opcional, por ejemplo superficie de origen.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reports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Reportes de usuarios sobre un evento, por ejemplo fecha incorrecta, evento cancelado o enlace roto.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800"/>
        <w:gridCol w:w="4500"/>
      </w:tblGrid>
      <w:tr>
        <w:trPr>
          <w:cantSplit/>
          <w:tblHeader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Columna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Requisito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PK, 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Identificador del reporte.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user_id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auth.users.id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Persona que lo creó.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event_id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uuid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FK obligatoria →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events.id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Evento reportado.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reason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Obligatorio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Motivo escrito por el usuario.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status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text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pending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por defecto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Flujo de revisión: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pending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reviewed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 o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resolved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created_at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Fecha de creación.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updated_at</w:t>
            </w:r>
          </w:p>
        </w:tc>
        <w:tc>
          <w:tcPr>
            <w:tcW w:type="dxa" w:w="1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timestamptz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Automático</w:t>
            </w:r>
          </w:p>
        </w:tc>
        <w:tc>
          <w:tcPr>
            <w:tcW w:type="dxa" w:w="4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Última modificación administrativa.</w:t>
            </w:r>
          </w:p>
        </w:tc>
      </w:tr>
    </w:tbl>
    <w:p>
      <w:pPr>
        <w:pStyle w:val="Heading1"/>
        <w:pageBreakBefore/>
        <w:spacing w:after="90" w:before="220"/>
      </w:pPr>
      <w:r>
        <w:rPr>
          <w:rFonts w:ascii="Cambria" w:cs="Cambria" w:eastAsia="Cambria" w:hAnsi="Cambria"/>
          <w:b/>
          <w:bCs/>
          <w:color w:val="102234"/>
          <w:sz w:val="30"/>
          <w:szCs w:val="30"/>
        </w:rPr>
        <w:t xml:space="preserve">4. Índices y reglas de integridad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sources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,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organizers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y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categories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poseen unicidad por nombre sin distinguir mayúsculas.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communes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es única por país, región y comuna.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events.external_key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es único y evita duplicados lógicos.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event_categories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no permite repetir el mismo par evento-categoría.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media_assets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no permite repetir la misma URL dentro de un evento.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Existen índices para fecha de inicio, región, estado, fuente, comuna y búsquedas por categoría.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Los valores de estados, roles y tipos multimedia se controlan mediante restricciones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check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.</w:t>
      </w:r>
    </w:p>
    <w:p>
      <w:pPr>
        <w:pStyle w:val="Heading1"/>
        <w:pageBreakBefore/>
        <w:spacing w:after="90" w:before="220"/>
      </w:pPr>
      <w:r>
        <w:rPr>
          <w:rFonts w:ascii="Cambria" w:cs="Cambria" w:eastAsia="Cambria" w:hAnsi="Cambria"/>
          <w:b/>
          <w:bCs/>
          <w:color w:val="102234"/>
          <w:sz w:val="30"/>
          <w:szCs w:val="30"/>
        </w:rPr>
        <w:t xml:space="preserve">5. Diccionario de categorías observadas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Las categorías son </w:t>
      </w:r>
      <w:r>
        <w:rPr>
          <w:rFonts w:ascii="Arial" w:cs="Arial" w:eastAsia="Arial" w:hAnsi="Arial"/>
          <w:b/>
          <w:bCs/>
          <w:color w:val="1E2A33"/>
          <w:sz w:val="20"/>
          <w:szCs w:val="20"/>
        </w:rPr>
        <w:t xml:space="preserve">dinámicas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: se copian desde las taxonomías de las fuentes y se complementan con reglas de los conectores. Por ello, esta sección es una </w:t>
      </w:r>
      <w:r>
        <w:rPr>
          <w:rFonts w:ascii="Arial" w:cs="Arial" w:eastAsia="Arial" w:hAnsi="Arial"/>
          <w:b/>
          <w:bCs/>
          <w:color w:val="1E2A33"/>
          <w:sz w:val="20"/>
          <w:szCs w:val="20"/>
        </w:rPr>
        <w:t xml:space="preserve">fotografía histórica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del archivo local del 1 de septiembre de 2026: </w:t>
      </w:r>
      <w:r>
        <w:rPr>
          <w:rFonts w:ascii="Arial" w:cs="Arial" w:eastAsia="Arial" w:hAnsi="Arial"/>
          <w:b/>
          <w:bCs/>
          <w:color w:val="1E2A33"/>
          <w:sz w:val="20"/>
          <w:szCs w:val="20"/>
        </w:rPr>
        <w:t xml:space="preserve">399 eventos y 61 etiquetas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; no representa el catálogo vigente y la cantidad puede cambiar en cada corrida.</w:t>
      </w:r>
    </w:p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Disciplinas y contenidos culturales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Música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34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Conciertos, recitales y actividades donde la música es el contenido principal.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Teatro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16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Obras teatrales, dramaturgia y presentaciones escénicas teatrales.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Cine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13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Exhibiciones, ciclos, festivales o conversaciones centradas en obras audiovisuales.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Artes escénicas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12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Categoría amplia para teatro, danza, performance, circo u otras artes en vivo.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Danza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9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Presentaciones, encuentros o formación cuyo contenido principal es el movimiento y la danza.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Artes mediales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7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Creación artística basada en medios digitales, audiovisuales, interactivos o tecnológicos.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Artes visuales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20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Pintura, escultura, grabado, instalación y otras expresiones principalmente visuales.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Artesanía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3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Oficios y objetos elaborados mediante técnicas artesanales.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Fotografía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3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Exposiciones, talleres o actividades centradas en fotografía.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Literatura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3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Libros, lectura, escritura, poesía o mediación literaria.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Ópera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Representaciones o actividades relacionadas con ópera y canto lírico.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Títeres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Espectáculos o actividades de teatro de muñecos y objetos.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Humanidades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3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Reflexión, investigación o divulgación en historia, filosofía, letras y áreas afines.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Patrimonio cultural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3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Salvaguardia, difusión o activación de patrimonio material e inmaterial.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Cultura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24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Etiqueta transversal cuando la fuente no entrega una disciplina cultural más específica.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Gestión cultural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Formación, redes o prácticas de administración y producción cultural.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Encuentros Culturales y Artísticos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Reuniones o actividades participativas que integran más de una disciplina artística.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Formatos, espacios y programas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Taller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15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Actividad formativa o práctica con participación activa de asistentes.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Exposición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8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Muestra abierta al público, temporal o permanente.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Feria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6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Encuentro con múltiples expositores, puestos o participantes.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Festival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Programación concentrada que reúne varias actividades bajo una convocatoria común.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Actividad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12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Tipo genérico utilizado cuando no existe un formato más preciso.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Evento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3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Etiqueta genérica de la fuente; aporta poca información temática.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Museo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31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Actividad o ficha asociada a un museo o espacio museal.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Bibliotecas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7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Actividad vinculada a bibliotecas y servicios bibliotecarios.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Biblioverano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Programa o campaña estacional de actividades bibliotecarias durante el verano.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Guía de Librerías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89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Ficha de una librería dentro de Chile Cultura; puede representar un lugar o directorio, no necesariamente un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Guía de ferias y festivales del libro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12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Ficha de una feria o festival literario dentro de una guía; debe verificarse que posea fecha de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Agenda Ciudad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8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Taxonomía de Valpo Cultura para actividades de agenda urbana o ciudadana.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Agenda Cultural Municipal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Actividad perteneciente a una programación cultural municipal.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Agenda Teatro Municipal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Actividad publicada dentro de la programación de un teatro municipal.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Rutas Patrimoniales y Turísticas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Recorridos o circuitos vinculados a patrimonio y turismo.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Vino, gastronomía y turismo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Enoturismo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50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Experiencias turísticas vinculadas a viñas, bodegas, vino y territorio vitivinícola.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Vino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50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Actividades donde el vino es tema o producto central.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Festivales del Vino y la Gastronomía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48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Vendimias, festivales, celebraciones y ferias que combinan vino y oferta gastronómica.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Gastronomía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Ferias, degustaciones o encuentros enfocados principalmente en alimentos y cocina.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Turismo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4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Actividades y experiencias orientadas a visitantes o promoción de destinos.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Ferias sectoriales, ciencia y desarrollo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Negocios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6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Ferias y encuentros profesionales con foco comercial o empresarial.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Construcción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Exposición o encuentro del sector construcción e infraestructura.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Industria naval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Exposición o encuentro de actividades navales, marítimas y proveedores asociados.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Minería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Feria o encuentro profesional del ecosistema minero.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Salud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Actividad sectorial relacionada con salud, atención o bienestar.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Tecnología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Evento donde innovación o tecnologías son el tema central.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Emprendimiento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Actividad de apoyo, formación o vinculación para emprendimientos.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Ciencias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Divulgación, investigación o actividades científicas.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Medio ambiente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Conservación, sostenibilidad, naturaleza o problemáticas ambientales.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Deportes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Actividad cuyo componente principal es deportivo.</w:t>
            </w:r>
          </w:p>
        </w:tc>
      </w:tr>
    </w:tbl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Audiencias, comunidades y clasificación institucional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Categoría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Definición operativa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Personas-Mayores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5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Etiqueta de audiencia para actividades destinadas o especialmente pertinentes a personas mayores.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Pueblos-Originarios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5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Actividades vinculadas a pueblos indígenas, sus culturas, memorias o comunidades.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Vinculación con el Medio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8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Taxonomía UOH para actividades de relación entre universidad y entorno social o territorial.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Institucional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4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Actividad general de la institución; no describe necesariamente el contenido cultural.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Educación Continua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Formación posterior o complementaria ofrecida por la universidad.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Dirección de Salud Mental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Unidad UOH responsable o asociada; funciona más como procedencia organizacional que como tema.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Escuela de Ciencias Sociales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Escuela de Educación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Unidad académica UOH asociada al evento.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ECA3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3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Escuela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ICA3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Instituto de Ciencias Agroalimentarias, Animales y Ambientales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ICSo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Instituto de Ciencias Sociales de la UOH.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ICED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1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Instituto de Ciencias de la Educación de la UOH; su estilización institucional es </w:t>
            </w: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ICEd</w:t>
            </w: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PAOCC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2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Programa de Apoyo a Organizaciones Culturales Colaboradoras del Ministerio de las Culturas.</w:t>
            </w:r>
          </w:p>
        </w:tc>
      </w:tr>
    </w:tbl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Las expansiones de ECA3, ICA3, ICSo e ICEd se verificaron en páginas institucionales de la </w:t>
      </w:r>
      <w:r>
        <w:rPr>
          <w:rFonts w:ascii="Arial" w:cs="Arial" w:eastAsia="Arial" w:hAnsi="Arial"/>
          <w:color w:val="2E6F9E"/>
          <w:sz w:val="20"/>
          <w:szCs w:val="20"/>
          <w:u w:val="single"/>
        </w:rPr>
        <w:t xml:space="preserve">Universidad de O’Higgins (https://www.uoh.cl/)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. PAOCC se verificó en el sitio oficial del </w:t>
      </w:r>
      <w:r>
        <w:rPr>
          <w:rFonts w:ascii="Arial" w:cs="Arial" w:eastAsia="Arial" w:hAnsi="Arial"/>
          <w:color w:val="2E6F9E"/>
          <w:sz w:val="20"/>
          <w:szCs w:val="20"/>
          <w:u w:val="single"/>
        </w:rPr>
        <w:t xml:space="preserve">Ministerio de las Culturas, las Artes y el Patrimonio (https://www.cultura.gob.cl/paocc/)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.</w:t>
      </w:r>
    </w:p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Etiqueta que debe corregirse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5200"/>
      </w:tblGrid>
      <w:tr>
        <w:trPr>
          <w:cantSplit/>
          <w:tblHeader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Etiqueta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Eventos observados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Diagnóstico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Calendar_Month Inscribirse</w:t>
            </w:r>
          </w:p>
        </w:tc>
        <w:tc>
          <w:tcPr>
            <w:tcW w:type="dxa" w:w="18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27</w:t>
            </w:r>
          </w:p>
        </w:tc>
        <w:tc>
          <w:tcPr>
            <w:tcW w:type="dxa" w:w="52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Ruido de interfaz capturado desde Maipú en Común. Combina texto de un icono/calendario y un botón; no debe mostrarse como categoría pública. Se recomienda eliminarla durante la normalización.</w:t>
            </w:r>
          </w:p>
        </w:tc>
      </w:tr>
    </w:tbl>
    <w:p>
      <w:pPr>
        <w:pStyle w:val="Heading1"/>
        <w:pageBreakBefore/>
        <w:spacing w:after="90" w:before="220"/>
      </w:pPr>
      <w:r>
        <w:rPr>
          <w:rFonts w:ascii="Cambria" w:cs="Cambria" w:eastAsia="Cambria" w:hAnsi="Cambria"/>
          <w:b/>
          <w:bCs/>
          <w:color w:val="102234"/>
          <w:sz w:val="30"/>
          <w:szCs w:val="30"/>
        </w:rPr>
        <w:t xml:space="preserve">6. Recomendación de taxonomía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La lista actual mezcla cuatro dimensiones distintas: tema, formato, audiencia y procedencia. Para el MVP esto conserva fielmente la fuente, pero una interfaz de filtros más limpia debería añadir a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categories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una clasificación futura como: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 propuesto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Ejemplos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discipline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Música, Teatro, Cine, Literatura.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format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Taller, Feria, Festival, Exposición.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topic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Vino, Patrimonio cultural, Medio ambiente.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audience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Personas-Mayores, Pueblos-Originarios.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sector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Minería, Construcción, Industria naval.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program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Biblioverano, PAOCC.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source_taxonomy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Agenda Ciudad, ECA3, ICA3, ICSo, ICEd.</w:t>
            </w:r>
          </w:p>
        </w:tc>
      </w:tr>
    </w:tbl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También se recomienda incorporar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slug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description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category_type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e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is_active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en una migración posterior, además de una tabla de alias. Así,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Ópera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opera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, o etiquetas equivalentes entre fuentes, pueden apuntar a una categoría canónica sin perder el texto original.</w:t>
      </w:r>
    </w:p>
    <w:p>
      <w:pPr>
        <w:pStyle w:val="Heading1"/>
        <w:pageBreakBefore/>
        <w:spacing w:after="90" w:before="220"/>
      </w:pPr>
      <w:r>
        <w:rPr>
          <w:rFonts w:ascii="Cambria" w:cs="Cambria" w:eastAsia="Cambria" w:hAnsi="Cambria"/>
          <w:b/>
          <w:bCs/>
          <w:color w:val="102234"/>
          <w:sz w:val="30"/>
          <w:szCs w:val="30"/>
        </w:rPr>
        <w:t xml:space="preserve">7. Seguridad y acceso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La migración habilita Row Level Security en todas las tablas.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500"/>
      </w:tblGrid>
      <w:tr>
        <w:trPr>
          <w:cantSplit/>
          <w:tblHeader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Rol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102234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Acceso efectivo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anon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Lectura de fuentes activas, organizadores no bloqueados, comunas, categorías y eventos publicados de organizadores permitidos.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authenticated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3F6F7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La misma lectura pública; además puede leer/editar su nombre de perfil, registrar/eliminar sus propias interacciones y crear/ver sus propios reportes.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59A88"/>
                <w:sz w:val="16"/>
                <w:szCs w:val="16"/>
                <w:shd w:fill="E5F3F0" w:val="clear"/>
              </w:rPr>
              <w:t xml:space="preserve">service_role</w:t>
            </w:r>
          </w:p>
        </w:tc>
        <w:tc>
          <w:tcPr>
            <w:tcW w:type="dxa" w:w="6500"/>
            <w:tcBorders>
              <w:top w:val="single" w:color="CCD5DA" w:sz="4"/>
              <w:left w:val="single" w:color="CCD5DA" w:sz="4"/>
              <w:bottom w:val="single" w:color="CCD5DA" w:sz="4"/>
              <w:right w:val="single" w:color="CCD5DA" w:sz="4"/>
            </w:tcBorders>
            <w:shd w:fill="FFFFFF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A33"/>
                <w:sz w:val="17"/>
                <w:szCs w:val="17"/>
              </w:rPr>
              <w:t xml:space="preserve">Acceso completo para el proceso de ingesta. Debe permanecer exclusivamente en backend o CI.</w:t>
            </w:r>
          </w:p>
        </w:tc>
      </w:tr>
    </w:tbl>
    <w:p>
      <w:pPr>
        <w:spacing w:after="110" w:line="300"/>
        <w:jc w:val="both"/>
      </w:pP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scrape_runs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no posee lectura pública. El usuario no puede cambiar su propio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role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ni actualizar el estado de sus reportes desde el frontend.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La vista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public_event_catalog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está disponible para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anon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authenticated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service_role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. Une cada evento con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source_name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organizer_name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; con usuarios públicos hereda las políticas RLS de las tablas y, por tanto, no expone eventos suprimidos ni organizadores bloqueados.</w:t>
      </w:r>
    </w:p>
    <w:p>
      <w:pPr>
        <w:spacing w:after="110" w:line="300"/>
        <w:jc w:val="both"/>
      </w:pP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event_provenance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catalog_staging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scrape_runs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match_existing_events(jsonb)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y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publish_staged_catalog(...)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no se exponen al navegador. Se reservan al proceso de ingesta que opera con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service_role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. La función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is_organizer_blocked(uuid)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puede ejecutarse desde las políticas públicas, pero solo devuelve un booleano y no revela el motivo ni la fecha del bloqueo.</w:t>
      </w:r>
    </w:p>
    <w:p>
      <w:pPr>
        <w:pStyle w:val="Heading1"/>
        <w:pageBreakBefore/>
        <w:spacing w:after="90" w:before="220"/>
      </w:pPr>
      <w:r>
        <w:rPr>
          <w:rFonts w:ascii="Cambria" w:cs="Cambria" w:eastAsia="Cambria" w:hAnsi="Cambria"/>
          <w:b/>
          <w:bCs/>
          <w:color w:val="102234"/>
          <w:sz w:val="30"/>
          <w:szCs w:val="30"/>
        </w:rPr>
        <w:t xml:space="preserve">8. Ciclo de carga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Se recorren todas las fuentes habilitadas.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Los conectores producen objetos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Event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con un esquema común.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El pipeline elimina duplicados y fija un identificador estable.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Se aplican metadatos geográficos estáticos y reglas deterministas.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Supabase identifica coincidencias por URL original o clave título-fecha-lugar y devuelve los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organizadores bloqueados.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Solo los eventos nuevos pasan por OCR, redacción editorial y normalización NVIDIA.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Se filtran regiones y pertinencia cultural, y se genera la ubicación canónica.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Se generan respaldos JSON y CSV.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Se crea una fila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running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en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scrape_runs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Se cargan fragmentos privados en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catalog_staging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Una RPC transaccional publica entidades, eventos, procedencia, relaciones y limpieza.</w:t>
      </w:r>
    </w:p>
    <w:p>
      <w:pPr>
        <w:pStyle w:val="ListParagraph"/>
        <w:numPr>
          <w:ilvl w:val="0"/>
          <w:numId w:val="3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La ejecución se marca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succeeded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o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failed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.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La carga empieza </w:t>
      </w:r>
      <w:r>
        <w:rPr>
          <w:rFonts w:ascii="Arial" w:cs="Arial" w:eastAsia="Arial" w:hAnsi="Arial"/>
          <w:b/>
          <w:bCs/>
          <w:color w:val="1E2A33"/>
          <w:sz w:val="20"/>
          <w:szCs w:val="20"/>
        </w:rPr>
        <w:t xml:space="preserve">después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de finalizar la extracción completa; no se sube un evento inmediatamente después de encontrarlo.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SUPABASE_BATCH_SIZE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controla la cantidad máxima por solicitud REST. Todas las operaciones NVIDIA comparten el límite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NVIDIA_RPM_LIMIT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; con el valor 40 se fuerza un intervalo seguro de al menos 1,55 segundos entre inicios de solicitudes.</w:t>
      </w:r>
    </w:p>
    <w:p>
      <w:pPr>
        <w:pStyle w:val="Heading1"/>
        <w:pageBreakBefore/>
        <w:spacing w:after="90" w:before="220"/>
      </w:pPr>
      <w:r>
        <w:rPr>
          <w:rFonts w:ascii="Cambria" w:cs="Cambria" w:eastAsia="Cambria" w:hAnsi="Cambria"/>
          <w:b/>
          <w:bCs/>
          <w:color w:val="102234"/>
          <w:sz w:val="30"/>
          <w:szCs w:val="30"/>
        </w:rPr>
        <w:t xml:space="preserve">9. Consultas útiles</w:t>
      </w:r>
    </w:p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Próximos eventos publicados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select id, title, start_at, venue, city, region, is_free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from public.events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where status = 'published'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  and (end_at &gt;= now() or (end_at is null and start_at &gt;= now()))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order by start_at nulls last;</w:t>
      </w:r>
    </w:p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Eventos con sus categorías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select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  e.id,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  e.title,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  array_agg(c.name order by c.name) as categories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from public.events 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left join public.event_categories ec on ec.event_id = e.id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left join public.categories c on c.id = ec.category_id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group by e.id, e.title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order by e.title;</w:t>
      </w:r>
    </w:p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Cantidad por fuente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select s.name as source, count(*) as events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from public.events 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join public.sources s on s.id = e.source_id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group by s.id, s.name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order by events desc;</w:t>
      </w:r>
    </w:p>
    <w:p>
      <w:pPr>
        <w:pStyle w:val="Heading2"/>
        <w:spacing w:after="90" w:before="150"/>
      </w:pPr>
      <w:r>
        <w:rPr>
          <w:rFonts w:ascii="Cambria" w:cs="Cambria" w:eastAsia="Cambria" w:hAnsi="Cambria"/>
          <w:b/>
          <w:bCs/>
          <w:color w:val="159A88"/>
          <w:sz w:val="25"/>
          <w:szCs w:val="25"/>
        </w:rPr>
        <w:t xml:space="preserve">Últimas ejecuciones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select started_at, finished_at, status, events_count, error_message, metadata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from public.scrape_runs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order by started_at desc</w:t>
      </w:r>
    </w:p>
    <w:p>
      <w:pPr>
        <w:shd w:fill="EEF1F3" w:val="clear"/>
        <w:spacing w:after="0"/>
        <w:ind w:left="180" w:right="180"/>
      </w:pPr>
      <w:r>
        <w:rPr>
          <w:rFonts w:ascii="Consolas" w:cs="Consolas" w:eastAsia="Consolas" w:hAnsi="Consolas"/>
          <w:color w:val="102234"/>
          <w:sz w:val="16"/>
          <w:szCs w:val="16"/>
        </w:rPr>
        <w:t xml:space="preserve">limit 20;</w:t>
      </w:r>
    </w:p>
    <w:p>
      <w:pPr>
        <w:pStyle w:val="Heading1"/>
        <w:pageBreakBefore/>
        <w:spacing w:after="90" w:before="220"/>
      </w:pPr>
      <w:r>
        <w:rPr>
          <w:rFonts w:ascii="Cambria" w:cs="Cambria" w:eastAsia="Cambria" w:hAnsi="Cambria"/>
          <w:b/>
          <w:bCs/>
          <w:color w:val="102234"/>
          <w:sz w:val="30"/>
          <w:szCs w:val="30"/>
        </w:rPr>
        <w:t xml:space="preserve">10. Limitaciones conocidas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No existe todavía una marca explícita para eventos de día completo.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price_text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no permite comparar precios numéricamente.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Las categorías proceden de varias fuentes y todavía no cuentan con jerarquía o tipo almacenado.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Algunos registros de Chile Cultura parecen corresponder a directorios de lugares o guías, no a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eventos fechados; deben distinguirse en una futura regla de calidad.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Calendar_Month Inscribirse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es una etiqueta inválida conocida.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Cada sincronización elimina físicamente los eventos cuyo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end_at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ya pasó. Cuando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end_at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es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nulo, se utiliza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start_at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; las relaciones dependientes se eliminan en cascada. Los registros sin inicio válido no entran al catálogo.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Con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SUPABASE_RECONCILE_STALE=true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, una fuente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succeeded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o </w:t>
      </w:r>
      <w:r>
        <w:rPr>
          <w:rFonts w:ascii="Consolas" w:cs="Consolas" w:eastAsia="Consolas" w:hAnsi="Consolas"/>
          <w:color w:val="159A88"/>
          <w:sz w:val="18"/>
          <w:szCs w:val="18"/>
          <w:shd w:fill="E5F3F0" w:val="clear"/>
        </w:rPr>
        <w:t xml:space="preserve">complete_empty</w:t>
      </w:r>
      <w:r>
        <w:rPr>
          <w:rFonts w:ascii="Arial" w:cs="Arial" w:eastAsia="Arial" w:hAnsi="Arial"/>
          <w:color w:val="1E2A33"/>
          <w:sz w:val="19"/>
          <w:szCs w:val="19"/>
        </w:rPr>
        <w:t xml:space="preserve"> puede retirar</w:t>
      </w:r>
    </w:p>
    <w:p>
      <w:pPr>
        <w:spacing w:after="110" w:line="300"/>
        <w:jc w:val="both"/>
      </w:pPr>
      <w:r>
        <w:rPr>
          <w:rFonts w:ascii="Arial" w:cs="Arial" w:eastAsia="Arial" w:hAnsi="Arial"/>
          <w:color w:val="1E2A33"/>
          <w:sz w:val="20"/>
          <w:szCs w:val="20"/>
        </w:rPr>
        <w:t xml:space="preserve">registros ausentes. Una fuente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partial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o </w:t>
      </w:r>
      <w:r>
        <w:rPr>
          <w:rFonts w:ascii="Consolas" w:cs="Consolas" w:eastAsia="Consolas" w:hAnsi="Consolas"/>
          <w:color w:val="159A88"/>
          <w:sz w:val="19"/>
          <w:szCs w:val="19"/>
          <w:shd w:fill="E5F3F0" w:val="clear"/>
        </w:rPr>
        <w:t xml:space="preserve">failed</w:t>
      </w:r>
      <w:r>
        <w:rPr>
          <w:rFonts w:ascii="Arial" w:cs="Arial" w:eastAsia="Arial" w:hAnsi="Arial"/>
          <w:color w:val="1E2A33"/>
          <w:sz w:val="20"/>
          <w:szCs w:val="20"/>
        </w:rPr>
        <w:t xml:space="preserve"> nunca autoriza esa limpieza.</w:t>
      </w:r>
    </w:p>
    <w:p>
      <w:pPr>
        <w:pStyle w:val="ListParagraph"/>
        <w:numPr>
          <w:ilvl w:val="0"/>
          <w:numId w:val="2"/>
        </w:numPr>
        <w:spacing w:after="70" w:line="280"/>
      </w:pPr>
      <w:r>
        <w:rPr>
          <w:rFonts w:ascii="Arial" w:cs="Arial" w:eastAsia="Arial" w:hAnsi="Arial"/>
          <w:color w:val="1E2A33"/>
          <w:sz w:val="19"/>
          <w:szCs w:val="19"/>
        </w:rPr>
        <w:t xml:space="preserve">La publicación pública es transaccional; una carga de staging interrumpida no modifica el catálogo.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6737D"/>
        <w:sz w:val="15"/>
        <w:szCs w:val="15"/>
      </w:rPr>
      <w:t xml:space="preserve">Capstone 2026 · Fase 2    </w:t>
    </w:r>
    <w:r>
      <w:rPr>
        <w:rFonts w:ascii="Arial" w:cs="Arial" w:eastAsia="Arial" w:hAnsi="Arial"/>
        <w:color w:val="66737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737D"/>
        <w:sz w:val="15"/>
        <w:szCs w:val="15"/>
      </w:rPr>
      <w:t xml:space="preserve">EVENTO CULTURAL  ·  BASE DE DATOS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A33"/>
        <w:sz w:val="20"/>
        <w:szCs w:val="20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rPr>
      <w:rFonts w:ascii="Cambria" w:cs="Cambria" w:eastAsia="Cambria" w:hAnsi="Cambria"/>
      <w:b/>
      <w:bCs/>
      <w:color w:val="102234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10" w:before="240"/>
      <w:outlineLvl w:val="0"/>
    </w:pPr>
    <w:rPr>
      <w:rFonts w:ascii="Cambria" w:cs="Cambria" w:eastAsia="Cambria" w:hAnsi="Cambria"/>
      <w:b/>
      <w:bCs/>
      <w:color w:val="10223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Cambria" w:cs="Cambria" w:eastAsia="Cambria" w:hAnsi="Cambria"/>
      <w:b/>
      <w:bCs/>
      <w:color w:val="159A8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50"/>
      <w:outlineLvl w:val="2"/>
    </w:pPr>
    <w:rPr>
      <w:rFonts w:ascii="Arial" w:cs="Arial" w:eastAsia="Arial" w:hAnsi="Arial"/>
      <w:b/>
      <w:bCs/>
      <w:color w:val="1E2A33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37edb85c3520109f901feb6a9675d5470d7b4b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 base de datos de eventos culturales</dc:title>
  <dc:creator>Proyecto Evento Cultural</dc:creator>
  <dc:description>Diccionario del esquema vigente de Supabase/PostgreSQL</dc:description>
  <cp:lastModifiedBy>Un-named</cp:lastModifiedBy>
  <cp:revision>1</cp:revision>
  <dcterms:created xsi:type="dcterms:W3CDTF">2026-10-03T04:48:59.871Z</dcterms:created>
  <dcterms:modified xsi:type="dcterms:W3CDTF">2026-10-03T04:48:59.873Z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