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Calibri" w:hAnsi="Calibri"/>
          <w:b/>
          <w:color w:val="B8871B"/>
          <w:sz w:val="21"/>
        </w:rPr>
        <w:t>DOCUMENTACIÓN TÉCNICA</w:t>
      </w:r>
    </w:p>
    <w:p>
      <w:pPr>
        <w:pStyle w:val="Title"/>
        <w:jc w:val="center"/>
      </w:pPr>
      <w:r>
        <w:t>Base de datos de</w:t>
        <w:br/>
        <w:t>eventos culturales</w:t>
      </w:r>
    </w:p>
    <w:p>
      <w:pPr>
        <w:pStyle w:val="Subtitle"/>
        <w:jc w:val="center"/>
      </w:pPr>
      <w:r>
        <w:t>Diccionario de tablas, columnas, relaciones y categorías</w:t>
      </w:r>
    </w:p>
    <w:p>
      <w:pPr>
        <w:spacing w:before="360" w:after="1040"/>
        <w:pBdr>
          <w:bottom w:val="single" w:sz="10" w:space="1" w:color="2E74B5"/>
        </w:pBdr>
      </w:pPr>
    </w:p>
    <w:p>
      <w:pPr>
        <w:spacing w:after="100"/>
        <w:jc w:val="center"/>
      </w:pPr>
      <w:r>
        <w:rPr>
          <w:rFonts w:ascii="Calibri" w:hAnsi="Calibri"/>
          <w:b/>
          <w:color w:val="17324D"/>
          <w:sz w:val="22"/>
        </w:rPr>
        <w:t>MVP · Agregador de eventos culturales de Chile</w:t>
      </w:r>
    </w:p>
    <w:p>
      <w:pPr>
        <w:spacing w:after="100"/>
        <w:jc w:val="center"/>
      </w:pPr>
      <w:r>
        <w:t>Versión documentada: 21 de septiembre de 2026</w:t>
      </w:r>
    </w:p>
    <w:p>
      <w:pPr/>
      <w:r>
        <w:t>Migraciones de referencia: 20260831000100, 20260902000100, 20260911000100 y 20260912000100.</w:t>
      </w:r>
    </w:p>
    <w:p>
      <w:pPr>
        <w:jc w:val="center"/>
      </w:pPr>
      <w:r>
        <w:rPr>
          <w:rFonts w:ascii="Calibri" w:hAnsi="Calibri"/>
          <w:i/>
          <w:color w:val="5E6B78"/>
          <w:sz w:val="21"/>
        </w:rPr>
        <w:t>Documento de uso personal</w:t>
      </w:r>
    </w:p>
    <w:p>
      <w:r>
        <w:br w:type="page"/>
      </w:r>
    </w:p>
    <w:p>
      <w:pPr>
        <w:pStyle w:val="Heading1"/>
      </w:pPr>
      <w:r>
        <w:t>Contenido</w:t>
      </w:r>
    </w:p>
    <w:p>
      <w:pPr>
        <w:spacing w:after="240"/>
      </w:pPr>
      <w:r>
        <w:t>Guía de consulta rápida del esquema y su operación.</w:t>
      </w:r>
    </w:p>
    <w:p>
      <w:pPr>
        <w:spacing w:after="100"/>
        <w:ind w:left="216"/>
      </w:pPr>
      <w:r>
        <w:rPr>
          <w:rFonts w:ascii="Calibri" w:hAnsi="Calibri"/>
          <w:b/>
          <w:color w:val="B8871B"/>
          <w:sz w:val="19"/>
        </w:rPr>
        <w:t>01</w:t>
      </w:r>
      <w:r>
        <w:rPr>
          <w:rFonts w:ascii="Calibri" w:hAnsi="Calibri"/>
          <w:b/>
          <w:color w:val="17324D"/>
          <w:sz w:val="22"/>
        </w:rPr>
        <w:t xml:space="preserve">   Vista general</w:t>
      </w:r>
    </w:p>
    <w:p>
      <w:pPr>
        <w:spacing w:after="100"/>
        <w:ind w:left="216"/>
      </w:pPr>
      <w:r>
        <w:rPr>
          <w:rFonts w:ascii="Calibri" w:hAnsi="Calibri"/>
          <w:b/>
          <w:color w:val="B8871B"/>
          <w:sz w:val="19"/>
        </w:rPr>
        <w:t>02</w:t>
      </w:r>
      <w:r>
        <w:rPr>
          <w:rFonts w:ascii="Calibri" w:hAnsi="Calibri"/>
          <w:b/>
          <w:color w:val="17324D"/>
          <w:sz w:val="22"/>
        </w:rPr>
        <w:t xml:space="preserve">   Convenciones generales</w:t>
      </w:r>
    </w:p>
    <w:p>
      <w:pPr>
        <w:spacing w:after="100"/>
        <w:ind w:left="216"/>
      </w:pPr>
      <w:r>
        <w:rPr>
          <w:rFonts w:ascii="Calibri" w:hAnsi="Calibri"/>
          <w:b/>
          <w:color w:val="B8871B"/>
          <w:sz w:val="19"/>
        </w:rPr>
        <w:t>03</w:t>
      </w:r>
      <w:r>
        <w:rPr>
          <w:rFonts w:ascii="Calibri" w:hAnsi="Calibri"/>
          <w:b/>
          <w:color w:val="17324D"/>
          <w:sz w:val="22"/>
        </w:rPr>
        <w:t xml:space="preserve">   Diccionario de tablas y columnas</w:t>
      </w:r>
    </w:p>
    <w:p>
      <w:pPr>
        <w:spacing w:after="100"/>
        <w:ind w:left="216"/>
      </w:pPr>
      <w:r>
        <w:rPr>
          <w:rFonts w:ascii="Calibri" w:hAnsi="Calibri"/>
          <w:b/>
          <w:color w:val="B8871B"/>
          <w:sz w:val="19"/>
        </w:rPr>
        <w:t>04</w:t>
      </w:r>
      <w:r>
        <w:rPr>
          <w:rFonts w:ascii="Calibri" w:hAnsi="Calibri"/>
          <w:b/>
          <w:color w:val="17324D"/>
          <w:sz w:val="22"/>
        </w:rPr>
        <w:t xml:space="preserve">   Índices y reglas de integridad</w:t>
      </w:r>
    </w:p>
    <w:p>
      <w:pPr>
        <w:spacing w:after="100"/>
        <w:ind w:left="216"/>
      </w:pPr>
      <w:r>
        <w:rPr>
          <w:rFonts w:ascii="Calibri" w:hAnsi="Calibri"/>
          <w:b/>
          <w:color w:val="B8871B"/>
          <w:sz w:val="19"/>
        </w:rPr>
        <w:t>05</w:t>
      </w:r>
      <w:r>
        <w:rPr>
          <w:rFonts w:ascii="Calibri" w:hAnsi="Calibri"/>
          <w:b/>
          <w:color w:val="17324D"/>
          <w:sz w:val="22"/>
        </w:rPr>
        <w:t xml:space="preserve">   Diccionario de categorías observadas</w:t>
      </w:r>
    </w:p>
    <w:p>
      <w:pPr>
        <w:spacing w:after="100"/>
        <w:ind w:left="216"/>
      </w:pPr>
      <w:r>
        <w:rPr>
          <w:rFonts w:ascii="Calibri" w:hAnsi="Calibri"/>
          <w:b/>
          <w:color w:val="B8871B"/>
          <w:sz w:val="19"/>
        </w:rPr>
        <w:t>06</w:t>
      </w:r>
      <w:r>
        <w:rPr>
          <w:rFonts w:ascii="Calibri" w:hAnsi="Calibri"/>
          <w:b/>
          <w:color w:val="17324D"/>
          <w:sz w:val="22"/>
        </w:rPr>
        <w:t xml:space="preserve">   Recomendación de taxonomía</w:t>
      </w:r>
    </w:p>
    <w:p>
      <w:pPr>
        <w:spacing w:after="100"/>
        <w:ind w:left="216"/>
      </w:pPr>
      <w:r>
        <w:rPr>
          <w:rFonts w:ascii="Calibri" w:hAnsi="Calibri"/>
          <w:b/>
          <w:color w:val="B8871B"/>
          <w:sz w:val="19"/>
        </w:rPr>
        <w:t>07</w:t>
      </w:r>
      <w:r>
        <w:rPr>
          <w:rFonts w:ascii="Calibri" w:hAnsi="Calibri"/>
          <w:b/>
          <w:color w:val="17324D"/>
          <w:sz w:val="22"/>
        </w:rPr>
        <w:t xml:space="preserve">   Seguridad y acceso</w:t>
      </w:r>
    </w:p>
    <w:p>
      <w:pPr>
        <w:spacing w:after="100"/>
        <w:ind w:left="216"/>
      </w:pPr>
      <w:r>
        <w:rPr>
          <w:rFonts w:ascii="Calibri" w:hAnsi="Calibri"/>
          <w:b/>
          <w:color w:val="B8871B"/>
          <w:sz w:val="19"/>
        </w:rPr>
        <w:t>08</w:t>
      </w:r>
      <w:r>
        <w:rPr>
          <w:rFonts w:ascii="Calibri" w:hAnsi="Calibri"/>
          <w:b/>
          <w:color w:val="17324D"/>
          <w:sz w:val="22"/>
        </w:rPr>
        <w:t xml:space="preserve">   Ciclo de carga</w:t>
      </w:r>
    </w:p>
    <w:p>
      <w:pPr>
        <w:spacing w:after="100"/>
        <w:ind w:left="216"/>
      </w:pPr>
      <w:r>
        <w:rPr>
          <w:rFonts w:ascii="Calibri" w:hAnsi="Calibri"/>
          <w:b/>
          <w:color w:val="B8871B"/>
          <w:sz w:val="19"/>
        </w:rPr>
        <w:t>09</w:t>
      </w:r>
      <w:r>
        <w:rPr>
          <w:rFonts w:ascii="Calibri" w:hAnsi="Calibri"/>
          <w:b/>
          <w:color w:val="17324D"/>
          <w:sz w:val="22"/>
        </w:rPr>
        <w:t xml:space="preserve">   Consultas útiles</w:t>
      </w:r>
    </w:p>
    <w:p>
      <w:pPr>
        <w:spacing w:after="100"/>
        <w:ind w:left="216"/>
      </w:pPr>
      <w:r>
        <w:rPr>
          <w:rFonts w:ascii="Calibri" w:hAnsi="Calibri"/>
          <w:b/>
          <w:color w:val="B8871B"/>
          <w:sz w:val="19"/>
        </w:rPr>
        <w:t>10</w:t>
      </w:r>
      <w:r>
        <w:rPr>
          <w:rFonts w:ascii="Calibri" w:hAnsi="Calibri"/>
          <w:b/>
          <w:color w:val="17324D"/>
          <w:sz w:val="22"/>
        </w:rPr>
        <w:t xml:space="preserve">   Limitaciones conocidas</w:t>
      </w:r>
    </w:p>
    <w:p>
      <w:pPr>
        <w:spacing w:before="240" w:after="0"/>
        <w:ind w:left="173" w:right="173"/>
        <w:shd w:fill="F4F6F9"/>
      </w:pPr>
      <w:r>
        <w:rPr>
          <w:rFonts w:ascii="Calibri" w:hAnsi="Calibri"/>
        </w:rPr>
        <w:t>Nota: las categorías son dinámicas y la sección 5 representa una fotografía del conjunto local al 1 de septiembre de 2026.</w:t>
      </w:r>
    </w:p>
    <w:p>
      <w:r>
        <w:br w:type="page"/>
      </w:r>
    </w:p>
    <w:p>
      <w:r>
        <w:rPr>
          <w:rFonts w:ascii="Calibri" w:hAnsi="Calibri"/>
        </w:rPr>
        <w:t>Este documento describe la base de datos del MVP, el significado de sus tablas y columnas,</w:t>
      </w:r>
    </w:p>
    <w:p>
      <w:r>
        <w:rPr>
          <w:rFonts w:ascii="Calibri" w:hAnsi="Calibri"/>
        </w:rPr>
        <w:t>las relaciones, las políticas de acceso y la taxonomía observada. El boceto visual original se</w:t>
      </w:r>
    </w:p>
    <w:p>
      <w:r>
        <w:rPr>
          <w:rFonts w:ascii="Calibri" w:hAnsi="Calibri"/>
        </w:rPr>
        <w:t>utilizó solamente como referencia relacional; los campos de esta base provienen del modelo real</w:t>
      </w:r>
    </w:p>
    <w:p>
      <w:r>
        <w:rPr>
          <w:rFonts w:ascii="Consolas" w:hAnsi="Consolas"/>
          <w:color w:val="1F4D78"/>
          <w:sz w:val="19"/>
          <w:shd w:fill="EEF2F6"/>
        </w:rPr>
        <w:t>Event</w:t>
      </w:r>
      <w:r>
        <w:rPr>
          <w:rFonts w:ascii="Calibri" w:hAnsi="Calibri"/>
        </w:rPr>
        <w:t xml:space="preserve"> y de las necesidades operativas del recolector.</w:t>
      </w:r>
    </w:p>
    <w:p>
      <w:pPr>
        <w:pStyle w:val="Heading1"/>
      </w:pPr>
      <w:r>
        <w:t>1. Vista general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143250"/>
            <wp:docPr id="1" name="Picture 1" descr="Diagrama de relaciones entre fuentes, organizadores, comunas, eventos, categorías, multimedia y tablas futura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ase_relationshi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E6B78"/>
          <w:sz w:val="18"/>
        </w:rPr>
        <w:t>Figura 1. Relaciones principales del esquema de datos.</w:t>
      </w:r>
    </w:p>
    <w:p>
      <w:pPr/>
      <w:r>
        <w:t>La relación EVENTS → EVENT_PROVENANCE conserva evidencia privada de cada evento.</w:t>
      </w:r>
    </w:p>
    <w:p>
      <w:r>
        <w:rPr>
          <w:rFonts w:ascii="Consolas" w:hAnsi="Consolas"/>
          <w:color w:val="1F4D78"/>
          <w:sz w:val="19"/>
          <w:shd w:fill="EEF2F6"/>
        </w:rPr>
        <w:t>scrape_runs</w:t>
      </w:r>
      <w:r>
        <w:rPr>
          <w:rFonts w:ascii="Calibri" w:hAnsi="Calibri"/>
        </w:rPr>
        <w:t xml:space="preserve"> registra la salud de cada sincronización y no necesita una clave foránea hacia</w:t>
      </w:r>
    </w:p>
    <w:p>
      <w:r>
        <w:rPr>
          <w:rFonts w:ascii="Calibri" w:hAnsi="Calibri"/>
        </w:rPr>
        <w:t>los eventos. Una ejecución puede descubrir cientos de eventos, pero los eventos permanecen</w:t>
      </w:r>
    </w:p>
    <w:p>
      <w:r>
        <w:rPr>
          <w:rFonts w:ascii="Calibri" w:hAnsi="Calibri"/>
        </w:rPr>
        <w:t>vigentes entre ejecuciones mediante sus identificadores deterministas.</w:t>
      </w:r>
    </w:p>
    <w:p>
      <w:pPr>
        <w:pStyle w:val="Heading2"/>
      </w:pPr>
      <w:r>
        <w:t>Tablas de ingesta y catálogo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Tabla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Finalidad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sources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Agenda, municipalidad, ticketera o sitio desde el que se obtuvo la información.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organizers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Institución o entidad responsable de organizar el evento.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communes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Ubicación administrativa normalizada del evento.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categories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Etiquetas temáticas, de formato, audiencia o procedencia.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events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Registro canónico de cada evento consolidado.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event_categories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Relación muchos-a-muchos entre eventos y categorías.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media_assets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Imágenes y futuros videos, audios o documentos asociados.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scrape_runs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Bitácora técnica de ejecuciones locales y de GitHub Actions.</w:t>
            </w:r>
          </w:p>
        </w:tc>
      </w:tr>
      <w:tr>
        <w:tc>
          <w:tcPr>
            <w:tcW w:type="dxa" w:w="2700"/>
          </w:tcPr>
          <w:p>
            <w:r>
              <w:t>event_provenance</w:t>
            </w:r>
          </w:p>
        </w:tc>
        <w:tc>
          <w:tcPr>
            <w:tcW w:type="dxa" w:w="6660"/>
          </w:tcPr>
          <w:p>
            <w:r>
              <w:t>Evidencia privada: texto original, OCR y URL canónica.</w:t>
            </w:r>
          </w:p>
        </w:tc>
      </w:tr>
    </w:tbl>
    <w:p>
      <w:pPr>
        <w:spacing w:after="40"/>
      </w:pPr>
    </w:p>
    <w:p>
      <w:pPr>
        <w:pStyle w:val="Heading2"/>
      </w:pPr>
      <w:r>
        <w:t>Tablas previstas para la aplicación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Tabla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Finalidad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profiles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Perfil público mínimo asociado a Supabase Auth.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favorites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Eventos guardados por una persona autenticada.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reports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Avisos de usuarios sobre información incorrecta o problemática.</w:t>
            </w:r>
          </w:p>
        </w:tc>
      </w:tr>
    </w:tbl>
    <w:p>
      <w:pPr>
        <w:spacing w:after="40"/>
      </w:pPr>
    </w:p>
    <w:p>
      <w:pPr>
        <w:pStyle w:val="Heading1"/>
      </w:pPr>
      <w:r>
        <w:t>2. Convenciones generales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 xml:space="preserve">Todos los nombres usan </w:t>
      </w:r>
      <w:r>
        <w:rPr>
          <w:rFonts w:ascii="Consolas" w:hAnsi="Consolas"/>
          <w:color w:val="1F4D78"/>
          <w:sz w:val="19"/>
          <w:shd w:fill="EEF2F6"/>
        </w:rPr>
        <w:t>snake_case</w:t>
      </w:r>
      <w:r>
        <w:rPr>
          <w:rFonts w:ascii="Calibri" w:hAnsi="Calibri"/>
        </w:rPr>
        <w:t>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Las claves primarias son UUID. El scraper produce UUID v5 deterministas para el catálogo;</w:t>
      </w:r>
    </w:p>
    <w:p>
      <w:r>
        <w:rPr>
          <w:rFonts w:ascii="Calibri" w:hAnsi="Calibri"/>
        </w:rPr>
        <w:t xml:space="preserve">repetir una extracción actualiza las mismas filas mediante </w:t>
      </w:r>
      <w:r>
        <w:rPr>
          <w:rFonts w:ascii="Consolas" w:hAnsi="Consolas"/>
          <w:color w:val="1F4D78"/>
          <w:sz w:val="19"/>
          <w:shd w:fill="EEF2F6"/>
        </w:rPr>
        <w:t>upsert</w:t>
      </w:r>
      <w:r>
        <w:rPr>
          <w:rFonts w:ascii="Calibri" w:hAnsi="Calibri"/>
        </w:rPr>
        <w:t>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timestamptz</w:t>
      </w:r>
      <w:r>
        <w:rPr>
          <w:rFonts w:ascii="Calibri" w:hAnsi="Calibri"/>
        </w:rPr>
        <w:t xml:space="preserve"> representa fecha y hora con zona horaria. Supabase la almacena internamente de</w:t>
      </w:r>
    </w:p>
    <w:p>
      <w:r>
        <w:rPr>
          <w:rFonts w:ascii="Calibri" w:hAnsi="Calibri"/>
        </w:rPr>
        <w:t xml:space="preserve">forma normalizada y el cliente debe presentarla en </w:t>
      </w:r>
      <w:r>
        <w:rPr>
          <w:rFonts w:ascii="Consolas" w:hAnsi="Consolas"/>
          <w:color w:val="1F4D78"/>
          <w:sz w:val="19"/>
          <w:shd w:fill="EEF2F6"/>
        </w:rPr>
        <w:t>America/Santiago</w:t>
      </w:r>
      <w:r>
        <w:rPr>
          <w:rFonts w:ascii="Calibri" w:hAnsi="Calibri"/>
        </w:rPr>
        <w:t xml:space="preserve"> cuando corresponda.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 xml:space="preserve">Un valor </w:t>
      </w:r>
      <w:r>
        <w:rPr>
          <w:rFonts w:ascii="Consolas" w:hAnsi="Consolas"/>
          <w:color w:val="1F4D78"/>
          <w:sz w:val="19"/>
          <w:shd w:fill="EEF2F6"/>
        </w:rPr>
        <w:t>null</w:t>
      </w:r>
      <w:r>
        <w:rPr>
          <w:rFonts w:ascii="Calibri" w:hAnsi="Calibri"/>
        </w:rPr>
        <w:t xml:space="preserve"> significa que la fuente no entregó el dato o que no pudo validarse. No debe</w:t>
      </w:r>
    </w:p>
    <w:p>
      <w:r>
        <w:rPr>
          <w:rFonts w:ascii="Calibri" w:hAnsi="Calibri"/>
        </w:rPr>
        <w:t xml:space="preserve">interpretarse como una cadena vacía ni como </w:t>
      </w:r>
      <w:r>
        <w:rPr>
          <w:rFonts w:ascii="Consolas" w:hAnsi="Consolas"/>
          <w:color w:val="1F4D78"/>
          <w:sz w:val="19"/>
          <w:shd w:fill="EEF2F6"/>
        </w:rPr>
        <w:t>false</w:t>
      </w:r>
      <w:r>
        <w:rPr>
          <w:rFonts w:ascii="Calibri" w:hAnsi="Calibri"/>
        </w:rPr>
        <w:t>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created_at</w:t>
      </w:r>
      <w:r>
        <w:rPr>
          <w:rFonts w:ascii="Calibri" w:hAnsi="Calibri"/>
        </w:rPr>
        <w:t xml:space="preserve"> indica cuándo nació la fila; </w:t>
      </w:r>
      <w:r>
        <w:rPr>
          <w:rFonts w:ascii="Consolas" w:hAnsi="Consolas"/>
          <w:color w:val="1F4D78"/>
          <w:sz w:val="19"/>
          <w:shd w:fill="EEF2F6"/>
        </w:rPr>
        <w:t>updated_at</w:t>
      </w:r>
      <w:r>
        <w:rPr>
          <w:rFonts w:ascii="Calibri" w:hAnsi="Calibri"/>
        </w:rPr>
        <w:t>, su última modificación;</w:t>
      </w:r>
    </w:p>
    <w:p>
      <w:r>
        <w:rPr>
          <w:rFonts w:ascii="Consolas" w:hAnsi="Consolas"/>
          <w:color w:val="1F4D78"/>
          <w:sz w:val="19"/>
          <w:shd w:fill="EEF2F6"/>
        </w:rPr>
        <w:t>last_seen_at</w:t>
      </w:r>
      <w:r>
        <w:rPr>
          <w:rFonts w:ascii="Calibri" w:hAnsi="Calibri"/>
        </w:rPr>
        <w:t>, la última extracción en que el registro volvió a encontrarse.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 xml:space="preserve">Las fechas textuales no interpretables, como “por confirmar”, se convierten a </w:t>
      </w:r>
      <w:r>
        <w:rPr>
          <w:rFonts w:ascii="Consolas" w:hAnsi="Consolas"/>
          <w:color w:val="1F4D78"/>
          <w:sz w:val="19"/>
          <w:shd w:fill="EEF2F6"/>
        </w:rPr>
        <w:t>null</w:t>
      </w:r>
      <w:r>
        <w:rPr>
          <w:rFonts w:ascii="Calibri" w:hAnsi="Calibri"/>
        </w:rPr>
        <w:t xml:space="preserve"> antes de</w:t>
      </w:r>
    </w:p>
    <w:p>
      <w:r>
        <w:rPr>
          <w:rFonts w:ascii="Calibri" w:hAnsi="Calibri"/>
        </w:rPr>
        <w:t>llamar a Supabase. Si solo se conoce una fecha sin hora, PostgreSQL la recibe a medianoche;</w:t>
      </w:r>
    </w:p>
    <w:p>
      <w:r>
        <w:rPr>
          <w:rFonts w:ascii="Calibri" w:hAnsi="Calibri"/>
        </w:rPr>
        <w:t xml:space="preserve">la versión actual todavía no posee un campo </w:t>
      </w:r>
      <w:r>
        <w:rPr>
          <w:rFonts w:ascii="Consolas" w:hAnsi="Consolas"/>
          <w:color w:val="1F4D78"/>
          <w:sz w:val="19"/>
          <w:shd w:fill="EEF2F6"/>
        </w:rPr>
        <w:t>is_all_day</w:t>
      </w:r>
      <w:r>
        <w:rPr>
          <w:rFonts w:ascii="Calibri" w:hAnsi="Calibri"/>
        </w:rPr>
        <w:t xml:space="preserve"> para distinguir esos casos.</w:t>
      </w:r>
    </w:p>
    <w:p>
      <w:pPr/>
      <w:r>
        <w:t>location siempre contiene una etiqueta utilizable. location_precision evita confundir una región de respaldo con una dirección exacta y location_source registra cómo se obtuvo.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La clave secreta de Supabase se utiliza únicamente en el scraper o en CI. Nunca pertenece al</w:t>
      </w:r>
    </w:p>
    <w:p>
      <w:r>
        <w:rPr>
          <w:rFonts w:ascii="Calibri" w:hAnsi="Calibri"/>
        </w:rPr>
        <w:t>navegador, al frontend, al repositorio ni a los logs.</w:t>
      </w:r>
    </w:p>
    <w:p>
      <w:pPr>
        <w:pStyle w:val="Heading1"/>
      </w:pPr>
      <w:r>
        <w:t>3. Diccionario de tablas y columnas</w:t>
      </w:r>
    </w:p>
    <w:p>
      <w:pPr>
        <w:pStyle w:val="Heading2"/>
      </w:pPr>
      <w:r>
        <w:t>`sources`</w:t>
      </w:r>
    </w:p>
    <w:p>
      <w:r>
        <w:rPr>
          <w:rFonts w:ascii="Calibri" w:hAnsi="Calibri"/>
        </w:rPr>
        <w:t>Catálogo de fuentes. Un registro representa el sitio o agenda de procedencia, no una página de</w:t>
      </w:r>
    </w:p>
    <w:p>
      <w:r>
        <w:rPr>
          <w:rFonts w:ascii="Calibri" w:hAnsi="Calibri"/>
        </w:rPr>
        <w:t>detalle individual.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PK, 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UUID determinista derivado del nombre normalizado de la fuente.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name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Obligatorio, único sin distinguir mayúsculas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Nombre legible, por ejemplo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Chile Cultura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website_url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Origen web principal, normalmente protocolo y dominio.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is_active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boolean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true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Indica si la fuente se considera activa para lectura pública. No activa ni desactiva el conector local.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last_seen_at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Última carga en que la fuente aportó al menos un evento.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created_at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Momento de creación de la fila.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updated_at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Última actualización; mantenida por trigger.</w:t>
            </w:r>
          </w:p>
        </w:tc>
      </w:tr>
    </w:tbl>
    <w:p>
      <w:pPr>
        <w:spacing w:after="40"/>
      </w:pPr>
    </w:p>
    <w:p>
      <w:pPr>
        <w:pStyle w:val="Heading2"/>
      </w:pPr>
      <w:r>
        <w:t>`organizers`</w:t>
      </w:r>
    </w:p>
    <w:p>
      <w:r>
        <w:rPr>
          <w:rFonts w:ascii="Calibri" w:hAnsi="Calibri"/>
        </w:rPr>
        <w:t>Entidades que producen, convocan o gestionan eventos. Puede tratarse de una municipalidad,</w:t>
      </w:r>
    </w:p>
    <w:p>
      <w:r>
        <w:rPr>
          <w:rFonts w:ascii="Calibri" w:hAnsi="Calibri"/>
        </w:rPr>
        <w:t>corporación cultural, universidad, museo, productora u otra organización.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PK, 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UUID determinista derivado del nombre normalizado.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name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Obligatorio, único sin distinguir mayúsculas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Nombre publicado por la fuente.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entity_type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Clasificación futura, por ejemplo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municipality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university</w:t>
            </w:r>
            <w:r>
              <w:rPr>
                <w:rFonts w:ascii="Calibri" w:hAnsi="Calibri"/>
                <w:sz w:val="18"/>
              </w:rPr>
              <w:t xml:space="preserve"> 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producer</w:t>
            </w:r>
            <w:r>
              <w:rPr>
                <w:rFonts w:ascii="Calibri" w:hAnsi="Calibri"/>
                <w:sz w:val="18"/>
              </w:rPr>
              <w:t xml:space="preserve">; el scraper actual envía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null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last_seen_at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Última ejecución en que apareció la organización.</w:t>
            </w:r>
          </w:p>
        </w:tc>
      </w:tr>
      <w:tr>
        <w:tc>
          <w:tcPr>
            <w:tcW w:type="dxa" w:w="1800"/>
          </w:tcPr>
          <w:p>
            <w:r>
              <w:t>blocked_at</w:t>
            </w:r>
          </w:p>
        </w:tc>
        <w:tc>
          <w:tcPr>
            <w:tcW w:type="dxa" w:w="1400"/>
          </w:tcPr>
          <w:p>
            <w:r>
              <w:t>timestamptz</w:t>
            </w:r>
          </w:p>
        </w:tc>
        <w:tc>
          <w:tcPr>
            <w:tcW w:type="dxa" w:w="1800"/>
          </w:tcPr>
          <w:p>
            <w:r>
              <w:t>Opcional</w:t>
            </w:r>
          </w:p>
        </w:tc>
        <w:tc>
          <w:tcPr>
            <w:tcW w:type="dxa" w:w="4360"/>
          </w:tcPr>
          <w:p>
            <w:r>
              <w:t>Momento en que se aplicó el bloqueo.</w:t>
            </w:r>
          </w:p>
        </w:tc>
      </w:tr>
      <w:tr>
        <w:tc>
          <w:tcPr>
            <w:tcW w:type="dxa" w:w="1800"/>
          </w:tcPr>
          <w:p>
            <w:r>
              <w:t>blocked_reason</w:t>
            </w:r>
          </w:p>
        </w:tc>
        <w:tc>
          <w:tcPr>
            <w:tcW w:type="dxa" w:w="1400"/>
          </w:tcPr>
          <w:p>
            <w:r>
              <w:t>text</w:t>
            </w:r>
          </w:p>
        </w:tc>
        <w:tc>
          <w:tcPr>
            <w:tcW w:type="dxa" w:w="1800"/>
          </w:tcPr>
          <w:p>
            <w:r>
              <w:t>Opcional</w:t>
            </w:r>
          </w:p>
        </w:tc>
        <w:tc>
          <w:tcPr>
            <w:tcW w:type="dxa" w:w="4360"/>
          </w:tcPr>
          <w:p>
            <w:r>
              <w:t>Motivo administrativo de la exclusión.</w:t>
            </w:r>
          </w:p>
        </w:tc>
      </w:tr>
      <w:tr>
        <w:tc>
          <w:tcPr>
            <w:tcW w:type="dxa" w:w="1800"/>
          </w:tcPr>
          <w:p>
            <w:r>
              <w:t>is_blocked</w:t>
            </w:r>
          </w:p>
        </w:tc>
        <w:tc>
          <w:tcPr>
            <w:tcW w:type="dxa" w:w="1400"/>
          </w:tcPr>
          <w:p>
            <w:r>
              <w:t>boolean</w:t>
            </w:r>
          </w:p>
        </w:tc>
        <w:tc>
          <w:tcPr>
            <w:tcW w:type="dxa" w:w="1800"/>
          </w:tcPr>
          <w:p>
            <w:r>
              <w:t>false por defecto</w:t>
            </w:r>
          </w:p>
        </w:tc>
        <w:tc>
          <w:tcPr>
            <w:tcW w:type="dxa" w:w="4360"/>
          </w:tcPr>
          <w:p>
            <w:r>
              <w:t>Si es true, el organizador y todos sus eventos dejan de ser visibles y de procesarse con IA.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created_at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Momento de creación.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updated_at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Última modificación.</w:t>
            </w:r>
          </w:p>
        </w:tc>
      </w:tr>
    </w:tbl>
    <w:p>
      <w:pPr>
        <w:spacing w:after="40"/>
      </w:pPr>
    </w:p>
    <w:p>
      <w:pPr>
        <w:pStyle w:val="Heading2"/>
      </w:pPr>
      <w:r>
        <w:t>`communes`</w:t>
      </w:r>
    </w:p>
    <w:p>
      <w:r>
        <w:rPr>
          <w:rFonts w:ascii="Calibri" w:hAnsi="Calibri"/>
        </w:rPr>
        <w:t>Catálogo territorial. Su identidad combina país, región y comuna para evitar ambigüedades.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PK, 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UUID determinista de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país + región + comuna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name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Nombre de la comuna, por ejemplo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Santiago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region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Región administrativa informada o inferida por el conector.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country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Obligatorio,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Chile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País de la comuna.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created_at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Momento de creación.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updated_at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Última modificación.</w:t>
            </w:r>
          </w:p>
        </w:tc>
      </w:tr>
    </w:tbl>
    <w:p>
      <w:pPr>
        <w:spacing w:after="40"/>
      </w:pPr>
    </w:p>
    <w:p>
      <w:pPr>
        <w:pStyle w:val="Heading2"/>
      </w:pPr>
      <w:r>
        <w:t>`categories`</w:t>
      </w:r>
    </w:p>
    <w:p>
      <w:r>
        <w:rPr>
          <w:rFonts w:ascii="Calibri" w:hAnsi="Calibri"/>
        </w:rPr>
        <w:t>Catálogo dinámico de etiquetas. La tabla no limita las categorías a una lista cerrada porque cada</w:t>
      </w:r>
    </w:p>
    <w:p>
      <w:r>
        <w:rPr>
          <w:rFonts w:ascii="Calibri" w:hAnsi="Calibri"/>
        </w:rPr>
        <w:t>fuente puede incorporar nuevas taxonomías. El significado de las etiquetas observadas se detalla</w:t>
      </w:r>
    </w:p>
    <w:p>
      <w:r>
        <w:rPr>
          <w:rFonts w:ascii="Calibri" w:hAnsi="Calibri"/>
        </w:rPr>
        <w:t>en la sección 5.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PK, 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UUID determinista del nombre normalizado; evita duplicados por mayúsculas o acentos.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name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Obligatorio, único sin distinguir mayúsculas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Etiqueta conservada para visualización.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created_at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Primera aparición de la categoría.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updated_at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Última modificación de su nombre.</w:t>
            </w:r>
          </w:p>
        </w:tc>
      </w:tr>
    </w:tbl>
    <w:p>
      <w:pPr>
        <w:spacing w:after="40"/>
      </w:pPr>
    </w:p>
    <w:p>
      <w:pPr>
        <w:pStyle w:val="Heading2"/>
      </w:pPr>
      <w:r>
        <w:t>`events`</w:t>
      </w:r>
    </w:p>
    <w:p>
      <w:r>
        <w:rPr>
          <w:rFonts w:ascii="Calibri" w:hAnsi="Calibri"/>
        </w:rPr>
        <w:t>Tabla central. Una fila es la representación consolidada de un evento luego de extraer, filtrar</w:t>
      </w:r>
    </w:p>
    <w:p>
      <w:r>
        <w:rPr>
          <w:rFonts w:ascii="Calibri" w:hAnsi="Calibri"/>
        </w:rPr>
        <w:t>por región y deduplicar todas las fuentes.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 y origen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PK, 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UUID v5 derivado de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external_key</w:t>
            </w:r>
            <w:r>
              <w:rPr>
                <w:rFonts w:ascii="Calibri" w:hAnsi="Calibri"/>
                <w:sz w:val="18"/>
              </w:rPr>
              <w:t>; estable entre ejecuciones.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external_key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Obligatorio, único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Identificador canónico de deduplicación. Normalmente es la huella de título, fecha, recinto y comuna.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source_id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FK obligatoria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sources.id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Fuente que aportó el registro conservado.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organizer_id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FK opcional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organizers.id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Organizador normalizado; queda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null</w:t>
            </w:r>
            <w:r>
              <w:rPr>
                <w:rFonts w:ascii="Calibri" w:hAnsi="Calibri"/>
                <w:sz w:val="18"/>
              </w:rPr>
              <w:t xml:space="preserve"> si no se publicó.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commune_id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FK opcional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communes.id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Comuna normalizada; queda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null</w:t>
            </w:r>
            <w:r>
              <w:rPr>
                <w:rFonts w:ascii="Calibri" w:hAnsi="Calibri"/>
                <w:sz w:val="18"/>
              </w:rPr>
              <w:t xml:space="preserve"> si no pudo determinarse.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title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Nombre público del evento. Los registros sin título se descartan antes de cargar.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start_at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Inicio del evento. Una fecha inválida se convierte a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null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end_at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Término del evento; puede coincidir con el inicio o ser desconocido.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venue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Nombre del recinto, sala, parque, viña o espacio virtual.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address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Dirección textual publicada por la fuente.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city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Ciudad o localidad; no sustituye la comuna administrativa.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region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Copia denormalizada de la región para filtros rápidos.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country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Obligatorio,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Chile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País del evento.</w:t>
            </w:r>
          </w:p>
        </w:tc>
      </w:tr>
      <w:tr>
        <w:tc>
          <w:tcPr>
            <w:tcW w:type="dxa" w:w="1800"/>
          </w:tcPr>
          <w:p>
            <w:r>
              <w:t>location_source</w:t>
            </w:r>
          </w:p>
        </w:tc>
        <w:tc>
          <w:tcPr>
            <w:tcW w:type="dxa" w:w="1400"/>
          </w:tcPr>
          <w:p>
            <w:r>
              <w:t>text</w:t>
            </w:r>
          </w:p>
        </w:tc>
        <w:tc>
          <w:tcPr>
            <w:tcW w:type="dxa" w:w="1800"/>
          </w:tcPr>
          <w:p>
            <w:r>
              <w:t>Obligatorio</w:t>
            </w:r>
          </w:p>
        </w:tc>
        <w:tc>
          <w:tcPr>
            <w:tcW w:type="dxa" w:w="4360"/>
          </w:tcPr>
          <w:p>
            <w:r>
              <w:t>source-data, source-default, deterministic-inference, nvidia-nim o geographic-fallback.</w:t>
            </w:r>
          </w:p>
        </w:tc>
      </w:tr>
      <w:tr>
        <w:tc>
          <w:tcPr>
            <w:tcW w:type="dxa" w:w="1800"/>
          </w:tcPr>
          <w:p>
            <w:r>
              <w:t>location_precision</w:t>
            </w:r>
          </w:p>
        </w:tc>
        <w:tc>
          <w:tcPr>
            <w:tcW w:type="dxa" w:w="1400"/>
          </w:tcPr>
          <w:p>
            <w:r>
              <w:t>text</w:t>
            </w:r>
          </w:p>
        </w:tc>
        <w:tc>
          <w:tcPr>
            <w:tcW w:type="dxa" w:w="1800"/>
          </w:tcPr>
          <w:p>
            <w:r>
              <w:t>Obligatorio</w:t>
            </w:r>
          </w:p>
        </w:tc>
        <w:tc>
          <w:tcPr>
            <w:tcW w:type="dxa" w:w="4360"/>
          </w:tcPr>
          <w:p>
            <w:r>
              <w:t>exact, coordinates, venue, commune, city, region, online o country.</w:t>
            </w:r>
          </w:p>
        </w:tc>
      </w:tr>
      <w:tr>
        <w:tc>
          <w:tcPr>
            <w:tcW w:type="dxa" w:w="1800"/>
          </w:tcPr>
          <w:p>
            <w:r>
              <w:t>location</w:t>
            </w:r>
          </w:p>
        </w:tc>
        <w:tc>
          <w:tcPr>
            <w:tcW w:type="dxa" w:w="1400"/>
          </w:tcPr>
          <w:p>
            <w:r>
              <w:t>text</w:t>
            </w:r>
          </w:p>
        </w:tc>
        <w:tc>
          <w:tcPr>
            <w:tcW w:type="dxa" w:w="1800"/>
          </w:tcPr>
          <w:p>
            <w:r>
              <w:t>Obligatorio</w:t>
            </w:r>
          </w:p>
        </w:tc>
        <w:tc>
          <w:tcPr>
            <w:tcW w:type="dxa" w:w="4360"/>
          </w:tcPr>
          <w:p>
            <w:r>
              <w:t>Etiqueta canónica para mostrar y buscar; nunca queda vacía.</w:t>
            </w:r>
          </w:p>
        </w:tc>
      </w:tr>
      <w:tr>
        <w:tc>
          <w:tcPr>
            <w:tcW w:type="dxa" w:w="1800"/>
          </w:tcPr>
          <w:p>
            <w:r>
              <w:t>longitude</w:t>
            </w:r>
          </w:p>
        </w:tc>
        <w:tc>
          <w:tcPr>
            <w:tcW w:type="dxa" w:w="1400"/>
          </w:tcPr>
          <w:p>
            <w:r>
              <w:t>double precision</w:t>
            </w:r>
          </w:p>
        </w:tc>
        <w:tc>
          <w:tcPr>
            <w:tcW w:type="dxa" w:w="1800"/>
          </w:tcPr>
          <w:p>
            <w:r>
              <w:t>Opcional</w:t>
            </w:r>
          </w:p>
        </w:tc>
        <w:tc>
          <w:tcPr>
            <w:tcW w:type="dxa" w:w="4360"/>
          </w:tcPr>
          <w:p>
            <w:r>
              <w:t>Longitud validada entre -180 y 180.</w:t>
            </w:r>
          </w:p>
        </w:tc>
      </w:tr>
      <w:tr>
        <w:tc>
          <w:tcPr>
            <w:tcW w:type="dxa" w:w="1800"/>
          </w:tcPr>
          <w:p>
            <w:r>
              <w:t>latitude</w:t>
            </w:r>
          </w:p>
        </w:tc>
        <w:tc>
          <w:tcPr>
            <w:tcW w:type="dxa" w:w="1400"/>
          </w:tcPr>
          <w:p>
            <w:r>
              <w:t>double precision</w:t>
            </w:r>
          </w:p>
        </w:tc>
        <w:tc>
          <w:tcPr>
            <w:tcW w:type="dxa" w:w="1800"/>
          </w:tcPr>
          <w:p>
            <w:r>
              <w:t>Opcional</w:t>
            </w:r>
          </w:p>
        </w:tc>
        <w:tc>
          <w:tcPr>
            <w:tcW w:type="dxa" w:w="4360"/>
          </w:tcPr>
          <w:p>
            <w:r>
              <w:t>Latitud validada entre -90 y 90.</w:t>
            </w:r>
          </w:p>
        </w:tc>
      </w:tr>
      <w:tr>
        <w:tc>
          <w:tcPr>
            <w:tcW w:type="dxa" w:w="1800"/>
          </w:tcPr>
          <w:p>
            <w:r>
              <w:t>postal_code</w:t>
            </w:r>
          </w:p>
        </w:tc>
        <w:tc>
          <w:tcPr>
            <w:tcW w:type="dxa" w:w="1400"/>
          </w:tcPr>
          <w:p>
            <w:r>
              <w:t>text</w:t>
            </w:r>
          </w:p>
        </w:tc>
        <w:tc>
          <w:tcPr>
            <w:tcW w:type="dxa" w:w="1800"/>
          </w:tcPr>
          <w:p>
            <w:r>
              <w:t>Opcional</w:t>
            </w:r>
          </w:p>
        </w:tc>
        <w:tc>
          <w:tcPr>
            <w:tcW w:type="dxa" w:w="4360"/>
          </w:tcPr>
          <w:p>
            <w:r>
              <w:t>Código postal publicado o configurado para la fuente.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status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Obligatorio,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published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Estado editorial: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published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cancelled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draft</w:t>
            </w:r>
            <w:r>
              <w:rPr>
                <w:rFonts w:ascii="Calibri" w:hAnsi="Calibri"/>
                <w:sz w:val="18"/>
              </w:rPr>
              <w:t xml:space="preserve"> 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archived</w:t>
            </w:r>
            <w:r>
              <w:rPr>
                <w:rFonts w:ascii="Calibri" w:hAnsi="Calibri"/>
                <w:sz w:val="18"/>
              </w:rPr>
              <w:t xml:space="preserve">. El scraper actual carga como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published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c>
          <w:tcPr>
            <w:tcW w:type="dxa" w:w="1800"/>
          </w:tcPr>
          <w:p>
            <w:r>
              <w:t>suppressed_at</w:t>
            </w:r>
          </w:p>
        </w:tc>
        <w:tc>
          <w:tcPr>
            <w:tcW w:type="dxa" w:w="1400"/>
          </w:tcPr>
          <w:p>
            <w:r>
              <w:t>timestamptz</w:t>
            </w:r>
          </w:p>
        </w:tc>
        <w:tc>
          <w:tcPr>
            <w:tcW w:type="dxa" w:w="1800"/>
          </w:tcPr>
          <w:p>
            <w:r>
              <w:t>Opcional</w:t>
            </w:r>
          </w:p>
        </w:tc>
        <w:tc>
          <w:tcPr>
            <w:tcW w:type="dxa" w:w="4360"/>
          </w:tcPr>
          <w:p>
            <w:r>
              <w:t>Momento en que se ocultó el evento.</w:t>
            </w:r>
          </w:p>
        </w:tc>
      </w:tr>
      <w:tr>
        <w:tc>
          <w:tcPr>
            <w:tcW w:type="dxa" w:w="1800"/>
          </w:tcPr>
          <w:p>
            <w:r>
              <w:t>suppression_reason</w:t>
            </w:r>
          </w:p>
        </w:tc>
        <w:tc>
          <w:tcPr>
            <w:tcW w:type="dxa" w:w="1400"/>
          </w:tcPr>
          <w:p>
            <w:r>
              <w:t>text</w:t>
            </w:r>
          </w:p>
        </w:tc>
        <w:tc>
          <w:tcPr>
            <w:tcW w:type="dxa" w:w="1800"/>
          </w:tcPr>
          <w:p>
            <w:r>
              <w:t>Opcional</w:t>
            </w:r>
          </w:p>
        </w:tc>
        <w:tc>
          <w:tcPr>
            <w:tcW w:type="dxa" w:w="4360"/>
          </w:tcPr>
          <w:p>
            <w:r>
              <w:t>Motivo de la exclusión individual.</w:t>
            </w:r>
          </w:p>
        </w:tc>
      </w:tr>
      <w:tr>
        <w:tc>
          <w:tcPr>
            <w:tcW w:type="dxa" w:w="1800"/>
          </w:tcPr>
          <w:p>
            <w:r>
              <w:t>is_suppressed</w:t>
            </w:r>
          </w:p>
        </w:tc>
        <w:tc>
          <w:tcPr>
            <w:tcW w:type="dxa" w:w="1400"/>
          </w:tcPr>
          <w:p>
            <w:r>
              <w:t>boolean</w:t>
            </w:r>
          </w:p>
        </w:tc>
        <w:tc>
          <w:tcPr>
            <w:tcW w:type="dxa" w:w="1800"/>
          </w:tcPr>
          <w:p>
            <w:r>
              <w:t>false por defecto</w:t>
            </w:r>
          </w:p>
        </w:tc>
        <w:tc>
          <w:tcPr>
            <w:tcW w:type="dxa" w:w="4360"/>
          </w:tcPr>
          <w:p>
            <w:r>
              <w:t>Exclusión administrativa persistente; el scraper no la sobrescribe.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audience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Público objetivo textual, por ejemplo familiar o mayores de edad.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is_free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boolean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true</w:t>
            </w:r>
            <w:r>
              <w:rPr>
                <w:rFonts w:ascii="Calibri" w:hAnsi="Calibri"/>
                <w:sz w:val="18"/>
              </w:rPr>
              <w:t xml:space="preserve">: gratuito;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false</w:t>
            </w:r>
            <w:r>
              <w:rPr>
                <w:rFonts w:ascii="Calibri" w:hAnsi="Calibri"/>
                <w:sz w:val="18"/>
              </w:rPr>
              <w:t xml:space="preserve">: pagado;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null</w:t>
            </w:r>
            <w:r>
              <w:rPr>
                <w:rFonts w:ascii="Calibri" w:hAnsi="Calibri"/>
                <w:sz w:val="18"/>
              </w:rPr>
              <w:t>: la fuente no permite determinarlo.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description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Versión editorial factual destinada a publicación. No sustituye la evidencia privada.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price_text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Precio tal como fue informado, incluidos rangos o condiciones. No es un valor numérico contable.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currency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Obligatorio,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CLP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Moneda asociada a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price_text</w:t>
            </w:r>
            <w:r>
              <w:rPr>
                <w:rFonts w:ascii="Calibri" w:hAnsi="Calibri"/>
                <w:sz w:val="18"/>
              </w:rPr>
              <w:t>; se recomienda código ISO 4217.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image_url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Imagen principal para consultas sencillas. También se refleja en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media_assets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source_url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Página exacta o endpoint desde el que se extrajo la información.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official_url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Página oficial o canónica del evento, si es distinta de la fuente intermediaria.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extraction_method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Método usado, por ejemplo API, JSON-LD, tarjetas HTML, Playwright o NVIDIA NIM.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scraped_at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Momento en que el conector obtuvo el registro.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last_seen_at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Última sincronización que volvió a encontrar el evento. Permite detectar registros posiblemente vencidos.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created_at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Primera inserción en Supabase.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updated_at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Último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upsert</w:t>
            </w:r>
            <w:r>
              <w:rPr>
                <w:rFonts w:ascii="Calibri" w:hAnsi="Calibri"/>
                <w:sz w:val="18"/>
              </w:rPr>
              <w:t xml:space="preserve"> o modificación.</w:t>
            </w:r>
          </w:p>
        </w:tc>
      </w:tr>
    </w:tbl>
    <w:p>
      <w:pPr>
        <w:spacing w:after="40"/>
      </w:pPr>
    </w:p>
    <w:p>
      <w:r>
        <w:rPr>
          <w:rFonts w:ascii="Calibri" w:hAnsi="Calibri"/>
        </w:rPr>
        <w:t>La eliminación de una fuente está restringida mientras tenga eventos. Si se elimina un organizador</w:t>
      </w:r>
    </w:p>
    <w:p>
      <w:r>
        <w:rPr>
          <w:rFonts w:ascii="Calibri" w:hAnsi="Calibri"/>
        </w:rPr>
        <w:t xml:space="preserve">o una comuna, su referencia en el evento se convierte en </w:t>
      </w:r>
      <w:r>
        <w:rPr>
          <w:rFonts w:ascii="Consolas" w:hAnsi="Consolas"/>
          <w:color w:val="1F4D78"/>
          <w:sz w:val="19"/>
          <w:shd w:fill="EEF2F6"/>
        </w:rPr>
        <w:t>null</w:t>
      </w:r>
      <w:r>
        <w:rPr>
          <w:rFonts w:ascii="Calibri" w:hAnsi="Calibri"/>
        </w:rPr>
        <w:t xml:space="preserve"> y el evento permanece.</w:t>
      </w:r>
    </w:p>
    <w:p>
      <w:pPr>
        <w:pStyle w:val="Heading2"/>
      </w:pPr>
      <w:r>
        <w:t>`event_provenance`</w:t>
      </w:r>
    </w:p>
    <w:p>
      <w:r>
        <w:t>Tabla privada para auditoría y reutilización de resultados. No tiene permisos para anon ni authenticated.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Columna</w:t>
            </w:r>
          </w:p>
        </w:tc>
        <w:tc>
          <w:tcPr>
            <w:tcW w:type="dxa" w:w="2340"/>
          </w:tcPr>
          <w:p>
            <w:r>
              <w:t>Tipo</w:t>
            </w:r>
          </w:p>
        </w:tc>
        <w:tc>
          <w:tcPr>
            <w:tcW w:type="dxa" w:w="2340"/>
          </w:tcPr>
          <w:p>
            <w:r>
              <w:t>Requisito</w:t>
            </w:r>
          </w:p>
        </w:tc>
        <w:tc>
          <w:tcPr>
            <w:tcW w:type="dxa" w:w="2340"/>
          </w:tcPr>
          <w:p>
            <w:r>
              <w:t>Significado</w:t>
            </w:r>
          </w:p>
        </w:tc>
      </w:tr>
      <w:tr>
        <w:tc>
          <w:tcPr>
            <w:tcW w:type="dxa" w:w="2340"/>
          </w:tcPr>
          <w:p>
            <w:r>
              <w:t>event_id</w:t>
            </w:r>
          </w:p>
        </w:tc>
        <w:tc>
          <w:tcPr>
            <w:tcW w:type="dxa" w:w="2340"/>
          </w:tcPr>
          <w:p>
            <w:r>
              <w:t>uuid</w:t>
            </w:r>
          </w:p>
        </w:tc>
        <w:tc>
          <w:tcPr>
            <w:tcW w:type="dxa" w:w="2340"/>
          </w:tcPr>
          <w:p>
            <w:r>
              <w:t>PK y FK → events.id</w:t>
            </w:r>
          </w:p>
        </w:tc>
        <w:tc>
          <w:tcPr>
            <w:tcW w:type="dxa" w:w="2340"/>
          </w:tcPr>
          <w:p>
            <w:r>
              <w:t>Evento al que pertenece la evidencia.</w:t>
            </w:r>
          </w:p>
        </w:tc>
      </w:tr>
      <w:tr>
        <w:tc>
          <w:tcPr>
            <w:tcW w:type="dxa" w:w="2340"/>
          </w:tcPr>
          <w:p>
            <w:r>
              <w:t>original_url</w:t>
            </w:r>
          </w:p>
        </w:tc>
        <w:tc>
          <w:tcPr>
            <w:tcW w:type="dxa" w:w="2340"/>
          </w:tcPr>
          <w:p>
            <w:r>
              <w:t>text</w:t>
            </w:r>
          </w:p>
        </w:tc>
        <w:tc>
          <w:tcPr>
            <w:tcW w:type="dxa" w:w="2340"/>
          </w:tcPr>
          <w:p>
            <w:r>
              <w:t>Opcional</w:t>
            </w:r>
          </w:p>
        </w:tc>
        <w:tc>
          <w:tcPr>
            <w:tcW w:type="dxa" w:w="2340"/>
          </w:tcPr>
          <w:p>
            <w:r>
              <w:t>URL normalizada utilizada en la deduplicación previa.</w:t>
            </w:r>
          </w:p>
        </w:tc>
      </w:tr>
      <w:tr>
        <w:tc>
          <w:tcPr>
            <w:tcW w:type="dxa" w:w="2340"/>
          </w:tcPr>
          <w:p>
            <w:r>
              <w:t>source_description</w:t>
            </w:r>
          </w:p>
        </w:tc>
        <w:tc>
          <w:tcPr>
            <w:tcW w:type="dxa" w:w="2340"/>
          </w:tcPr>
          <w:p>
            <w:r>
              <w:t>text</w:t>
            </w:r>
          </w:p>
        </w:tc>
        <w:tc>
          <w:tcPr>
            <w:tcW w:type="dxa" w:w="2340"/>
          </w:tcPr>
          <w:p>
            <w:r>
              <w:t>Opcional</w:t>
            </w:r>
          </w:p>
        </w:tc>
        <w:tc>
          <w:tcPr>
            <w:tcW w:type="dxa" w:w="2340"/>
          </w:tcPr>
          <w:p>
            <w:r>
              <w:t>Descripción saneada tal como fue obtenida de la fuente.</w:t>
            </w:r>
          </w:p>
        </w:tc>
      </w:tr>
      <w:tr>
        <w:tc>
          <w:tcPr>
            <w:tcW w:type="dxa" w:w="2340"/>
          </w:tcPr>
          <w:p>
            <w:r>
              <w:t>ocr_text</w:t>
            </w:r>
          </w:p>
        </w:tc>
        <w:tc>
          <w:tcPr>
            <w:tcW w:type="dxa" w:w="2340"/>
          </w:tcPr>
          <w:p>
            <w:r>
              <w:t>text</w:t>
            </w:r>
          </w:p>
        </w:tc>
        <w:tc>
          <w:tcPr>
            <w:tcW w:type="dxa" w:w="2340"/>
          </w:tcPr>
          <w:p>
            <w:r>
              <w:t>Opcional</w:t>
            </w:r>
          </w:p>
        </w:tc>
        <w:tc>
          <w:tcPr>
            <w:tcW w:type="dxa" w:w="2340"/>
          </w:tcPr>
          <w:p>
            <w:r>
              <w:t>Texto visible transcrito desde el afiche.</w:t>
            </w:r>
          </w:p>
        </w:tc>
      </w:tr>
      <w:tr>
        <w:tc>
          <w:tcPr>
            <w:tcW w:type="dxa" w:w="2340"/>
          </w:tcPr>
          <w:p>
            <w:r>
              <w:t>is_rewritten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Obligatorio</w:t>
            </w:r>
          </w:p>
        </w:tc>
        <w:tc>
          <w:tcPr>
            <w:tcW w:type="dxa" w:w="2340"/>
          </w:tcPr>
          <w:p>
            <w:r>
              <w:t>Indica si events.description difiere del texto original.</w:t>
            </w:r>
          </w:p>
        </w:tc>
      </w:tr>
      <w:tr>
        <w:tc>
          <w:tcPr>
            <w:tcW w:type="dxa" w:w="2340"/>
          </w:tcPr>
          <w:p>
            <w:r>
              <w:t>updated_at</w:t>
            </w:r>
          </w:p>
        </w:tc>
        <w:tc>
          <w:tcPr>
            <w:tcW w:type="dxa" w:w="2340"/>
          </w:tcPr>
          <w:p>
            <w:r>
              <w:t>timestamptz</w:t>
            </w:r>
          </w:p>
        </w:tc>
        <w:tc>
          <w:tcPr>
            <w:tcW w:type="dxa" w:w="2340"/>
          </w:tcPr>
          <w:p>
            <w:r>
              <w:t>Automático</w:t>
            </w:r>
          </w:p>
        </w:tc>
        <w:tc>
          <w:tcPr>
            <w:tcW w:type="dxa" w:w="2340"/>
          </w:tcPr>
          <w:p>
            <w:r>
              <w:t>Última actualización de la evidencia.</w:t>
            </w:r>
          </w:p>
        </w:tc>
      </w:tr>
    </w:tbl>
    <w:p>
      <w:pPr>
        <w:pStyle w:val="Heading2"/>
      </w:pPr>
      <w:r>
        <w:t>`event_categories`</w:t>
      </w:r>
    </w:p>
    <w:p>
      <w:r>
        <w:rPr>
          <w:rFonts w:ascii="Calibri" w:hAnsi="Calibri"/>
        </w:rPr>
        <w:t>Tabla puente. Un evento puede tener cero, una o muchas categorías, y una categoría puede pertenecer</w:t>
      </w:r>
    </w:p>
    <w:p>
      <w:r>
        <w:rPr>
          <w:rFonts w:ascii="Calibri" w:hAnsi="Calibri"/>
        </w:rPr>
        <w:t>a muchos eventos.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event_id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PK compuesta, FK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events.id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Evento clasificado. Se elimina en cascada con el evento.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category_id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PK compuesta, FK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categories.id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Categoría asignada. Se elimina en cascada con la categoría.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created_at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Momento de creación de la asociación.</w:t>
            </w:r>
          </w:p>
        </w:tc>
      </w:tr>
    </w:tbl>
    <w:p>
      <w:pPr>
        <w:spacing w:after="40"/>
      </w:pPr>
    </w:p>
    <w:p>
      <w:r>
        <w:rPr>
          <w:rFonts w:ascii="Calibri" w:hAnsi="Calibri"/>
        </w:rPr>
        <w:t>Antes de reinsertar las categorías de un lote, el exportador elimina sus asociaciones anteriores.</w:t>
      </w:r>
    </w:p>
    <w:p>
      <w:r>
        <w:rPr>
          <w:rFonts w:ascii="Calibri" w:hAnsi="Calibri"/>
        </w:rPr>
        <w:t>Esto permite retirar una categoría que ya no aparezca en la fuente sin duplicar relaciones.</w:t>
      </w:r>
    </w:p>
    <w:p>
      <w:pPr>
        <w:pStyle w:val="Heading2"/>
      </w:pPr>
      <w:r>
        <w:t>`media_assets`</w:t>
      </w:r>
    </w:p>
    <w:p>
      <w:r>
        <w:rPr>
          <w:rFonts w:ascii="Calibri" w:hAnsi="Calibri"/>
        </w:rPr>
        <w:t>Recursos visuales o descargables asociados al evento. En el MVP solo se cargan imágenes.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PK, 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UUID determinista de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evento + URL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event_id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FK obligatoria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events.id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Evento propietario; eliminación en cascada.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url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Obligatorio, única por evento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Dirección pública del recurso.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media_type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Obligatorio,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image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Uno de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image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video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audio</w:t>
            </w:r>
            <w:r>
              <w:rPr>
                <w:rFonts w:ascii="Calibri" w:hAnsi="Calibri"/>
                <w:sz w:val="18"/>
              </w:rPr>
              <w:t xml:space="preserve"> 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document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is_primary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boolean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false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Señala el recurso principal. La imagen importada actualmente se marca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true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created_at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Momento de creación.</w:t>
            </w:r>
          </w:p>
        </w:tc>
      </w:tr>
    </w:tbl>
    <w:p>
      <w:pPr>
        <w:spacing w:after="40"/>
      </w:pPr>
    </w:p>
    <w:p>
      <w:pPr>
        <w:pStyle w:val="Heading2"/>
      </w:pPr>
      <w:r>
        <w:t>`scrape_runs`</w:t>
      </w:r>
    </w:p>
    <w:p>
      <w:r>
        <w:rPr>
          <w:rFonts w:ascii="Calibri" w:hAnsi="Calibri"/>
        </w:rPr>
        <w:t>Bitácora de observabilidad. Permite saber si una ejecución alcanzó Supabase, terminó correctamente</w:t>
      </w:r>
    </w:p>
    <w:p>
      <w:r>
        <w:rPr>
          <w:rFonts w:ascii="Calibri" w:hAnsi="Calibri"/>
        </w:rPr>
        <w:t>o falló durante la carga.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PK, automático o enviado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Identificador único de la ejecución.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started_at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Inicio de la sincronización con Supabase, posterior a la extracción completa.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finished_at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Término exitoso o fallido; es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null</w:t>
            </w:r>
            <w:r>
              <w:rPr>
                <w:rFonts w:ascii="Calibri" w:hAnsi="Calibri"/>
                <w:sz w:val="18"/>
              </w:rPr>
              <w:t xml:space="preserve"> mientras figura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running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status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running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succeeded</w:t>
            </w:r>
            <w:r>
              <w:rPr>
                <w:rFonts w:ascii="Calibri" w:hAnsi="Calibri"/>
                <w:sz w:val="18"/>
              </w:rPr>
              <w:t xml:space="preserve"> 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failed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events_count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integer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No negativo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Cantidad de eventos consolidados que se intentó cargar.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error_message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Resumen técnico del error, limitado por el cliente a 2.000 caracteres.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metadata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jsonb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{}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Entorno de ejecución: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runner</w:t>
            </w:r>
            <w:r>
              <w:rPr>
                <w:rFonts w:ascii="Calibri" w:hAnsi="Calibri"/>
                <w:sz w:val="18"/>
              </w:rPr>
              <w:t>, repositorio, ID de GitHub Actions, commit y evento disparador.</w:t>
            </w:r>
          </w:p>
        </w:tc>
      </w:tr>
    </w:tbl>
    <w:p>
      <w:pPr>
        <w:spacing w:after="40"/>
      </w:pPr>
    </w:p>
    <w:p>
      <w:r>
        <w:rPr>
          <w:rFonts w:ascii="Calibri" w:hAnsi="Calibri"/>
        </w:rPr>
        <w:t>La carga no es una única transacción entre solicitudes REST. Si falla un lote, filas anteriores</w:t>
      </w:r>
    </w:p>
    <w:p>
      <w:r>
        <w:rPr>
          <w:rFonts w:ascii="Calibri" w:hAnsi="Calibri"/>
        </w:rPr>
        <w:t>pueden haber quedado guardadas; una nueva ejecución repara el estado mediante UUID estables y</w:t>
      </w:r>
    </w:p>
    <w:p>
      <w:r>
        <w:rPr>
          <w:rFonts w:ascii="Consolas" w:hAnsi="Consolas"/>
          <w:color w:val="1F4D78"/>
          <w:sz w:val="19"/>
          <w:shd w:fill="EEF2F6"/>
        </w:rPr>
        <w:t>upsert</w:t>
      </w:r>
      <w:r>
        <w:rPr>
          <w:rFonts w:ascii="Calibri" w:hAnsi="Calibri"/>
        </w:rPr>
        <w:t>.</w:t>
      </w:r>
    </w:p>
    <w:p>
      <w:pPr>
        <w:pStyle w:val="Heading2"/>
      </w:pPr>
      <w:r>
        <w:t>`profiles`</w:t>
      </w:r>
    </w:p>
    <w:p>
      <w:r>
        <w:rPr>
          <w:rFonts w:ascii="Calibri" w:hAnsi="Calibri"/>
        </w:rPr>
        <w:t xml:space="preserve">Extensión mínima de </w:t>
      </w:r>
      <w:r>
        <w:rPr>
          <w:rFonts w:ascii="Consolas" w:hAnsi="Consolas"/>
          <w:color w:val="1F4D78"/>
          <w:sz w:val="19"/>
          <w:shd w:fill="EEF2F6"/>
        </w:rPr>
        <w:t>auth.users</w:t>
      </w:r>
      <w:r>
        <w:rPr>
          <w:rFonts w:ascii="Calibri" w:hAnsi="Calibri"/>
        </w:rPr>
        <w:t>. Se crea automáticamente después del registro en Supabase Auth.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PK y FK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auth.users.id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Identidad del usuario autenticado.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display_name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Nombre visible; el usuario puede modificar solo esta columna.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role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visitor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Rol interno: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visitor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editor</w:t>
            </w:r>
            <w:r>
              <w:rPr>
                <w:rFonts w:ascii="Calibri" w:hAnsi="Calibri"/>
                <w:sz w:val="18"/>
              </w:rPr>
              <w:t xml:space="preserve"> 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admin</w:t>
            </w:r>
            <w:r>
              <w:rPr>
                <w:rFonts w:ascii="Calibri" w:hAnsi="Calibri"/>
                <w:sz w:val="18"/>
              </w:rPr>
              <w:t>. No es editable directamente por el usuario.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created_at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Creación del perfil.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updated_at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Última modificación.</w:t>
            </w:r>
          </w:p>
        </w:tc>
      </w:tr>
    </w:tbl>
    <w:p>
      <w:pPr>
        <w:spacing w:after="40"/>
      </w:pPr>
    </w:p>
    <w:p>
      <w:pPr>
        <w:pStyle w:val="Heading2"/>
      </w:pPr>
      <w:r>
        <w:t>`favorites`</w:t>
      </w:r>
    </w:p>
    <w:p>
      <w:r>
        <w:rPr>
          <w:rFonts w:ascii="Calibri" w:hAnsi="Calibri"/>
        </w:rPr>
        <w:t>Relación entre usuarios y eventos guardados.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user_id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PK compuesta, FK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auth.users.id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Usuario propietario.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event_id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PK compuesta, FK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events.id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Evento guardado.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created_at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Momento en que se marcó como favorito.</w:t>
            </w:r>
          </w:p>
        </w:tc>
      </w:tr>
    </w:tbl>
    <w:p>
      <w:pPr>
        <w:spacing w:after="40"/>
      </w:pPr>
    </w:p>
    <w:p>
      <w:pPr>
        <w:pStyle w:val="Heading2"/>
      </w:pPr>
      <w:r>
        <w:t>`reports`</w:t>
      </w:r>
    </w:p>
    <w:p>
      <w:r>
        <w:rPr>
          <w:rFonts w:ascii="Calibri" w:hAnsi="Calibri"/>
        </w:rPr>
        <w:t>Reportes de usuarios sobre un evento, por ejemplo fecha incorrecta, evento cancelado o enlace roto.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PK, 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Identificador del reporte.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user_id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FK obligatoria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auth.users.id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Persona que lo creó.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event_id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FK obligatoria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events.id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Evento reportado.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reason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Motivo escrito por el usuario.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status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pending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Flujo de revisión: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pending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reviewed</w:t>
            </w:r>
            <w:r>
              <w:rPr>
                <w:rFonts w:ascii="Calibri" w:hAnsi="Calibri"/>
                <w:sz w:val="18"/>
              </w:rPr>
              <w:t xml:space="preserve"> 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resolved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created_at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Fecha de creación.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updated_at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Última modificación administrativa.</w:t>
            </w:r>
          </w:p>
        </w:tc>
      </w:tr>
    </w:tbl>
    <w:p>
      <w:pPr>
        <w:spacing w:after="40"/>
      </w:pPr>
    </w:p>
    <w:p>
      <w:pPr>
        <w:pStyle w:val="Heading1"/>
      </w:pPr>
      <w:r>
        <w:t>4. Índices y reglas de integridad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sources</w:t>
      </w:r>
      <w:r>
        <w:rPr>
          <w:rFonts w:ascii="Calibri" w:hAnsi="Calibri"/>
        </w:rPr>
        <w:t xml:space="preserve">, </w:t>
      </w:r>
      <w:r>
        <w:rPr>
          <w:rFonts w:ascii="Consolas" w:hAnsi="Consolas"/>
          <w:color w:val="1F4D78"/>
          <w:sz w:val="19"/>
          <w:shd w:fill="EEF2F6"/>
        </w:rPr>
        <w:t>organizers</w:t>
      </w:r>
      <w:r>
        <w:rPr>
          <w:rFonts w:ascii="Calibri" w:hAnsi="Calibri"/>
        </w:rPr>
        <w:t xml:space="preserve"> y </w:t>
      </w:r>
      <w:r>
        <w:rPr>
          <w:rFonts w:ascii="Consolas" w:hAnsi="Consolas"/>
          <w:color w:val="1F4D78"/>
          <w:sz w:val="19"/>
          <w:shd w:fill="EEF2F6"/>
        </w:rPr>
        <w:t>categories</w:t>
      </w:r>
      <w:r>
        <w:rPr>
          <w:rFonts w:ascii="Calibri" w:hAnsi="Calibri"/>
        </w:rPr>
        <w:t xml:space="preserve"> poseen unicidad por nombre sin distinguir mayúsculas.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communes</w:t>
      </w:r>
      <w:r>
        <w:rPr>
          <w:rFonts w:ascii="Calibri" w:hAnsi="Calibri"/>
        </w:rPr>
        <w:t xml:space="preserve"> es única por país, región y comuna.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events.external_key</w:t>
      </w:r>
      <w:r>
        <w:rPr>
          <w:rFonts w:ascii="Calibri" w:hAnsi="Calibri"/>
        </w:rPr>
        <w:t xml:space="preserve"> es único y evita duplicados lógicos.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event_categories</w:t>
      </w:r>
      <w:r>
        <w:rPr>
          <w:rFonts w:ascii="Calibri" w:hAnsi="Calibri"/>
        </w:rPr>
        <w:t xml:space="preserve"> no permite repetir el mismo par evento-categoría.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media_assets</w:t>
      </w:r>
      <w:r>
        <w:rPr>
          <w:rFonts w:ascii="Calibri" w:hAnsi="Calibri"/>
        </w:rPr>
        <w:t xml:space="preserve"> no permite repetir la misma URL dentro de un evento.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Existen índices para fecha de inicio, región, estado, fuente, comuna y búsquedas por categoría.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 xml:space="preserve">Los valores de estados, roles y tipos multimedia se controlan mediante restricciones </w:t>
      </w:r>
      <w:r>
        <w:rPr>
          <w:rFonts w:ascii="Consolas" w:hAnsi="Consolas"/>
          <w:color w:val="1F4D78"/>
          <w:sz w:val="19"/>
          <w:shd w:fill="EEF2F6"/>
        </w:rPr>
        <w:t>check</w:t>
      </w:r>
      <w:r>
        <w:rPr>
          <w:rFonts w:ascii="Calibri" w:hAnsi="Calibri"/>
        </w:rPr>
        <w:t>.</w:t>
      </w:r>
    </w:p>
    <w:p>
      <w:pPr>
        <w:pStyle w:val="Heading1"/>
      </w:pPr>
      <w:r>
        <w:t>5. Diccionario de categorías observadas</w:t>
      </w:r>
    </w:p>
    <w:p>
      <w:r>
        <w:t>Las categorías son dinámicas: se copian desde las taxonomías de las fuentes y se complementan</w:t>
      </w:r>
    </w:p>
    <w:p>
      <w:r>
        <w:rPr>
          <w:rFonts w:ascii="Calibri" w:hAnsi="Calibri"/>
        </w:rPr>
        <w:t>con reglas de los conectores. Por ello, esta sección es una fotografía del archivo local del</w:t>
      </w:r>
    </w:p>
    <w:p>
      <w:r>
        <w:t>1 de septiembre de 2026: 399 eventos y 61 etiquetas. Es una fotografía histórica, no el catálogo vigente.</w:t>
      </w:r>
    </w:p>
    <w:p>
      <w:pPr>
        <w:pStyle w:val="Heading2"/>
      </w:pPr>
      <w:r>
        <w:t>Disciplinas y contenidos culturales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500"/>
        <w:gridCol w:w="1100"/>
        <w:gridCol w:w="5760"/>
      </w:tblGrid>
      <w:tr>
        <w:trPr>
          <w:cantSplit/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Categoría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b/>
                <w:color w:val="17324D"/>
                <w:sz w:val="18"/>
              </w:rPr>
              <w:t>Eventos observados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Definición operativa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Música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34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Conciertos, recitales y actividades donde la música es el contenido principal.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Teatro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Obras teatrales, dramaturgia y presentaciones escénicas teatrales.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Cine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Exhibiciones, ciclos, festivales o conversaciones centradas en obras audiovisuales.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Artes escénicas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Categoría amplia para teatro, danza, performance, circo u otras artes en vivo.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Danza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Presentaciones, encuentros o formación cuyo contenido principal es el movimiento y la danza.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Artes mediales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Creación artística basada en medios digitales, audiovisuales, interactivos o tecnológicos.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Artes visuales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Pintura, escultura, grabado, instalación y otras expresiones principalmente visuales.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Artesanía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Oficios y objetos elaborados mediante técnicas artesanales.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Fotografía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Exposiciones, talleres o actividades centradas en fotografía.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Literatura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Libros, lectura, escritura, poesía o mediación literaria.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Ópera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Representaciones o actividades relacionadas con ópera y canto lírico.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Títeres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Espectáculos o actividades de teatro de muñecos y objetos.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Humanidades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Reflexión, investigación o divulgación en historia, filosofía, letras y áreas afines.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Patrimonio cultural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Salvaguardia, difusión o activación de patrimonio material e inmaterial.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Cultura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24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Etiqueta transversal cuando la fuente no entrega una disciplina cultural más específica.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Gestión cultural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Formación, redes o prácticas de administración y producción cultural.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Encuentros Culturales y Artísticos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Reuniones o actividades participativas que integran más de una disciplina artística.</w:t>
            </w:r>
          </w:p>
        </w:tc>
      </w:tr>
    </w:tbl>
    <w:p>
      <w:pPr>
        <w:spacing w:after="40"/>
      </w:pPr>
    </w:p>
    <w:p>
      <w:pPr>
        <w:pStyle w:val="Heading2"/>
      </w:pPr>
      <w:r>
        <w:t>Formatos, espacios y programas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500"/>
        <w:gridCol w:w="1100"/>
        <w:gridCol w:w="5760"/>
      </w:tblGrid>
      <w:tr>
        <w:trPr>
          <w:cantSplit/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Categoría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b/>
                <w:color w:val="17324D"/>
                <w:sz w:val="18"/>
              </w:rPr>
              <w:t>Eventos observados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Definición operativa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Taller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 formativa o práctica con participación activa de asistentes.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Exposición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Muestra abierta al público, temporal o permanente.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Feria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Encuentro con múltiples expositores, puestos o participantes.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Festival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Programación concentrada que reúne varias actividades bajo una convocatoria común.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Actividad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Tipo genérico utilizado cuando no existe un formato más preciso.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Evento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Etiqueta genérica de la fuente; aporta poca información temática.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Museo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 o ficha asociada a un museo o espacio museal.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Bibliotecas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 vinculada a bibliotecas y servicios bibliotecarios.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Biblioverano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Programa o campaña estacional de actividades bibliotecarias durante el verano.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Guía de Librerías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89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Ficha de una librería dentro de Chile Cultura; puede representar un lugar o directorio, no necesariamente un evento.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Guía de ferias y festivales del libro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Ficha de una feria o festival literario dentro de una guía; debe verificarse que posea fecha de evento.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Agenda Ciudad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Taxonomía de Valpo Cultura para actividades de agenda urbana o ciudadana.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Agenda Cultural Municipal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 perteneciente a una programación cultural municipal.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Agenda Teatro Municipal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 publicada dentro de la programación de un teatro municipal.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Rutas Patrimoniales y Turísticas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Recorridos o circuitos vinculados a patrimonio y turismo.</w:t>
            </w:r>
          </w:p>
        </w:tc>
      </w:tr>
    </w:tbl>
    <w:p>
      <w:pPr>
        <w:spacing w:after="40"/>
      </w:pPr>
    </w:p>
    <w:p>
      <w:pPr>
        <w:pStyle w:val="Heading2"/>
      </w:pPr>
      <w:r>
        <w:t>Vino, gastronomía y turismo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500"/>
        <w:gridCol w:w="1100"/>
        <w:gridCol w:w="5760"/>
      </w:tblGrid>
      <w:tr>
        <w:trPr>
          <w:cantSplit/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Categoría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b/>
                <w:color w:val="17324D"/>
                <w:sz w:val="18"/>
              </w:rPr>
              <w:t>Eventos observados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Definición operativa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Enoturismo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50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Experiencias turísticas vinculadas a viñas, bodegas, vino y territorio vitivinícola.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Vino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50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Actividades donde el vino es tema o producto central.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Festivales del Vino y la Gastronomía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48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Vendimias, festivales, celebraciones y ferias que combinan vino y oferta gastronómica.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Gastronomía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Ferias, degustaciones o encuentros enfocados principalmente en alimentos y cocina.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Turismo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Actividades y experiencias orientadas a visitantes o promoción de destinos.</w:t>
            </w:r>
          </w:p>
        </w:tc>
      </w:tr>
    </w:tbl>
    <w:p>
      <w:pPr>
        <w:spacing w:after="40"/>
      </w:pPr>
    </w:p>
    <w:p>
      <w:pPr>
        <w:pStyle w:val="Heading2"/>
      </w:pPr>
      <w:r>
        <w:t>Ferias sectoriales, ciencia y desarrollo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500"/>
        <w:gridCol w:w="1100"/>
        <w:gridCol w:w="5760"/>
      </w:tblGrid>
      <w:tr>
        <w:trPr>
          <w:cantSplit/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Categoría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b/>
                <w:color w:val="17324D"/>
                <w:sz w:val="18"/>
              </w:rPr>
              <w:t>Eventos observados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Definición operativa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Negocios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Ferias y encuentros profesionales con foco comercial o empresarial.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Construcción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Exposición o encuentro del sector construcción e infraestructura.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Industria naval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Exposición o encuentro de actividades navales, marítimas y proveedores asociados.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Minería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Feria o encuentro profesional del ecosistema minero.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Salud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 sectorial relacionada con salud, atención o bienestar.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Tecnología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Evento donde innovación o tecnologías son el tema central.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Emprendimiento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 de apoyo, formación o vinculación para emprendimientos.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Ciencias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Divulgación, investigación o actividades científicas.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Medio ambiente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Conservación, sostenibilidad, naturaleza o problemáticas ambientales.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Deportes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 cuyo componente principal es deportivo.</w:t>
            </w:r>
          </w:p>
        </w:tc>
      </w:tr>
    </w:tbl>
    <w:p>
      <w:pPr>
        <w:spacing w:after="40"/>
      </w:pPr>
    </w:p>
    <w:p>
      <w:pPr>
        <w:pStyle w:val="Heading2"/>
      </w:pPr>
      <w:r>
        <w:t>Audiencias, comunidades y clasificación institucional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500"/>
        <w:gridCol w:w="1100"/>
        <w:gridCol w:w="5760"/>
      </w:tblGrid>
      <w:tr>
        <w:trPr>
          <w:cantSplit/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Categoría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b/>
                <w:color w:val="17324D"/>
                <w:sz w:val="18"/>
              </w:rPr>
              <w:t>Eventos observados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Definición operativa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Personas-Mayores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Etiqueta de audiencia para actividades destinadas o especialmente pertinentes a personas mayores.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Pueblos-Originarios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Actividades vinculadas a pueblos indígenas, sus culturas, memorias o comunidades.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Vinculación con el Medio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Taxonomía UOH para actividades de relación entre universidad y entorno social o territorial.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Institucional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 general de la institución; no describe necesariamente el contenido cultural.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Educación Continua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Formación posterior o complementaria ofrecida por la universidad.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Dirección de Salud Mental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Unidad UOH responsable o asociada; funciona más como procedencia organizacional que como tema.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Escuela de Ciencias Sociales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Unidad académica UOH asociada al evento.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Escuela de Educación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Unidad académica UOH asociada al evento.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ECA3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Escuela de Ciencias Agroalimentarias, Animales y Ambientales de la UOH.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ICA3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Instituto de Ciencias Agroalimentarias, Animales y Ambientales de la UOH.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ICSo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Instituto de Ciencias Sociales de la UOH.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ICED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Instituto de Ciencias de la Educación de la UOH; su estilización institucional es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ICEd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PAOCC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Programa de Apoyo a Organizaciones Culturales Colaboradoras del Ministerio de las Culturas.</w:t>
            </w:r>
          </w:p>
        </w:tc>
      </w:tr>
    </w:tbl>
    <w:p>
      <w:pPr>
        <w:spacing w:after="40"/>
      </w:pPr>
    </w:p>
    <w:p>
      <w:r>
        <w:rPr>
          <w:rFonts w:ascii="Calibri" w:hAnsi="Calibri"/>
        </w:rPr>
        <w:t>Las expansiones de ECA3, ICA3, ICSo e ICEd se verificaron en páginas institucionales de la</w:t>
      </w:r>
    </w:p>
    <w:p>
      <w:hyperlink r:id="rId12">
        <w:r>
          <w:rPr>
            <w:color w:val="2E74B5"/>
            <w:u w:val="single"/>
          </w:rPr>
          <w:t>Universidad de O’Higgins</w:t>
        </w:r>
      </w:hyperlink>
      <w:r>
        <w:rPr>
          <w:rFonts w:ascii="Calibri" w:hAnsi="Calibri"/>
        </w:rPr>
        <w:t>. PAOCC se verificó en el sitio oficial del</w:t>
      </w:r>
    </w:p>
    <w:p>
      <w:hyperlink r:id="rId13">
        <w:r>
          <w:rPr>
            <w:color w:val="2E74B5"/>
            <w:u w:val="single"/>
          </w:rPr>
          <w:t>Ministerio de las Culturas, las Artes y el Patrimonio</w:t>
        </w:r>
      </w:hyperlink>
      <w:r>
        <w:rPr>
          <w:rFonts w:ascii="Calibri" w:hAnsi="Calibri"/>
        </w:rPr>
        <w:t>.</w:t>
      </w:r>
    </w:p>
    <w:p>
      <w:pPr>
        <w:pStyle w:val="Heading2"/>
      </w:pPr>
      <w:r>
        <w:t>Etiqueta que debe corregirse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500"/>
        <w:gridCol w:w="1100"/>
        <w:gridCol w:w="5760"/>
      </w:tblGrid>
      <w:tr>
        <w:trPr>
          <w:cantSplit/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Etiqueta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b/>
                <w:color w:val="17324D"/>
                <w:sz w:val="18"/>
              </w:rPr>
              <w:t>Eventos observados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Diagnóstico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Calendar_Month Inscribirse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27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Ruido de interfaz capturado desde Maipú en Común. Combina texto de un icono/calendario y un botón; no debe mostrarse como categoría pública. Se recomienda eliminarla durante la normalización.</w:t>
            </w:r>
          </w:p>
        </w:tc>
      </w:tr>
    </w:tbl>
    <w:p>
      <w:pPr>
        <w:spacing w:after="40"/>
      </w:pPr>
    </w:p>
    <w:p>
      <w:pPr>
        <w:pStyle w:val="Heading1"/>
      </w:pPr>
      <w:r>
        <w:t>6. Recomendación de taxonomía</w:t>
      </w:r>
    </w:p>
    <w:p>
      <w:r>
        <w:rPr>
          <w:rFonts w:ascii="Calibri" w:hAnsi="Calibri"/>
        </w:rPr>
        <w:t>La lista actual mezcla cuatro dimensiones distintas: tema, formato, audiencia y procedencia. Para</w:t>
      </w:r>
    </w:p>
    <w:p>
      <w:r>
        <w:rPr>
          <w:rFonts w:ascii="Calibri" w:hAnsi="Calibri"/>
        </w:rPr>
        <w:t>el MVP esto conserva fielmente la fuente, pero una interfaz de filtros más limpia debería añadir a</w:t>
      </w:r>
    </w:p>
    <w:p>
      <w:r>
        <w:rPr>
          <w:rFonts w:ascii="Consolas" w:hAnsi="Consolas"/>
          <w:color w:val="1F4D78"/>
          <w:sz w:val="19"/>
          <w:shd w:fill="EEF2F6"/>
        </w:rPr>
        <w:t>categories</w:t>
      </w:r>
      <w:r>
        <w:rPr>
          <w:rFonts w:ascii="Calibri" w:hAnsi="Calibri"/>
        </w:rPr>
        <w:t xml:space="preserve"> una clasificación futura como: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 propuesto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Ejemplos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discipline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Lectura de fuentes activas, organizadores no bloqueados, comunas, categorías y eventos publicados permitidos.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format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Taller, Feria, Festival, Exposición.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topic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Vino, Patrimonio cultural, Medio ambiente.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audience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Personas-Mayores, Pueblos-Originarios.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sector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Minería, Construcción, Industria naval.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program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Biblioverano, PAOCC.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source_taxonomy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Agenda Ciudad, ECA3, ICA3, ICSo, ICEd.</w:t>
            </w:r>
          </w:p>
        </w:tc>
      </w:tr>
    </w:tbl>
    <w:p>
      <w:pPr>
        <w:spacing w:after="40"/>
      </w:pPr>
    </w:p>
    <w:p>
      <w:r>
        <w:rPr>
          <w:rFonts w:ascii="Calibri" w:hAnsi="Calibri"/>
        </w:rPr>
        <w:t xml:space="preserve">También se recomienda incorporar </w:t>
      </w:r>
      <w:r>
        <w:rPr>
          <w:rFonts w:ascii="Consolas" w:hAnsi="Consolas"/>
          <w:color w:val="1F4D78"/>
          <w:sz w:val="19"/>
          <w:shd w:fill="EEF2F6"/>
        </w:rPr>
        <w:t>slug</w:t>
      </w:r>
      <w:r>
        <w:rPr>
          <w:rFonts w:ascii="Calibri" w:hAnsi="Calibri"/>
        </w:rPr>
        <w:t xml:space="preserve">, </w:t>
      </w:r>
      <w:r>
        <w:rPr>
          <w:rFonts w:ascii="Consolas" w:hAnsi="Consolas"/>
          <w:color w:val="1F4D78"/>
          <w:sz w:val="19"/>
          <w:shd w:fill="EEF2F6"/>
        </w:rPr>
        <w:t>description</w:t>
      </w:r>
      <w:r>
        <w:rPr>
          <w:rFonts w:ascii="Calibri" w:hAnsi="Calibri"/>
        </w:rPr>
        <w:t xml:space="preserve">, </w:t>
      </w:r>
      <w:r>
        <w:rPr>
          <w:rFonts w:ascii="Consolas" w:hAnsi="Consolas"/>
          <w:color w:val="1F4D78"/>
          <w:sz w:val="19"/>
          <w:shd w:fill="EEF2F6"/>
        </w:rPr>
        <w:t>category_type</w:t>
      </w:r>
      <w:r>
        <w:rPr>
          <w:rFonts w:ascii="Calibri" w:hAnsi="Calibri"/>
        </w:rPr>
        <w:t xml:space="preserve"> e </w:t>
      </w:r>
      <w:r>
        <w:rPr>
          <w:rFonts w:ascii="Consolas" w:hAnsi="Consolas"/>
          <w:color w:val="1F4D78"/>
          <w:sz w:val="19"/>
          <w:shd w:fill="EEF2F6"/>
        </w:rPr>
        <w:t>is_active</w:t>
      </w:r>
      <w:r>
        <w:rPr>
          <w:rFonts w:ascii="Calibri" w:hAnsi="Calibri"/>
        </w:rPr>
        <w:t xml:space="preserve"> en una</w:t>
      </w:r>
    </w:p>
    <w:p>
      <w:r>
        <w:rPr>
          <w:rFonts w:ascii="Calibri" w:hAnsi="Calibri"/>
        </w:rPr>
        <w:t xml:space="preserve">migración posterior, además de una tabla de alias. Así, </w:t>
      </w:r>
      <w:r>
        <w:rPr>
          <w:rFonts w:ascii="Consolas" w:hAnsi="Consolas"/>
          <w:color w:val="1F4D78"/>
          <w:sz w:val="19"/>
          <w:shd w:fill="EEF2F6"/>
        </w:rPr>
        <w:t>Ópera</w:t>
      </w:r>
      <w:r>
        <w:rPr>
          <w:rFonts w:ascii="Calibri" w:hAnsi="Calibri"/>
        </w:rPr>
        <w:t xml:space="preserve"> y </w:t>
      </w:r>
      <w:r>
        <w:rPr>
          <w:rFonts w:ascii="Consolas" w:hAnsi="Consolas"/>
          <w:color w:val="1F4D78"/>
          <w:sz w:val="19"/>
          <w:shd w:fill="EEF2F6"/>
        </w:rPr>
        <w:t>opera</w:t>
      </w:r>
      <w:r>
        <w:rPr>
          <w:rFonts w:ascii="Calibri" w:hAnsi="Calibri"/>
        </w:rPr>
        <w:t>, o etiquetas equivalentes</w:t>
      </w:r>
    </w:p>
    <w:p>
      <w:r>
        <w:rPr>
          <w:rFonts w:ascii="Calibri" w:hAnsi="Calibri"/>
        </w:rPr>
        <w:t>entre fuentes, pueden apuntar a una categoría canónica sin perder el texto original.</w:t>
      </w:r>
    </w:p>
    <w:p>
      <w:pPr>
        <w:pStyle w:val="Heading1"/>
      </w:pPr>
      <w:r>
        <w:t>7. Seguridad y acceso</w:t>
      </w:r>
    </w:p>
    <w:p>
      <w:r>
        <w:rPr>
          <w:rFonts w:ascii="Calibri" w:hAnsi="Calibri"/>
        </w:rPr>
        <w:t>La migración habilita Row Level Security en todas las tablas.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Rol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Acceso efectivo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anon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Lectura de fuentes activas, organizadores, comunas, categorías, eventos publicados, relaciones y multimedia publicada.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authenticated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La misma lectura pública; además puede leer/editar su nombre de perfil, administrar sus favoritos y crear/ver sus propios reportes.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service_role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Acceso completo para el proceso de ingesta. Debe permanecer exclusivamente en backend o CI.</w:t>
            </w:r>
          </w:p>
        </w:tc>
      </w:tr>
    </w:tbl>
    <w:p>
      <w:pPr>
        <w:spacing w:after="40"/>
      </w:pPr>
    </w:p>
    <w:p>
      <w:r>
        <w:rPr>
          <w:rFonts w:ascii="Consolas" w:hAnsi="Consolas"/>
          <w:color w:val="1F4D78"/>
          <w:sz w:val="19"/>
          <w:shd w:fill="EEF2F6"/>
        </w:rPr>
        <w:t>scrape_runs</w:t>
      </w:r>
      <w:r>
        <w:rPr>
          <w:rFonts w:ascii="Calibri" w:hAnsi="Calibri"/>
        </w:rPr>
        <w:t xml:space="preserve"> no posee lectura pública. El usuario no puede cambiar su propio </w:t>
      </w:r>
      <w:r>
        <w:rPr>
          <w:rFonts w:ascii="Consolas" w:hAnsi="Consolas"/>
          <w:color w:val="1F4D78"/>
          <w:sz w:val="19"/>
          <w:shd w:fill="EEF2F6"/>
        </w:rPr>
        <w:t>role</w:t>
      </w:r>
      <w:r>
        <w:rPr>
          <w:rFonts w:ascii="Calibri" w:hAnsi="Calibri"/>
        </w:rPr>
        <w:t xml:space="preserve"> ni actualizar</w:t>
      </w:r>
    </w:p>
    <w:p>
      <w:r>
        <w:rPr>
          <w:rFonts w:ascii="Calibri" w:hAnsi="Calibri"/>
        </w:rPr>
        <w:t>el estado de sus reportes desde el frontend.</w:t>
      </w:r>
    </w:p>
    <w:p>
      <w:pPr/>
      <w:r>
        <w:t>La vista public_event_catalog une eventos con source_name y organizer_name; para usuarios públicos hereda las reglas RLS y no expone eventos suprimidos ni organizadores bloqueados.</w:t>
      </w:r>
    </w:p>
    <w:p>
      <w:pPr>
        <w:pStyle w:val="Heading1"/>
      </w:pPr>
      <w:r>
        <w:t>8. Ciclo de carga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Se recorren todas las fuentes habilitadas.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 xml:space="preserve">Los conectores producen objetos </w:t>
      </w:r>
      <w:r>
        <w:rPr>
          <w:rFonts w:ascii="Consolas" w:hAnsi="Consolas"/>
          <w:color w:val="1F4D78"/>
          <w:sz w:val="19"/>
          <w:shd w:fill="EEF2F6"/>
        </w:rPr>
        <w:t>Event</w:t>
      </w:r>
      <w:r>
        <w:rPr>
          <w:rFonts w:ascii="Calibri" w:hAnsi="Calibri"/>
        </w:rPr>
        <w:t xml:space="preserve"> con un esquema común.</w:t>
      </w:r>
    </w:p>
    <w:p>
      <w:pPr>
        <w:numPr>
          <w:ilvl w:val="0"/>
          <w:numId w:val="11"/>
        </w:numPr>
      </w:pPr>
      <w:r>
        <w:t>El pipeline elimina duplicados, aplica pertinencia cultural y normaliza ubicación.</w:t>
      </w:r>
    </w:p>
    <w:p>
      <w:pPr>
        <w:numPr>
          <w:ilvl w:val="0"/>
          <w:numId w:val="11"/>
        </w:numPr>
      </w:pPr>
      <w:r>
        <w:t>Supabase identifica coincidencias por URL o clave compuesta y devuelve organizadores bloqueados.</w:t>
      </w:r>
    </w:p>
    <w:p>
      <w:pPr>
        <w:numPr>
          <w:ilvl w:val="0"/>
          <w:numId w:val="11"/>
        </w:numPr>
      </w:pPr>
      <w:r>
        <w:t>Solo eventos nuevos o modificados pasan por OCR, redacción editorial y normalización NVIDIA.</w:t>
      </w:r>
    </w:p>
    <w:p>
      <w:pPr>
        <w:numPr>
          <w:ilvl w:val="0"/>
          <w:numId w:val="11"/>
        </w:numPr>
      </w:pPr>
      <w:r>
        <w:t>Se generan respaldos JSON y CSV; luego se cargan entidades, eventos, evidencia y relaciones mediante upsert.</w:t>
      </w:r>
    </w:p>
    <w:p>
      <w:pPr>
        <w:numPr>
          <w:ilvl w:val="0"/>
          <w:numId w:val="11"/>
        </w:numPr>
      </w:pPr>
      <w:r>
        <w:t>La ejecución se registra en scrape_runs como running, succeeded o failed.</w:t>
      </w:r>
    </w:p>
    <w:p>
      <w:r>
        <w:rPr>
          <w:rFonts w:ascii="Calibri" w:hAnsi="Calibri"/>
        </w:rPr>
        <w:t xml:space="preserve">La carga empieza </w:t>
      </w:r>
      <w:r>
        <w:rPr>
          <w:rFonts w:ascii="Calibri" w:hAnsi="Calibri"/>
          <w:b/>
        </w:rPr>
        <w:t>después</w:t>
      </w:r>
      <w:r>
        <w:rPr>
          <w:rFonts w:ascii="Calibri" w:hAnsi="Calibri"/>
        </w:rPr>
        <w:t xml:space="preserve"> de finalizar la extracción completa; no se sube un evento inmediatamente</w:t>
      </w:r>
    </w:p>
    <w:p>
      <w:r>
        <w:rPr>
          <w:rFonts w:ascii="Calibri" w:hAnsi="Calibri"/>
        </w:rPr>
        <w:t xml:space="preserve">después de encontrarlo. </w:t>
      </w:r>
      <w:r>
        <w:rPr>
          <w:rFonts w:ascii="Consolas" w:hAnsi="Consolas"/>
          <w:color w:val="1F4D78"/>
          <w:sz w:val="19"/>
          <w:shd w:fill="EEF2F6"/>
        </w:rPr>
        <w:t>SUPABASE_BATCH_SIZE</w:t>
      </w:r>
      <w:r>
        <w:rPr>
          <w:rFonts w:ascii="Calibri" w:hAnsi="Calibri"/>
        </w:rPr>
        <w:t xml:space="preserve"> controla la cantidad máxima por solicitud REST.</w:t>
      </w:r>
    </w:p>
    <w:p>
      <w:pPr>
        <w:pStyle w:val="Heading1"/>
      </w:pPr>
      <w:r>
        <w:t>9. Consultas útiles</w:t>
      </w:r>
    </w:p>
    <w:p>
      <w:pPr>
        <w:pStyle w:val="Heading2"/>
      </w:pPr>
      <w:r>
        <w:t>Próximos eventos publicados</w:t>
      </w:r>
    </w:p>
    <w:p>
      <w:pPr>
        <w:spacing w:before="60" w:after="160" w:line="252" w:lineRule="auto"/>
        <w:ind w:left="216" w:right="216"/>
        <w:shd w:fill="F1F3F5"/>
      </w:pPr>
      <w:r>
        <w:rPr>
          <w:rFonts w:ascii="Consolas" w:hAnsi="Consolas"/>
          <w:color w:val="17324D"/>
          <w:sz w:val="17"/>
        </w:rPr>
        <w:t>select id, title, start_at, venue, city, region, is_free</w:t>
      </w:r>
      <w:r>
        <w:br/>
      </w:r>
      <w:r>
        <w:rPr>
          <w:rFonts w:ascii="Consolas" w:hAnsi="Consolas"/>
          <w:color w:val="17324D"/>
          <w:sz w:val="17"/>
        </w:rPr>
        <w:t>from public.events</w:t>
      </w:r>
      <w:r>
        <w:br/>
      </w:r>
      <w:r>
        <w:rPr>
          <w:rFonts w:ascii="Consolas" w:hAnsi="Consolas"/>
          <w:color w:val="17324D"/>
          <w:sz w:val="17"/>
        </w:rPr>
        <w:t>where status = 'published'</w:t>
      </w:r>
      <w:r>
        <w:br/>
      </w:r>
      <w:r>
        <w:rPr>
          <w:rFonts w:ascii="Consolas" w:hAnsi="Consolas"/>
          <w:color w:val="17324D"/>
          <w:sz w:val="17"/>
        </w:rPr>
        <w:t xml:space="preserve">  and (end_at &gt;= now() or (end_at is null and start_at &gt;= now()))</w:t>
      </w:r>
      <w:r>
        <w:br/>
      </w:r>
      <w:r>
        <w:rPr>
          <w:rFonts w:ascii="Consolas" w:hAnsi="Consolas"/>
          <w:color w:val="17324D"/>
          <w:sz w:val="17"/>
        </w:rPr>
        <w:t>order by start_at nulls last;</w:t>
      </w:r>
    </w:p>
    <w:p>
      <w:pPr>
        <w:pStyle w:val="Heading2"/>
      </w:pPr>
      <w:r>
        <w:t>Eventos con sus categorías</w:t>
      </w:r>
    </w:p>
    <w:p>
      <w:pPr>
        <w:spacing w:before="60" w:after="160" w:line="252" w:lineRule="auto"/>
        <w:ind w:left="216" w:right="216"/>
        <w:shd w:fill="F1F3F5"/>
      </w:pPr>
      <w:r>
        <w:rPr>
          <w:rFonts w:ascii="Consolas" w:hAnsi="Consolas"/>
          <w:color w:val="17324D"/>
          <w:sz w:val="17"/>
        </w:rPr>
        <w:t>select</w:t>
      </w:r>
      <w:r>
        <w:br/>
      </w:r>
      <w:r>
        <w:rPr>
          <w:rFonts w:ascii="Consolas" w:hAnsi="Consolas"/>
          <w:color w:val="17324D"/>
          <w:sz w:val="17"/>
        </w:rPr>
        <w:t xml:space="preserve">  e.id,</w:t>
      </w:r>
      <w:r>
        <w:br/>
      </w:r>
      <w:r>
        <w:rPr>
          <w:rFonts w:ascii="Consolas" w:hAnsi="Consolas"/>
          <w:color w:val="17324D"/>
          <w:sz w:val="17"/>
        </w:rPr>
        <w:t xml:space="preserve">  e.title,</w:t>
      </w:r>
      <w:r>
        <w:br/>
      </w:r>
      <w:r>
        <w:rPr>
          <w:rFonts w:ascii="Consolas" w:hAnsi="Consolas"/>
          <w:color w:val="17324D"/>
          <w:sz w:val="17"/>
        </w:rPr>
        <w:t xml:space="preserve">  array_agg(c.name order by c.name) as categories</w:t>
      </w:r>
      <w:r>
        <w:br/>
      </w:r>
      <w:r>
        <w:rPr>
          <w:rFonts w:ascii="Consolas" w:hAnsi="Consolas"/>
          <w:color w:val="17324D"/>
          <w:sz w:val="17"/>
        </w:rPr>
        <w:t>from public.events e</w:t>
      </w:r>
      <w:r>
        <w:br/>
      </w:r>
      <w:r>
        <w:rPr>
          <w:rFonts w:ascii="Consolas" w:hAnsi="Consolas"/>
          <w:color w:val="17324D"/>
          <w:sz w:val="17"/>
        </w:rPr>
        <w:t>left join public.event_categories ec on ec.event_id = e.id</w:t>
      </w:r>
      <w:r>
        <w:br/>
      </w:r>
      <w:r>
        <w:rPr>
          <w:rFonts w:ascii="Consolas" w:hAnsi="Consolas"/>
          <w:color w:val="17324D"/>
          <w:sz w:val="17"/>
        </w:rPr>
        <w:t>left join public.categories c on c.id = ec.category_id</w:t>
      </w:r>
      <w:r>
        <w:br/>
      </w:r>
      <w:r>
        <w:rPr>
          <w:rFonts w:ascii="Consolas" w:hAnsi="Consolas"/>
          <w:color w:val="17324D"/>
          <w:sz w:val="17"/>
        </w:rPr>
        <w:t>group by e.id, e.title</w:t>
      </w:r>
      <w:r>
        <w:br/>
      </w:r>
      <w:r>
        <w:rPr>
          <w:rFonts w:ascii="Consolas" w:hAnsi="Consolas"/>
          <w:color w:val="17324D"/>
          <w:sz w:val="17"/>
        </w:rPr>
        <w:t>order by e.title;</w:t>
      </w:r>
    </w:p>
    <w:p>
      <w:pPr>
        <w:pStyle w:val="Heading2"/>
      </w:pPr>
      <w:r>
        <w:t>Cantidad por fuente</w:t>
      </w:r>
    </w:p>
    <w:p>
      <w:pPr>
        <w:spacing w:before="60" w:after="160" w:line="252" w:lineRule="auto"/>
        <w:ind w:left="216" w:right="216"/>
        <w:shd w:fill="F1F3F5"/>
      </w:pPr>
      <w:r>
        <w:rPr>
          <w:rFonts w:ascii="Consolas" w:hAnsi="Consolas"/>
          <w:color w:val="17324D"/>
          <w:sz w:val="17"/>
        </w:rPr>
        <w:t>select s.name as source, count(*) as events</w:t>
      </w:r>
      <w:r>
        <w:br/>
      </w:r>
      <w:r>
        <w:rPr>
          <w:rFonts w:ascii="Consolas" w:hAnsi="Consolas"/>
          <w:color w:val="17324D"/>
          <w:sz w:val="17"/>
        </w:rPr>
        <w:t>from public.events e</w:t>
      </w:r>
      <w:r>
        <w:br/>
      </w:r>
      <w:r>
        <w:rPr>
          <w:rFonts w:ascii="Consolas" w:hAnsi="Consolas"/>
          <w:color w:val="17324D"/>
          <w:sz w:val="17"/>
        </w:rPr>
        <w:t>join public.sources s on s.id = e.source_id</w:t>
      </w:r>
      <w:r>
        <w:br/>
      </w:r>
      <w:r>
        <w:rPr>
          <w:rFonts w:ascii="Consolas" w:hAnsi="Consolas"/>
          <w:color w:val="17324D"/>
          <w:sz w:val="17"/>
        </w:rPr>
        <w:t>group by s.id, s.name</w:t>
      </w:r>
      <w:r>
        <w:br/>
      </w:r>
      <w:r>
        <w:rPr>
          <w:rFonts w:ascii="Consolas" w:hAnsi="Consolas"/>
          <w:color w:val="17324D"/>
          <w:sz w:val="17"/>
        </w:rPr>
        <w:t>order by events desc;</w:t>
      </w:r>
    </w:p>
    <w:p>
      <w:pPr>
        <w:pStyle w:val="Heading2"/>
      </w:pPr>
      <w:r>
        <w:t>Últimas ejecuciones</w:t>
      </w:r>
    </w:p>
    <w:p>
      <w:pPr>
        <w:spacing w:before="60" w:after="160" w:line="252" w:lineRule="auto"/>
        <w:ind w:left="216" w:right="216"/>
        <w:shd w:fill="F1F3F5"/>
      </w:pPr>
      <w:r>
        <w:rPr>
          <w:rFonts w:ascii="Consolas" w:hAnsi="Consolas"/>
          <w:color w:val="17324D"/>
          <w:sz w:val="17"/>
        </w:rPr>
        <w:t>select started_at, finished_at, status, events_count, error_message, metadata</w:t>
      </w:r>
      <w:r>
        <w:br/>
      </w:r>
      <w:r>
        <w:rPr>
          <w:rFonts w:ascii="Consolas" w:hAnsi="Consolas"/>
          <w:color w:val="17324D"/>
          <w:sz w:val="17"/>
        </w:rPr>
        <w:t>from public.scrape_runs</w:t>
      </w:r>
      <w:r>
        <w:br/>
      </w:r>
      <w:r>
        <w:rPr>
          <w:rFonts w:ascii="Consolas" w:hAnsi="Consolas"/>
          <w:color w:val="17324D"/>
          <w:sz w:val="17"/>
        </w:rPr>
        <w:t>order by started_at desc</w:t>
      </w:r>
      <w:r>
        <w:br/>
      </w:r>
      <w:r>
        <w:rPr>
          <w:rFonts w:ascii="Consolas" w:hAnsi="Consolas"/>
          <w:color w:val="17324D"/>
          <w:sz w:val="17"/>
        </w:rPr>
        <w:t>limit 20;</w:t>
      </w:r>
    </w:p>
    <w:p>
      <w:pPr>
        <w:pStyle w:val="Heading1"/>
      </w:pPr>
      <w:r>
        <w:t>10. Limitaciones conocidas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No existe todavía una marca explícita para eventos de día completo.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price_text</w:t>
      </w:r>
      <w:r>
        <w:rPr>
          <w:rFonts w:ascii="Calibri" w:hAnsi="Calibri"/>
        </w:rPr>
        <w:t xml:space="preserve"> no permite comparar precios numéricamente.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Las categorías proceden de varias fuentes y todavía no cuentan con jerarquía o tipo almacenado.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Algunos registros de Chile Cultura parecen corresponder a directorios de lugares o guías, no a</w:t>
      </w:r>
    </w:p>
    <w:p>
      <w:r>
        <w:rPr>
          <w:rFonts w:ascii="Calibri" w:hAnsi="Calibri"/>
        </w:rPr>
        <w:t>eventos fechados; deben distinguirse en una futura regla de calidad.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Calendar_Month Inscribirse</w:t>
      </w:r>
      <w:r>
        <w:rPr>
          <w:rFonts w:ascii="Calibri" w:hAnsi="Calibri"/>
        </w:rPr>
        <w:t xml:space="preserve"> es una etiqueta inválida conocida.</w:t>
      </w:r>
    </w:p>
    <w:p>
      <w:pPr/>
      <w:r>
        <w:t>Con SUPABASE_DELETE_EXPIRED=true, se eliminan físicamente los eventos terminados; los registros sin fecha no se eliminan automáticamente.</w:t>
      </w:r>
    </w:p>
    <w:p>
      <w:pPr>
        <w:numPr>
          <w:ilvl w:val="0"/>
          <w:numId w:val="10"/>
        </w:numPr>
      </w:pPr>
      <w:r>
        <w:t>Con SUPABASE_RECONCILE_STALE=true, una fuente exitosa que devuelve al menos un evento puede retirar registros que no aparecen en su snapshot. Las fuentes fallidas o vacías no se reconcilian.</w:t>
      </w:r>
    </w:p>
    <w:p>
      <w:r/>
    </w:p>
    <w:p>
      <w:pPr>
        <w:numPr>
          <w:ilvl w:val="0"/>
          <w:numId w:val="10"/>
        </w:numPr>
      </w:pPr>
      <w:r>
        <w:rPr>
          <w:rFonts w:ascii="Calibri" w:hAnsi="Calibri"/>
        </w:rPr>
        <w:t>Una sincronización REST puede quedar parcialmente aplicada; la repetición idempotente es el</w:t>
      </w:r>
    </w:p>
    <w:p>
      <w:r>
        <w:rPr>
          <w:rFonts w:ascii="Calibri" w:hAnsi="Calibri"/>
        </w:rPr>
        <w:t>mecanismo de recuperación actual.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5E6B78"/>
        <w:sz w:val="17"/>
      </w:rPr>
      <w:t xml:space="preserve">Uso personal  ·  Página </w:t>
    </w:r>
    <w:r>
      <w:rPr>
        <w:rFonts w:ascii="Calibri" w:hAnsi="Calibri"/>
        <w:color w:val="5E6B78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/>
        <w:b/>
        <w:color w:val="5E6B78"/>
        <w:sz w:val="17"/>
      </w:rPr>
      <w:t>EVENTOS CULTURALES · DICCIONARIO DE DATOS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17324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Calibri" w:hAnsi="Calibri"/>
      <w:i/>
      <w:iCs/>
      <w:color w:val="5E6B7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www.uoh.cl/" TargetMode="External"/><Relationship Id="rId13" Type="http://schemas.openxmlformats.org/officeDocument/2006/relationships/hyperlink" Target="https://www.cultura.gob.cl/paoc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 de datos de eventos culturales</dc:title>
  <dc:subject>Diccionario de tablas, columnas, relaciones y categorías</dc:subject>
  <dc:creator/>
  <cp:keywords>Supabase, PostgreSQL, eventos culturales, diccionario de datos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