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70" w:before="1950"/>
        <w:jc w:val="center"/>
      </w:pPr>
      <w:r>
        <w:rPr>
          <w:rFonts w:ascii="Arial" w:cs="Arial" w:eastAsia="Arial" w:hAnsi="Arial"/>
          <w:b/>
          <w:bCs/>
          <w:color w:val="B6975A"/>
          <w:spacing w:val="80"/>
          <w:sz w:val="14"/>
          <w:szCs w:val="14"/>
        </w:rPr>
        <w:t xml:space="preserve">DOCUMENTACIÓN TÉCNICA</w:t>
      </w:r>
    </w:p>
    <w:p>
      <w:pPr>
        <w:pBdr>
          <w:bottom w:val="single" w:color="C9D5DB" w:sz="5" w:space="8"/>
        </w:pBdr>
        <w:spacing w:after="260"/>
      </w:pPr>
    </w:p>
    <w:p>
      <w:pPr>
        <w:spacing w:after="120"/>
        <w:jc w:val="center"/>
      </w:pPr>
      <w:r>
        <w:rPr>
          <w:rFonts w:ascii="Cambria" w:cs="Cambria" w:eastAsia="Cambria" w:hAnsi="Cambria"/>
          <w:color w:val="26343B"/>
          <w:sz w:val="34"/>
          <w:szCs w:val="34"/>
        </w:rPr>
        <w:t xml:space="preserve">Base de datos de</w:t>
      </w:r>
    </w:p>
    <w:p>
      <w:pPr>
        <w:spacing w:after="190"/>
        <w:jc w:val="center"/>
      </w:pPr>
      <w:r>
        <w:rPr>
          <w:rFonts w:ascii="Cambria" w:cs="Cambria" w:eastAsia="Cambria" w:hAnsi="Cambria"/>
          <w:b/>
          <w:bCs/>
          <w:color w:val="26343B"/>
          <w:sz w:val="38"/>
          <w:szCs w:val="38"/>
        </w:rPr>
        <w:t xml:space="preserve">eventos culturales</w:t>
      </w:r>
    </w:p>
    <w:p>
      <w:pPr>
        <w:pBdr>
          <w:bottom w:val="single" w:color="C9D5DB" w:sz="5" w:space="10"/>
        </w:pBdr>
        <w:spacing w:after="310"/>
        <w:jc w:val="center"/>
      </w:pPr>
      <w:r>
        <w:rPr>
          <w:rFonts w:ascii="Cambria" w:cs="Cambria" w:eastAsia="Cambria" w:hAnsi="Cambria"/>
          <w:i/>
          <w:iCs/>
          <w:color w:val="78848A"/>
          <w:sz w:val="18"/>
          <w:szCs w:val="18"/>
        </w:rPr>
        <w:t xml:space="preserve">Diccionario de tablas, columnas, relaciones y categorías</w:t>
      </w:r>
    </w:p>
    <w:p>
      <w:pPr>
        <w:spacing w:after="95"/>
        <w:jc w:val="center"/>
      </w:pPr>
      <w:r>
        <w:rPr>
          <w:rFonts w:ascii="Arial" w:cs="Arial" w:eastAsia="Arial" w:hAnsi="Arial"/>
          <w:b/>
          <w:bCs/>
          <w:color w:val="26343B"/>
          <w:sz w:val="16"/>
          <w:szCs w:val="16"/>
        </w:rPr>
        <w:t xml:space="preserve">MVP · Agregador de eventos culturales de Chile</w:t>
      </w:r>
    </w:p>
    <w:p>
      <w:pPr>
        <w:spacing w:after="65"/>
        <w:jc w:val="center"/>
      </w:pPr>
      <w:r>
        <w:rPr>
          <w:rFonts w:ascii="Arial" w:cs="Arial" w:eastAsia="Arial" w:hAnsi="Arial"/>
          <w:color w:val="78848A"/>
          <w:sz w:val="14"/>
          <w:szCs w:val="14"/>
        </w:rPr>
        <w:t xml:space="preserve">Versión documentada: 3 de octubre de 2026</w:t>
      </w:r>
    </w:p>
    <w:p>
      <w:pPr>
        <w:spacing w:after="65"/>
        <w:jc w:val="center"/>
      </w:pPr>
      <w:r>
        <w:rPr>
          <w:rFonts w:ascii="Arial" w:cs="Arial" w:eastAsia="Arial" w:hAnsi="Arial"/>
          <w:color w:val="78848A"/>
          <w:sz w:val="12"/>
          <w:szCs w:val="12"/>
        </w:rPr>
        <w:t xml:space="preserve">Migraciones: 20260831000100 · 20260902000100 · 20260911000100 · 20260912000100 · 20260921000100 · 20260924000100</w:t>
      </w:r>
    </w:p>
    <w:p>
      <w:pPr>
        <w:jc w:val="center"/>
      </w:pPr>
      <w:r>
        <w:rPr>
          <w:rFonts w:ascii="Arial" w:cs="Arial" w:eastAsia="Arial" w:hAnsi="Arial"/>
          <w:color w:val="B6975A"/>
          <w:sz w:val="13"/>
          <w:szCs w:val="13"/>
        </w:rPr>
        <w:t xml:space="preserve">Documento de uso personal</w:t>
      </w:r>
    </w:p>
    <w:p>
      <w:r>
        <w:br w:type="page"/>
      </w:r>
    </w:p>
    <w:p>
      <w:pPr>
        <w:spacing w:after="240" w:before="180"/>
      </w:pPr>
      <w:r>
        <w:rPr>
          <w:rFonts w:ascii="Cambria" w:cs="Cambria" w:eastAsia="Cambria" w:hAnsi="Cambria"/>
          <w:b/>
          <w:bCs/>
          <w:color w:val="B6975A"/>
          <w:sz w:val="28"/>
          <w:szCs w:val="28"/>
        </w:rPr>
        <w:t xml:space="preserve">Contenido</w:t>
      </w:r>
    </w:p>
    <w:p>
      <w:pPr>
        <w:spacing w:after="9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01  Vista general</w:t>
      </w:r>
    </w:p>
    <w:p>
      <w:pPr>
        <w:spacing w:after="90"/>
      </w:pPr>
      <w:r>
        <w:rPr>
          <w:rFonts w:ascii="Arial" w:cs="Arial" w:eastAsia="Arial" w:hAnsi="Arial"/>
          <w:color w:val="78848A"/>
          <w:sz w:val="17"/>
          <w:szCs w:val="17"/>
        </w:rPr>
        <w:t xml:space="preserve">02  Convenciones generales</w:t>
      </w:r>
    </w:p>
    <w:p>
      <w:pPr>
        <w:spacing w:after="9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03  Diccionario de tablas y columnas</w:t>
      </w:r>
    </w:p>
    <w:p>
      <w:pPr>
        <w:spacing w:after="90"/>
      </w:pPr>
      <w:r>
        <w:rPr>
          <w:rFonts w:ascii="Arial" w:cs="Arial" w:eastAsia="Arial" w:hAnsi="Arial"/>
          <w:color w:val="78848A"/>
          <w:sz w:val="17"/>
          <w:szCs w:val="17"/>
        </w:rPr>
        <w:t xml:space="preserve">04  Índices y reglas de integridad</w:t>
      </w:r>
    </w:p>
    <w:p>
      <w:pPr>
        <w:spacing w:after="9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05  Diccionario de categorías observadas</w:t>
      </w:r>
    </w:p>
    <w:p>
      <w:pPr>
        <w:spacing w:after="90"/>
      </w:pPr>
      <w:r>
        <w:rPr>
          <w:rFonts w:ascii="Arial" w:cs="Arial" w:eastAsia="Arial" w:hAnsi="Arial"/>
          <w:color w:val="78848A"/>
          <w:sz w:val="17"/>
          <w:szCs w:val="17"/>
        </w:rPr>
        <w:t xml:space="preserve">06  Recomendación de taxonomía</w:t>
      </w:r>
    </w:p>
    <w:p>
      <w:pPr>
        <w:spacing w:after="9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07  Seguridad y acceso</w:t>
      </w:r>
    </w:p>
    <w:p>
      <w:pPr>
        <w:spacing w:after="90"/>
      </w:pPr>
      <w:r>
        <w:rPr>
          <w:rFonts w:ascii="Arial" w:cs="Arial" w:eastAsia="Arial" w:hAnsi="Arial"/>
          <w:color w:val="78848A"/>
          <w:sz w:val="17"/>
          <w:szCs w:val="17"/>
        </w:rPr>
        <w:t xml:space="preserve">08  Ciclo de carga</w:t>
      </w:r>
    </w:p>
    <w:p>
      <w:pPr>
        <w:spacing w:after="9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09  Consultas útiles</w:t>
      </w:r>
    </w:p>
    <w:p>
      <w:pPr>
        <w:spacing w:after="90"/>
      </w:pPr>
      <w:r>
        <w:rPr>
          <w:rFonts w:ascii="Arial" w:cs="Arial" w:eastAsia="Arial" w:hAnsi="Arial"/>
          <w:color w:val="78848A"/>
          <w:sz w:val="17"/>
          <w:szCs w:val="17"/>
        </w:rPr>
        <w:t xml:space="preserve">10  Limitaciones conocidas</w:t>
      </w:r>
    </w:p>
    <w:p>
      <w:pPr>
        <w:spacing w:after="70" w:before="240"/>
      </w:pPr>
      <w:r>
        <w:rPr>
          <w:rFonts w:ascii="Arial" w:cs="Arial" w:eastAsia="Arial" w:hAnsi="Arial"/>
          <w:b/>
          <w:bCs/>
          <w:color w:val="368991"/>
          <w:sz w:val="16"/>
          <w:szCs w:val="16"/>
        </w:rPr>
        <w:t xml:space="preserve">Estado del modelo</w:t>
      </w:r>
    </w:p>
    <w:p>
      <w:r>
        <w:rPr>
          <w:rFonts w:ascii="Arial" w:cs="Arial" w:eastAsia="Arial" w:hAnsi="Arial"/>
          <w:color w:val="78848A"/>
          <w:sz w:val="15"/>
          <w:szCs w:val="15"/>
        </w:rPr>
        <w:t xml:space="preserve">La versión vigente reemplaza favorites por user_event_interactions y publica el catálogo mediante staging y una RPC transaccional.</w:t>
      </w:r>
    </w:p>
    <w:p>
      <w:r>
        <w:br w:type="page"/>
      </w:r>
    </w:p>
    <w:p>
      <w:pPr>
        <w:pStyle w:val="Heading1"/>
        <w:keepNext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1. Vista general</w:t>
      </w:r>
    </w:p>
    <w:p>
      <w:pPr>
        <w:spacing w:after="80" w:before="80"/>
        <w:jc w:val="center"/>
      </w:pPr>
      <w:r>
        <w:drawing>
          <wp:inline distT="0" distB="0" distL="0" distR="0">
            <wp:extent cx="59055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78848A"/>
          <w:sz w:val="15"/>
          <w:szCs w:val="15"/>
        </w:rPr>
        <w:t xml:space="preserve">Figura 1. Relaciones principales del esquema vigente.</w:t>
      </w:r>
    </w:p>
    <w:p>
      <w:pPr>
        <w:spacing w:after="90" w:line="270"/>
        <w:jc w:val="both"/>
      </w:pP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scrape_runs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registra la salud de cada sincronización y no necesita una clave foránea hacia los eventos. Una ejecución puede descubrir cientos de eventos, pero los eventos permanecen vigentes entre ejecuciones mediante sus identificadores deterministas.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Tablas de ingesta y catálogo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00"/>
      </w:tblGrid>
      <w:tr>
        <w:trPr>
          <w:cantSplit/>
          <w:tblHeader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Tabla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Finalidad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Agenda, municipalidad, ticketera o sitio desde el que se obtuvo la información.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organizers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Institución o entidad responsable de organizar el evento.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communes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Ubicación administrativa normalizada del evento.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categories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Etiquetas temáticas, de formato, audiencia o procedencia.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Registro canónico de cada evento consolidado.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event_categories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Relación muchos-a-muchos entre eventos y categorías.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media_assets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Imágenes y futuros videos, audios o documentos asociados.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event_provenance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Evidencia privada: texto original, OCR y URL canónica.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scrape_runs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Bitácora técnica de ejecuciones locales y de GitHub Actions.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catalog_staging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Fragmentos privados temporales usados para publicar un lote de forma atómica.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Tablas de aplicación y usuarios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00"/>
      </w:tblGrid>
      <w:tr>
        <w:trPr>
          <w:cantSplit/>
          <w:tblHeader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Tabla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Finalidad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profiles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Perfil público mínimo asociado a Supabase Auth.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user_event_interactions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Señales de comportamiento para recomendaciones: visualizaciones, interés, descarte, aperturas y compartidos.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reports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Avisos de usuarios sobre información incorrecta o problemática.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Vistas y funciones operativas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Objeto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Finalidad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public_event_catalog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Vista pública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Entrega eventos publicados con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source_name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y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organizer_name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respetando RLS, supresión y bloqueos.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set_updated_at()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Trigger function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Mantiene automáticamente las columnas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handle_new_user()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Trigger function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Crea el perfil mínimo al registrarse un usuario en Supabase Auth.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match_existing_events(jsonb)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RPC privada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Detecta coincidencias antes de OCR y redacción, y reutiliza procedencia editorial existente.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is_organizer_blocked(uuid)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Función de seguridad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Permite aplicar la exclusión de organizadores sin exponer sus columnas administrativas.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publish_staged_catalog(...)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RPC privada y transaccional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Publica un lote completo desde staging, reconcilia registros obsoletos y elimina eventos vencidos.</w:t>
            </w:r>
          </w:p>
        </w:tc>
      </w:tr>
    </w:tbl>
    <w:p>
      <w:pPr>
        <w:pStyle w:val="Heading1"/>
        <w:keepNext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2. Convenciones generales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Todos los nombres usan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snake_case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Las claves primarias son UUID. El scraper produce UUID v5 deterministas para el catálogo;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repetir una extracción actualiza las mismas filas mediante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upsert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timestamptz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representa fecha y hora con zona horaria. Supabase la almacena internamente de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forma normalizada y el cliente debe presentarla en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America/Santiago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cuando corresponda.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Un valor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null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significa que la fuente no entregó el dato o que no pudo validarse. No debe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interpretarse como una cadena vacía ni como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false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created_at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indica cuándo nació la fila;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updated_at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, su última modificación;</w:t>
      </w:r>
    </w:p>
    <w:p>
      <w:pPr>
        <w:spacing w:after="90" w:line="270"/>
        <w:jc w:val="both"/>
      </w:pP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last_seen_at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la última extracción en que el registro volvió a encontrarse.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Las fechas textuales no interpretables, como “por confirmar”, descartan el evento antes de llamar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a Supabase. Las fechas sin offset se localizan en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America/Santiago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 Si solo se conoce una fecha sin hora, PostgreSQL la recibe a medianoche; la versión actual todavía no posee un campo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is_all_day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para distinguir esos casos.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location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siempre contiene una etiqueta utilizable.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location_precision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evita confundir una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región de respaldo con una dirección exacta y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location_source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registra cómo se obtuvo.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La clave secreta de Supabase se utiliza únicamente en el scraper o en CI. Nunca pertenece al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navegador, al frontend, al repositorio ni a los logs.</w:t>
      </w:r>
    </w:p>
    <w:p>
      <w:pPr>
        <w:pStyle w:val="Heading1"/>
        <w:keepNext/>
        <w:pageBreakBefore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3. Diccionario de tablas y columnas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sources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Catálogo de fuentes. Un registro representa el sitio o agenda de procedencia, no una página de detalle individual.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UUID determinista derivado del nombre normalizado de la fuente.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único sin distinguir mayúsculas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Nombre legible, por ejemplo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Chile Cultura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website_url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Origen web principal, normalmente protocolo y dominio.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is_active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true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Indica si la fuente se considera activa para lectura pública. No activa ni desactiva el conector local.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last_seen_at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carga en que la fuente aportó al menos un evento.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de creación de la fila.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actualización; mantenida por trigger.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organizers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Entidades que producen, convocan o gestionan eventos. Puede tratarse de una municipalidad, corporación cultural, universidad, museo, productora u otra organización.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UUID determinista derivado del nombre normalizado.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único sin distinguir mayúsculas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Nombre publicado por la fuente.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entity_type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Clasificación futura, por ejemplo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municipality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university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producer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; el scraper actual envía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null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last_seen_at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ejecución en que apareció la organización.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is_blocked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false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Si es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true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el organizador y todos sus eventos dejan de ser visibles y de procesarse con IA.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blocked_reason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Motivo administrativo de la exclusión.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blocked_at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en que se aplicó el bloqueo.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de creación.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modificación.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communes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Catálogo territorial. Su identidad combina país, región y comuna para evitar ambigüedades.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UUID determinista de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país + región + comuna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Nombre de la comuna, por ejemplo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Santiago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region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Región administrativa informada o inferida por el conector.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country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Chile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País de la comuna.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de creación.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modificación.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categories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Catálogo dinámico de etiquetas. La tabla no limita las categorías a una lista cerrada porque cada fuente puede incorporar nuevas taxonomías. El significado de las etiquetas observadas se detalla en la sección 5.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UUID determinista del nombre normalizado; evita duplicados por mayúsculas o acentos.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único sin distinguir mayúsculas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Etiqueta conservada para visualización.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Primera aparición de la categoría.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modificación de su nombre.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events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Tabla central. Una fila es la representación consolidada de un evento luego de extraer, filtrar por región y deduplicar todas las fuentes.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 y origen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UUID v5 derivado de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external_key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; estable entre ejecuciones.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external_key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único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Identificador canónico de deduplicación. Usa título, fecha y lugar; si falta ubicación incorpora fuente y URL para evitar colisiones.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FK obligatoria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Fuente que aportó el registro conservado.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organizer_id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FK opcional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organizers.id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Organizador normalizado; queda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null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si no se publicó.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commune_id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FK opcional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communes.id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Comuna normalizada; queda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null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si no pudo determinarse.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title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Nombre público del evento. Los registros sin título se descartan antes de cargar.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start_at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Columna nullable; obligatorio para la ingesta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Inicio del evento con offset. El scraper descarta eventos sin una fecha válida.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end_at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Término del evento; puede coincidir con el inicio o ser desconocido.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venue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Nombre del recinto, sala, parque, viña o espacio virtual.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address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Dirección textual publicada por la fuente.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city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Ciudad o localidad; no sustituye la comuna administrativa.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region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Copia denormalizada de la región para filtros rápidos.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country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Chile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País del evento.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postal_code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Código postal publicado o configurado para la fuente.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latitude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double precision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Latitud validada entre -90 y 90.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longitude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double precision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Longitud validada entre -180 y 180.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location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Etiqueta canónica para mostrar y buscar, construida desde recinto, dirección y territorio. Nunca queda vacía.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location_precision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Nivel disponible: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exact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coordinates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venue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commune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city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region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online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country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location_source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Procedencia: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source-data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source-default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deterministic-inference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nvidia-nim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geographic-fallback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published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Estado editorial: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published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cancelled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draft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archived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 El scraper actual carga como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published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is_suppressed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false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Exclusión administrativa persistente; el scraper no la sobrescribe.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suppression_reason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Motivo de la exclusión individual.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suppressed_at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en que se ocultó el evento.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audience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Público objetivo textual, por ejemplo familiar o mayores de edad.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is_free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true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: gratuito;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false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: pagado;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null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: la fuente no permite determinarlo.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Versión editorial factual destinada a publicación. No sustituye la evidencia privada.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price_text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Precio tal como fue informado, incluidos rangos o condiciones. No es un valor numérico contable.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currency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CLP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Moneda asociada a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price_text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; se recomienda código ISO 4217.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image_url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Imagen principal para consultas sencillas. También se refleja en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media_assets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source_url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Página exacta o endpoint desde el que se extrajo la información.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official_url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Página oficial o canónica del evento, si es distinta de la fuente intermediaria.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extraction_method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Método usado, por ejemplo API, JSON-LD, tarjetas HTML, Playwright o NVIDIA NIM.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scraped_at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en que el conector obtuvo el registro.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last_seen_at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sincronización que volvió a encontrar el evento. Permite detectar registros posiblemente vencidos.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Primera inserción en Supabase.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upsert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modificación.</w:t>
            </w:r>
          </w:p>
        </w:tc>
      </w:tr>
    </w:tbl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La eliminación de una fuente está restringida mientras tenga eventos. Si se elimina un organizador o una comuna, su referencia en el evento se convierte en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null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y el evento permanece.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event_provenance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Tabla privada para auditoría y reutilización de resultados. No tiene permisos para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anon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ni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authenticated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 y FK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Evento al que pertenece la evidencia.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original_url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URL normalizada utilizada en la deduplicación previa.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source_description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Descripción saneada tal como fue obtenida de la fuente.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ocr_text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Texto visible transcrito desde el afiche.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is_rewritten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Indica si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events.description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difiere del texto original.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actualización de la evidencia.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event_categories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Tabla puente. Un evento puede tener cero, una o muchas categorías, y una categoría puede pertenecer a muchos eventos.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 compuesta, FK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Evento clasificado. Se elimina en cascada con el evento.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category_id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 compuesta, FK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categories.id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Categoría asignada. Se elimina en cascada con la categoría.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de creación de la asociación.</w:t>
            </w:r>
          </w:p>
        </w:tc>
      </w:tr>
    </w:tbl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Antes de reinsertar las categorías de un lote, el exportador elimina sus asociaciones anteriores. Esto permite retirar una categoría que ya no aparezca en la fuente sin duplicar relaciones.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media_assets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Recursos visuales o descargables asociados al evento. En el MVP solo se cargan imágenes.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UUID determinista de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evento + URL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FK obligatoria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Evento propietario; eliminación en cascada.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url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única por evento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Dirección pública del recurso.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media_type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image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Uno de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image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video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audio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document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is_primary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false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Señala el recurso principal. La imagen importada actualmente se marca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true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de creación.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scrape_runs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Bitácora de observabilidad. Permite saber si una ejecución alcanzó Supabase, terminó correctamente o falló durante la carga.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automático o enviado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Identificador único de la ejecución.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started_at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Inicio de la sincronización con Supabase, posterior a la extracción completa.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finished_at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Término exitoso o fallido; es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null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mientras figura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running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running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succeeded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failed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events_count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integer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No negativo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Cantidad de eventos consolidados que se intentó cargar.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error_message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Resumen técnico del error, limitado por el cliente a 2.000 caracteres.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metadata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jsonb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{}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Entorno de ejecución: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runner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repositorio, ID de GitHub Actions, commit y evento disparador.</w:t>
            </w:r>
          </w:p>
        </w:tc>
      </w:tr>
    </w:tbl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Los fragmentos se cargan primero en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catalog_staging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que no es visible al público. La función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publish_staged_catalog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aplica el catálogo, relaciones y limpieza dentro de una única transacción; si falla, las tablas públicas conservan el estado anterior.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catalog_staging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Área privada y temporal de publicación. No forma parte del catálogo consultado por el frontend.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run_id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 compuesta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Ejecución propietaria del fragmento.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entity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 compuesta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Entidad contenida: fuentes, eventos, procedencia o relaciones.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chunk_index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integer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 compuesta, no negativo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Orden del fragmento dentro de la entidad.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payload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jsonb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arreglo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Filas serializadas que la RPC convertirá a tipos PostgreSQL.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Permite retirar staging abandonado después de siete días.</w:t>
            </w:r>
          </w:p>
        </w:tc>
      </w:tr>
    </w:tbl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RLS está habilitado y solo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service_role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puede leer o escribir esta tabla. El lote se elimina al publicarse correctamente; si la RPC falla, permanece fuera del catálogo público para diagnóstico.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profiles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Extensión mínima de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auth.users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 Se crea automáticamente después del registro en Supabase Auth.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 y FK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auth.users.id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Identidad del usuario autenticado.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display_name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Nombre visible; el usuario puede modificar solo esta columna.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role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visitor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Rol interno: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visitor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editor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admin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 No es editable directamente por el usuario.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Creación del perfil.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modificación.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user_event_interactions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Historial de señales que usa el motor de recomendaciones. No almacena un puntaje enviado por el cliente: el backend asigna el peso de cada tipo de interacción y puede reducir su efecto con el paso del tiempo.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Identificador de la interacción.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user_id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FK obligatoria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auth.users.id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Persona que generó la señal.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FK obligatoria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Evento asociado a la señal.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interaction_type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controlado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Acción: ver detalle, abrir fuente u oficial, mostrar interés, descartar, compartir o reportar.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occurred_at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de la interacción.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metadata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jsonb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Objeto vacío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Contexto no sensible opcional, por ejemplo superficie de origen.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reports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Reportes de usuarios sobre un evento, por ejemplo fecha incorrecta, evento cancelado o enlace roto.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Identificador del reporte.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user_id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FK obligatoria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auth.users.id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Persona que lo creó.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FK obligatoria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Evento reportado.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reason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Motivo escrito por el usuario.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pending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Flujo de revisión: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pending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reviewed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resolved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Fecha de creación.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modificación administrativa.</w:t>
            </w:r>
          </w:p>
        </w:tc>
      </w:tr>
    </w:tbl>
    <w:p>
      <w:pPr>
        <w:pStyle w:val="Heading1"/>
        <w:keepNext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4. Índices y reglas de integridad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sources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,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organizers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y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categories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poseen unicidad por nombre sin distinguir mayúsculas.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communes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es única por país, región y comuna.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events.external_key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es único y evita duplicados lógicos.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event_categories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no permite repetir el mismo par evento-categoría.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media_assets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no permite repetir la misma URL dentro de un evento.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Existen índices para fecha de inicio, región, estado, fuente, comuna y búsquedas por categoría.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Los valores de estados, roles y tipos multimedia se controlan mediante restricciones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check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.</w:t>
      </w:r>
    </w:p>
    <w:p>
      <w:pPr>
        <w:pStyle w:val="Heading1"/>
        <w:keepNext/>
        <w:pageBreakBefore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5. Diccionario de categorías observadas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Las categorías son </w:t>
      </w:r>
      <w:r>
        <w:rPr>
          <w:rFonts w:ascii="Arial" w:cs="Arial" w:eastAsia="Arial" w:hAnsi="Arial"/>
          <w:b/>
          <w:bCs/>
          <w:color w:val="26343B"/>
          <w:sz w:val="18"/>
          <w:szCs w:val="18"/>
        </w:rPr>
        <w:t xml:space="preserve">dinámicas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: se copian desde las taxonomías de las fuentes y se complementan con reglas de los conectores. Por ello, esta sección es una </w:t>
      </w:r>
      <w:r>
        <w:rPr>
          <w:rFonts w:ascii="Arial" w:cs="Arial" w:eastAsia="Arial" w:hAnsi="Arial"/>
          <w:b/>
          <w:bCs/>
          <w:color w:val="26343B"/>
          <w:sz w:val="18"/>
          <w:szCs w:val="18"/>
        </w:rPr>
        <w:t xml:space="preserve">fotografía histórica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del archivo local del 1 de septiembre de 2026: </w:t>
      </w:r>
      <w:r>
        <w:rPr>
          <w:rFonts w:ascii="Arial" w:cs="Arial" w:eastAsia="Arial" w:hAnsi="Arial"/>
          <w:b/>
          <w:bCs/>
          <w:color w:val="26343B"/>
          <w:sz w:val="18"/>
          <w:szCs w:val="18"/>
        </w:rPr>
        <w:t xml:space="preserve">399 eventos y 61 etiquetas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; no representa el catálogo vigente y la cantidad puede cambiar en cada corrida.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Disciplinas y contenidos culturales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Categoría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Eventos observados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Definición operativa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Música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34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Conciertos, recitales y actividades donde la música es el contenido principal.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Teatro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16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Obras teatrales, dramaturgia y presentaciones escénicas teatrales.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Cine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13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Exhibiciones, ciclos, festivales o conversaciones centradas en obras audiovisuales.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Artes escénicas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Categoría amplia para teatro, danza, performance, circo u otras artes en vivo.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Danza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9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Presentaciones, encuentros o formación cuyo contenido principal es el movimiento y la danza.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Artes mediales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7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Creación artística basada en medios digitales, audiovisuales, interactivos o tecnológicos.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Artes visuales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20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Pintura, escultura, grabado, instalación y otras expresiones principalmente visuales.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Artesanía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Oficios y objetos elaborados mediante técnicas artesanales.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Fotografía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Exposiciones, talleres o actividades centradas en fotografía.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Literatura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Libros, lectura, escritura, poesía o mediación literaria.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Ópera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Representaciones o actividades relacionadas con ópera y canto lírico.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Títeres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Espectáculos o actividades de teatro de muñecos y objetos.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Humanidades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Reflexión, investigación o divulgación en historia, filosofía, letras y áreas afines.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Patrimonio cultural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Salvaguardia, difusión o activación de patrimonio material e inmaterial.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Cultura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24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Etiqueta transversal cuando la fuente no entrega una disciplina cultural más específica.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Gestión cultural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Formación, redes o prácticas de administración y producción cultural.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Encuentros Culturales y Artísticos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Reuniones o actividades participativas que integran más de una disciplina artística.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Formatos, espacios y programas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Categoría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Eventos observados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Definición operativa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Taller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15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formativa o práctica con participación activa de asistentes.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Exposición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8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Muestra abierta al público, temporal o permanente.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Feria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6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Encuentro con múltiples expositores, puestos o participantes.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Festival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Programación concentrada que reúne varias actividades bajo una convocatoria común.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Actividad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Tipo genérico utilizado cuando no existe un formato más preciso.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Etiqueta genérica de la fuente; aporta poca información temática.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Museo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o ficha asociada a un museo o espacio museal.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Bibliotecas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7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vinculada a bibliotecas y servicios bibliotecarios.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Biblioverano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Programa o campaña estacional de actividades bibliotecarias durante el verano.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Guía de Librerías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89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Ficha de una librería dentro de Chile Cultura; puede representar un lugar o directorio, no necesariamente un evento.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Guía de ferias y festivales del libro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Ficha de una feria o festival literario dentro de una guía; debe verificarse que posea fecha de evento.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Agenda Ciudad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8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Taxonomía de Valpo Cultura para actividades de agenda urbana o ciudadana.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Agenda Cultural Municipal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perteneciente a una programación cultural municipal.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Agenda Teatro Municipal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publicada dentro de la programación de un teatro municipal.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Rutas Patrimoniales y Turísticas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Recorridos o circuitos vinculados a patrimonio y turismo.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Vino, gastronomía y turismo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Categoría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Eventos observados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Definición operativa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Enoturismo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50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Experiencias turísticas vinculadas a viñas, bodegas, vino y territorio vitivinícola.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Vino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50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Actividades donde el vino es tema o producto central.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Festivales del Vino y la Gastronomía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48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Vendimias, festivales, celebraciones y ferias que combinan vino y oferta gastronómica.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Gastronomía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Ferias, degustaciones o encuentros enfocados principalmente en alimentos y cocina.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Turismo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4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Actividades y experiencias orientadas a visitantes o promoción de destinos.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Ferias sectoriales, ciencia y desarrollo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Categoría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Eventos observados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Definición operativa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Negocios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6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Ferias y encuentros profesionales con foco comercial o empresarial.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Construcción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Exposición o encuentro del sector construcción e infraestructura.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Industria naval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Exposición o encuentro de actividades navales, marítimas y proveedores asociados.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Minería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Feria o encuentro profesional del ecosistema minero.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Salud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sectorial relacionada con salud, atención o bienestar.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Tecnología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Evento donde innovación o tecnologías son el tema central.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Emprendimiento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de apoyo, formación o vinculación para emprendimientos.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Ciencias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Divulgación, investigación o actividades científicas.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Medio ambiente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Conservación, sostenibilidad, naturaleza o problemáticas ambientales.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Deportes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cuyo componente principal es deportivo.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Audiencias, comunidades y clasificación institucional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Categoría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Eventos observados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Definición operativa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Personas-Mayores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5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Etiqueta de audiencia para actividades destinadas o especialmente pertinentes a personas mayores.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Pueblos-Originarios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5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Actividades vinculadas a pueblos indígenas, sus culturas, memorias o comunidades.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Vinculación con el Medio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8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Taxonomía UOH para actividades de relación entre universidad y entorno social o territorial.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Institucional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4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general de la institución; no describe necesariamente el contenido cultural.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Educación Continua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Formación posterior o complementaria ofrecida por la universidad.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Dirección de Salud Mental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Unidad UOH responsable o asociada; funciona más como procedencia organizacional que como tema.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Escuela de Ciencias Sociales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Unidad académica UOH asociada al evento.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Escuela de Educación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Unidad académica UOH asociada al evento.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ECA3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Escuela de Ciencias Agroalimentarias, Animales y Ambientales de la UOH.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ICA3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Instituto de Ciencias Agroalimentarias, Animales y Ambientales de la UOH.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ICSo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Instituto de Ciencias Sociales de la UOH.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ICED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Instituto de Ciencias de la Educación de la UOH; su estilización institucional es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ICEd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PAOCC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Programa de Apoyo a Organizaciones Culturales Colaboradoras del Ministerio de las Culturas.</w:t>
            </w:r>
          </w:p>
        </w:tc>
      </w:tr>
    </w:tbl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Las expansiones de ECA3, ICA3, ICSo e ICEd se verificaron en páginas institucionales de la </w:t>
      </w:r>
      <w:r>
        <w:rPr>
          <w:rFonts w:ascii="Arial" w:cs="Arial" w:eastAsia="Arial" w:hAnsi="Arial"/>
          <w:color w:val="2E6F9E"/>
          <w:sz w:val="18"/>
          <w:szCs w:val="18"/>
          <w:u w:val="single"/>
        </w:rPr>
        <w:t xml:space="preserve">Universidad de O’Higgins (https://www.uoh.cl/)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 PAOCC se verificó en el sitio oficial del </w:t>
      </w:r>
      <w:r>
        <w:rPr>
          <w:rFonts w:ascii="Arial" w:cs="Arial" w:eastAsia="Arial" w:hAnsi="Arial"/>
          <w:color w:val="2E6F9E"/>
          <w:sz w:val="18"/>
          <w:szCs w:val="18"/>
          <w:u w:val="single"/>
        </w:rPr>
        <w:t xml:space="preserve">Ministerio de las Culturas, las Artes y el Patrimonio (https://www.cultura.gob.cl/paocc/)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Etiqueta que debe corregirse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Etiqueta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Eventos observados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Diagnóstico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Calendar_Month Inscribirse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27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Ruido de interfaz capturado desde Maipú en Común. Combina texto de un icono/calendario y un botón; no debe mostrarse como categoría pública. Se recomienda eliminarla durante la normalización.</w:t>
            </w:r>
          </w:p>
        </w:tc>
      </w:tr>
    </w:tbl>
    <w:p>
      <w:pPr>
        <w:pStyle w:val="Heading1"/>
        <w:keepNext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6. Recomendación de taxonomía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La lista actual mezcla cuatro dimensiones distintas: tema, formato, audiencia y procedencia. Para el MVP esto conserva fielmente la fuente, pero una interfaz de filtros más limpia debería añadir a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categories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una clasificación futura como: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00"/>
      </w:tblGrid>
      <w:tr>
        <w:trPr>
          <w:cantSplit/>
          <w:tblHeader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 propuesto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Ejemplos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discipline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Música, Teatro, Cine, Literatura.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format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Taller, Feria, Festival, Exposición.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topic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Vino, Patrimonio cultural, Medio ambiente.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audience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Personas-Mayores, Pueblos-Originarios.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sector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Minería, Construcción, Industria naval.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program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Biblioverano, PAOCC.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source_taxonomy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Agenda Ciudad, ECA3, ICA3, ICSo, ICEd.</w:t>
            </w:r>
          </w:p>
        </w:tc>
      </w:tr>
    </w:tbl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También se recomienda incorporar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slug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description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category_type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e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is_active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en una migración posterior, además de una tabla de alias. Así,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Ópera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y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opera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o etiquetas equivalentes entre fuentes, pueden apuntar a una categoría canónica sin perder el texto original.</w:t>
      </w:r>
    </w:p>
    <w:p>
      <w:pPr>
        <w:pStyle w:val="Heading1"/>
        <w:keepNext/>
        <w:pageBreakBefore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7. Seguridad y acceso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La migración habilita Row Level Security en todas las tablas.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00"/>
      </w:tblGrid>
      <w:tr>
        <w:trPr>
          <w:cantSplit/>
          <w:tblHeader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Rol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Acceso efectivo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anon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Lectura de fuentes activas, organizadores no bloqueados, comunas, categorías y eventos publicados de organizadores permitidos.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authenticated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La misma lectura pública; además puede leer/editar su nombre de perfil, registrar/eliminar sus propias interacciones y crear/ver sus propios reportes.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service_role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Acceso completo para el proceso de ingesta. Debe permanecer exclusivamente en backend o CI.</w:t>
            </w:r>
          </w:p>
        </w:tc>
      </w:tr>
    </w:tbl>
    <w:p>
      <w:pPr>
        <w:spacing w:after="90" w:line="270"/>
        <w:jc w:val="both"/>
      </w:pP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scrape_runs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no posee lectura pública. El usuario no puede cambiar su propio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role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ni actualizar el estado de sus reportes desde el frontend.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La vista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public_event_catalog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está disponible para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anon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authenticated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y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service_role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 Une cada evento con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source_name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y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organizer_name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; con usuarios públicos hereda las políticas RLS de las tablas y, por tanto, no expone eventos suprimidos ni organizadores bloqueados.</w:t>
      </w:r>
    </w:p>
    <w:p>
      <w:pPr>
        <w:spacing w:after="90" w:line="270"/>
        <w:jc w:val="both"/>
      </w:pP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event_provenance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catalog_staging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scrape_runs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match_existing_events(jsonb)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y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publish_staged_catalog(...)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no se exponen al navegador. Se reservan al proceso de ingesta que opera con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service_role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 La función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is_organizer_blocked(uuid)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puede ejecutarse desde las políticas públicas, pero solo devuelve un booleano y no revela el motivo ni la fecha del bloqueo.</w:t>
      </w:r>
    </w:p>
    <w:p>
      <w:pPr>
        <w:pStyle w:val="Heading1"/>
        <w:keepNext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8. Ciclo de carga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Se recorren todas las fuentes habilitadas.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Los conectores producen objetos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Event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con un esquema común.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El pipeline elimina duplicados y fija un identificador estable.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Se aplican metadatos geográficos estáticos y reglas deterministas.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Supabase identifica coincidencias por URL original o clave título-fecha-lugar y devuelve los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organizadores bloqueados.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Solo los eventos nuevos pasan por OCR, redacción editorial y normalización NVIDIA.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Se filtran regiones y pertinencia cultural, y se genera la ubicación canónica.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Se generan respaldos JSON y CSV.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Se crea una fila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running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en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scrape_runs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Se cargan fragmentos privados en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catalog_staging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Una RPC transaccional publica entidades, eventos, procedencia, relaciones y limpieza.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La ejecución se marca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succeeded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o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failed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.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La carga empieza </w:t>
      </w:r>
      <w:r>
        <w:rPr>
          <w:rFonts w:ascii="Arial" w:cs="Arial" w:eastAsia="Arial" w:hAnsi="Arial"/>
          <w:b/>
          <w:bCs/>
          <w:color w:val="26343B"/>
          <w:sz w:val="18"/>
          <w:szCs w:val="18"/>
        </w:rPr>
        <w:t xml:space="preserve">después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de finalizar la extracción completa; no se sube un evento inmediatamente después de encontrarlo.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SUPABASE_BATCH_SIZE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controla la cantidad máxima por solicitud REST. Todas las operaciones NVIDIA comparten el límite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NVIDIA_RPM_LIMIT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; con el valor 40 se fuerza un intervalo seguro de al menos 1,55 segundos entre inicios de solicitudes.</w:t>
      </w:r>
    </w:p>
    <w:p>
      <w:pPr>
        <w:pStyle w:val="Heading1"/>
        <w:keepNext/>
        <w:pageBreakBefore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9. Consultas útiles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Próximos eventos publicados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select id, title, start_at, venue, city, region, is_free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from public.events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where status = 'published'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  and (end_at &gt;= now() or (end_at is null and start_at &gt;= now()))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order by start_at nulls last;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Eventos con sus categorías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select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  e.id,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  e.title,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  array_agg(c.name order by c.name) as categories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from public.events e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left join public.event_categories ec on ec.event_id = e.id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left join public.categories c on c.id = ec.category_id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group by e.id, e.title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order by e.title;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Cantidad por fuente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select s.name as source, count(*) as events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from public.events e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join public.sources s on s.id = e.source_id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group by s.id, s.name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order by events desc;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Últimas ejecuciones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select started_at, finished_at, status, events_count, error_message, metadata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from public.scrape_runs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order by started_at desc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limit 20;</w:t>
      </w:r>
    </w:p>
    <w:p>
      <w:pPr>
        <w:pStyle w:val="Heading1"/>
        <w:keepNext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10. Limitaciones conocidas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No existe todavía una marca explícita para eventos de día completo.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price_text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no permite comparar precios numéricamente.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Las categorías proceden de varias fuentes y todavía no cuentan con jerarquía o tipo almacenado.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Algunos registros de Chile Cultura parecen corresponder a directorios de lugares o guías, no a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eventos fechados; deben distinguirse en una futura regla de calidad.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Calendar_Month Inscribirse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es una etiqueta inválida conocida.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Cada sincronización elimina físicamente los eventos cuyo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end_at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ya pasó. Cuando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end_at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es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nulo, se utiliza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start_at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; las relaciones dependientes se eliminan en cascada. Los registros sin inicio válido no entran al catálogo.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Con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SUPABASE_RECONCILE_STALE=true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, una fuente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succeeded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o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complete_empty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puede retirar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registros ausentes. Una fuente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partial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o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failed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nunca autoriza esa limpieza.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La publicación pública es transaccional; una carga de staging interrumpida no modifica el catálogo.</w:t>
      </w:r>
    </w:p>
    <w:sectPr>
      <w:headerReference w:type="default" r:id="rId7"/>
      <w:footerReference w:type="default" r:id="rId8"/>
      <w:pgSz w:w="11906" w:h="16838" w:orient="portrait"/>
      <w:pgMar w:top="900" w:right="1130" w:bottom="900" w:left="1130" w:header="420" w:footer="4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78848A"/>
        <w:sz w:val="11"/>
        <w:szCs w:val="11"/>
      </w:rPr>
      <w:t xml:space="preserve">Uso personal · Página </w:t>
    </w:r>
    <w:r>
      <w:rPr>
        <w:rFonts w:ascii="Arial" w:cs="Arial" w:eastAsia="Arial" w:hAnsi="Arial"/>
        <w:color w:val="78848A"/>
        <w:sz w:val="11"/>
        <w:szCs w:val="11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78848A"/>
        <w:spacing w:val="35"/>
        <w:sz w:val="10"/>
        <w:szCs w:val="10"/>
      </w:rPr>
      <w:t xml:space="preserve">EVENTO CULTURAL  ·  DOCUMENTACIÓN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6343B"/>
        <w:sz w:val="18"/>
        <w:szCs w:val="18"/>
      </w:rPr>
    </w:rPrDefault>
    <w:pPrDefault>
      <w:pPr>
        <w:spacing w:line="27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rPr>
      <w:rFonts w:ascii="Cambria" w:cs="Cambria" w:eastAsia="Cambria" w:hAnsi="Cambria"/>
      <w:b/>
      <w:bCs/>
      <w:color w:val="26343B"/>
      <w:sz w:val="34"/>
      <w:szCs w:val="34"/>
    </w:rPr>
  </w:style>
  <w:style w:type="paragraph" w:styleId="Heading1">
    <w:name w:val="Heading 1"/>
    <w:basedOn w:val="Normal"/>
    <w:next w:val="Normal"/>
    <w:qFormat/>
    <w:pPr>
      <w:spacing w:after="90" w:before="210"/>
      <w:outlineLvl w:val="0"/>
    </w:pPr>
    <w:rPr>
      <w:rFonts w:ascii="Cambria" w:cs="Cambria" w:eastAsia="Cambria" w:hAnsi="Cambria"/>
      <w:b/>
      <w:bCs/>
      <w:color w:val="368991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75" w:before="150"/>
      <w:outlineLvl w:val="1"/>
    </w:pPr>
    <w:rPr>
      <w:rFonts w:ascii="Cambria" w:cs="Cambria" w:eastAsia="Cambria" w:hAnsi="Cambria"/>
      <w:b/>
      <w:bCs/>
      <w:color w:val="506874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65" w:before="120"/>
      <w:outlineLvl w:val="2"/>
    </w:pPr>
    <w:rPr>
      <w:rFonts w:ascii="Arial" w:cs="Arial" w:eastAsia="Arial" w:hAnsi="Arial"/>
      <w:b/>
      <w:bCs/>
      <w:color w:val="26343B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322a70fb5a48cd884bd861a55a801aa97de720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de base de datos de eventos culturales</dc:title>
  <dc:creator>Proyecto Evento Cultural</dc:creator>
  <dc:description>Diccionario del esquema vigente de Supabase/PostgreSQL</dc:description>
  <cp:lastModifiedBy>Un-named</cp:lastModifiedBy>
  <cp:revision>1</cp:revision>
  <dcterms:created xsi:type="dcterms:W3CDTF">2026-10-03T06:40:52.269Z</dcterms:created>
  <dcterms:modified xsi:type="dcterms:W3CDTF">2026-10-03T06:40:52.272Z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