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E822" w14:textId="77777777" w:rsidR="00D67DCA" w:rsidRDefault="00F13AC9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附件5</w:t>
      </w:r>
    </w:p>
    <w:p w14:paraId="78192189" w14:textId="77777777" w:rsidR="00D67DCA" w:rsidRDefault="00D67DCA">
      <w:pPr>
        <w:rPr>
          <w:rFonts w:ascii="小标宋" w:eastAsia="小标宋" w:hAnsi="小标宋" w:cs="小标宋"/>
          <w:sz w:val="36"/>
          <w:szCs w:val="36"/>
        </w:rPr>
      </w:pPr>
    </w:p>
    <w:p w14:paraId="77288605" w14:textId="6A3A93BA" w:rsidR="00D67DCA" w:rsidRDefault="00F13AC9">
      <w:pPr>
        <w:jc w:val="center"/>
        <w:rPr>
          <w:rFonts w:ascii="小标宋" w:eastAsia="小标宋" w:hAnsi="小标宋" w:cs="小标宋"/>
          <w:sz w:val="36"/>
          <w:szCs w:val="36"/>
        </w:rPr>
      </w:pPr>
      <w:r>
        <w:rPr>
          <w:rFonts w:ascii="小标宋" w:eastAsia="小标宋" w:hAnsi="小标宋" w:cs="小标宋" w:hint="eastAsia"/>
          <w:sz w:val="36"/>
          <w:szCs w:val="36"/>
        </w:rPr>
        <w:t>2022级</w:t>
      </w:r>
      <w:r w:rsidR="00D217B9">
        <w:rPr>
          <w:rFonts w:ascii="小标宋" w:eastAsia="小标宋" w:hAnsi="小标宋" w:cs="小标宋" w:hint="eastAsia"/>
          <w:sz w:val="36"/>
          <w:szCs w:val="36"/>
        </w:rPr>
        <w:t>通信工程</w:t>
      </w:r>
      <w:r>
        <w:rPr>
          <w:rFonts w:ascii="小标宋" w:eastAsia="小标宋" w:hAnsi="小标宋" w:cs="小标宋" w:hint="eastAsia"/>
          <w:sz w:val="36"/>
          <w:szCs w:val="36"/>
        </w:rPr>
        <w:t>专业人才培养方案课程体系修订</w:t>
      </w:r>
    </w:p>
    <w:p w14:paraId="68AA5464" w14:textId="77777777" w:rsidR="00D67DCA" w:rsidRDefault="00F13AC9">
      <w:pPr>
        <w:jc w:val="center"/>
        <w:rPr>
          <w:rFonts w:ascii="小标宋" w:eastAsia="小标宋" w:hAnsi="小标宋" w:cs="小标宋"/>
          <w:sz w:val="36"/>
          <w:szCs w:val="36"/>
        </w:rPr>
      </w:pPr>
      <w:r>
        <w:rPr>
          <w:rFonts w:ascii="小标宋" w:eastAsia="小标宋" w:hAnsi="小标宋" w:cs="小标宋" w:hint="eastAsia"/>
          <w:sz w:val="36"/>
          <w:szCs w:val="36"/>
        </w:rPr>
        <w:t>对比分析一览表</w:t>
      </w:r>
    </w:p>
    <w:p w14:paraId="697473CA" w14:textId="22665DBE" w:rsidR="00D67DCA" w:rsidRDefault="00F13AC9">
      <w:pPr>
        <w:spacing w:beforeLines="50" w:before="156" w:afterLines="100" w:after="312"/>
        <w:jc w:val="center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宋体" w:hAnsi="宋体" w:cs="宋体" w:hint="eastAsia"/>
          <w:kern w:val="0"/>
          <w:sz w:val="24"/>
        </w:rPr>
        <w:t>所在学院（盖章）：_</w:t>
      </w:r>
      <w:r w:rsidR="00563A52" w:rsidRPr="00563A52">
        <w:rPr>
          <w:rFonts w:ascii="宋体" w:hAnsi="宋体" w:cs="宋体" w:hint="eastAsia"/>
          <w:kern w:val="0"/>
          <w:sz w:val="24"/>
          <w:u w:val="single"/>
        </w:rPr>
        <w:t>物理与电子工程学院</w:t>
      </w:r>
      <w:r>
        <w:rPr>
          <w:rFonts w:ascii="宋体" w:hAnsi="宋体" w:cs="宋体" w:hint="eastAsia"/>
          <w:kern w:val="0"/>
          <w:sz w:val="24"/>
        </w:rPr>
        <w:t>__   专业名称：_</w:t>
      </w:r>
      <w:r w:rsidR="00563A52" w:rsidRPr="00563A52">
        <w:rPr>
          <w:rFonts w:ascii="宋体" w:hAnsi="宋体" w:cs="宋体" w:hint="eastAsia"/>
          <w:kern w:val="0"/>
          <w:sz w:val="24"/>
          <w:u w:val="single"/>
        </w:rPr>
        <w:t>通信工程</w:t>
      </w:r>
      <w:r>
        <w:rPr>
          <w:rFonts w:ascii="宋体" w:hAnsi="宋体" w:cs="宋体" w:hint="eastAsia"/>
          <w:kern w:val="0"/>
          <w:sz w:val="24"/>
        </w:rPr>
        <w:t>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1"/>
        <w:gridCol w:w="2363"/>
        <w:gridCol w:w="2691"/>
        <w:gridCol w:w="2201"/>
      </w:tblGrid>
      <w:tr w:rsidR="00563A52" w:rsidRPr="00563A52" w14:paraId="5B8D6E5E" w14:textId="77777777" w:rsidTr="00563A52">
        <w:trPr>
          <w:trHeight w:val="372"/>
        </w:trPr>
        <w:tc>
          <w:tcPr>
            <w:tcW w:w="1360" w:type="dxa"/>
            <w:hideMark/>
          </w:tcPr>
          <w:p w14:paraId="3E872C05" w14:textId="77777777" w:rsidR="00563A52" w:rsidRPr="00563A52" w:rsidRDefault="00563A52" w:rsidP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修改内容</w:t>
            </w:r>
          </w:p>
        </w:tc>
        <w:tc>
          <w:tcPr>
            <w:tcW w:w="3140" w:type="dxa"/>
            <w:hideMark/>
          </w:tcPr>
          <w:p w14:paraId="62B0980D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变化前</w:t>
            </w:r>
          </w:p>
        </w:tc>
        <w:tc>
          <w:tcPr>
            <w:tcW w:w="3320" w:type="dxa"/>
            <w:hideMark/>
          </w:tcPr>
          <w:p w14:paraId="2BC61B91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变化后</w:t>
            </w:r>
          </w:p>
        </w:tc>
        <w:tc>
          <w:tcPr>
            <w:tcW w:w="3020" w:type="dxa"/>
            <w:hideMark/>
          </w:tcPr>
          <w:p w14:paraId="6A1C5247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修订依据</w:t>
            </w:r>
          </w:p>
        </w:tc>
      </w:tr>
      <w:tr w:rsidR="00563A52" w:rsidRPr="00563A52" w14:paraId="68635C9C" w14:textId="77777777" w:rsidTr="00563A52">
        <w:trPr>
          <w:trHeight w:val="1920"/>
        </w:trPr>
        <w:tc>
          <w:tcPr>
            <w:tcW w:w="1360" w:type="dxa"/>
            <w:hideMark/>
          </w:tcPr>
          <w:p w14:paraId="5BD000A9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培养方案-专业介绍</w:t>
            </w:r>
          </w:p>
        </w:tc>
        <w:tc>
          <w:tcPr>
            <w:tcW w:w="3140" w:type="dxa"/>
            <w:hideMark/>
          </w:tcPr>
          <w:p w14:paraId="55B63E8A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2014年通信工程专业入选四川省教育厅“2014年高端技能型本科人才培养改革试点”专业，</w:t>
            </w:r>
          </w:p>
        </w:tc>
        <w:tc>
          <w:tcPr>
            <w:tcW w:w="3320" w:type="dxa"/>
            <w:hideMark/>
          </w:tcPr>
          <w:p w14:paraId="4B8A2A98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2014年通信工程专业入选四川省教育厅“2014年高端技能型本科人才培养改革试点”专业，...2018年开始通信工程专业启动了工程教育认证，并于2021年接受受理。2021年，通信工程专业入选四川省一流本科专业建设点。</w:t>
            </w:r>
          </w:p>
        </w:tc>
        <w:tc>
          <w:tcPr>
            <w:tcW w:w="3020" w:type="dxa"/>
            <w:hideMark/>
          </w:tcPr>
          <w:p w14:paraId="0E90E9BB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把通信工程专业的最新发展情况增加进去。</w:t>
            </w:r>
          </w:p>
        </w:tc>
      </w:tr>
      <w:tr w:rsidR="00563A52" w:rsidRPr="00563A52" w14:paraId="05773289" w14:textId="77777777" w:rsidTr="00563A52">
        <w:trPr>
          <w:trHeight w:val="3048"/>
        </w:trPr>
        <w:tc>
          <w:tcPr>
            <w:tcW w:w="1360" w:type="dxa"/>
            <w:hideMark/>
          </w:tcPr>
          <w:p w14:paraId="46E4B6EC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培养方案-人才培养目标</w:t>
            </w:r>
          </w:p>
        </w:tc>
        <w:tc>
          <w:tcPr>
            <w:tcW w:w="3140" w:type="dxa"/>
            <w:hideMark/>
          </w:tcPr>
          <w:p w14:paraId="4F4A44F0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1、本专业“立足成都，服务四川、面向全国”培养“厚基础，宽口径”的德智体美全面发展；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2、较高文化素质修养；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3、掌握扎实的通信技术、通信系统与网络领域专业知识，能够在通信领域或信息技术相关行业从事研究开发、运营管理、技术服务等工作的高素质工程技术人才。</w:t>
            </w:r>
          </w:p>
        </w:tc>
        <w:tc>
          <w:tcPr>
            <w:tcW w:w="3320" w:type="dxa"/>
            <w:hideMark/>
          </w:tcPr>
          <w:p w14:paraId="6F4396C8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1、德智体美劳全面发展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2、良好文化素质修养；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3、掌握扎实的通信技术、通信系统与网络专业知识，能够在信息与通信专业领域继续深造学习或从事项目管理、系统维护、产品测试、软件开发等工作的高素质工程技术人才。</w:t>
            </w:r>
          </w:p>
        </w:tc>
        <w:tc>
          <w:tcPr>
            <w:tcW w:w="3020" w:type="dxa"/>
            <w:hideMark/>
          </w:tcPr>
          <w:p w14:paraId="0EFC7091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1、体现素质教育课程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版块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的劳动教育内容；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2、措辞更加准确；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3、根据毕业生的培养目标合理性和达成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度分析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报告，细化学生就业岗位，充分考虑考研深造同学比重的持续增长。</w:t>
            </w:r>
          </w:p>
        </w:tc>
      </w:tr>
      <w:tr w:rsidR="00563A52" w:rsidRPr="00563A52" w14:paraId="7E8786C0" w14:textId="77777777" w:rsidTr="00563A52">
        <w:trPr>
          <w:trHeight w:val="708"/>
        </w:trPr>
        <w:tc>
          <w:tcPr>
            <w:tcW w:w="10840" w:type="dxa"/>
            <w:gridSpan w:val="4"/>
            <w:hideMark/>
          </w:tcPr>
          <w:p w14:paraId="48DA6CAA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#人才培养目标的其他内容未作改动，获得在校老师、毕业生和用人单位的肯定</w:t>
            </w:r>
          </w:p>
        </w:tc>
      </w:tr>
      <w:tr w:rsidR="00563A52" w:rsidRPr="00563A52" w14:paraId="222B6AB1" w14:textId="77777777" w:rsidTr="00563A52">
        <w:trPr>
          <w:trHeight w:val="2184"/>
        </w:trPr>
        <w:tc>
          <w:tcPr>
            <w:tcW w:w="1360" w:type="dxa"/>
            <w:hideMark/>
          </w:tcPr>
          <w:p w14:paraId="30498184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lastRenderedPageBreak/>
              <w:t>毕业要求1-工程知识</w:t>
            </w:r>
          </w:p>
        </w:tc>
        <w:tc>
          <w:tcPr>
            <w:tcW w:w="3140" w:type="dxa"/>
            <w:hideMark/>
          </w:tcPr>
          <w:p w14:paraId="0EFA71E8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工程知识：具备数学、物理、工程基础知识及通信工程专业知识，并能够用于解决通信领域的复杂工程问题 。</w:t>
            </w:r>
          </w:p>
        </w:tc>
        <w:tc>
          <w:tcPr>
            <w:tcW w:w="3320" w:type="dxa"/>
            <w:hideMark/>
          </w:tcPr>
          <w:p w14:paraId="38F099AA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工程知识：具备扎实的数学、物理、工程基础知识及通信工程专业知识，并能够用于解决通信领域的复杂工程问题 。</w:t>
            </w:r>
          </w:p>
        </w:tc>
        <w:tc>
          <w:tcPr>
            <w:tcW w:w="3020" w:type="dxa"/>
            <w:hideMark/>
          </w:tcPr>
          <w:p w14:paraId="0143D412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对应人才培养目标的修改，增加“扎实的”的定性表述，提高学生的学科基础课程和专业核心课程的毕业要求。</w:t>
            </w:r>
          </w:p>
        </w:tc>
      </w:tr>
      <w:tr w:rsidR="00563A52" w:rsidRPr="00563A52" w14:paraId="711DB0EF" w14:textId="77777777" w:rsidTr="00563A52">
        <w:trPr>
          <w:trHeight w:val="3000"/>
        </w:trPr>
        <w:tc>
          <w:tcPr>
            <w:tcW w:w="1360" w:type="dxa"/>
            <w:hideMark/>
          </w:tcPr>
          <w:p w14:paraId="76A8CBF6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毕业要求3-设计/开发解决方案</w:t>
            </w:r>
          </w:p>
        </w:tc>
        <w:tc>
          <w:tcPr>
            <w:tcW w:w="3140" w:type="dxa"/>
            <w:hideMark/>
          </w:tcPr>
          <w:p w14:paraId="44A58288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设计/开发解决方案：能够针对通信领域复杂工程问题设计有效的解决方案，设计满足功能需求和性能指标要求的系统、功能单元或工艺流程，并能够在设计环节中体现创新意识，综合考虑社会、健康、安全、法律、文化以及环境等因素。</w:t>
            </w:r>
          </w:p>
        </w:tc>
        <w:tc>
          <w:tcPr>
            <w:tcW w:w="3320" w:type="dxa"/>
            <w:hideMark/>
          </w:tcPr>
          <w:p w14:paraId="1C8D7BB1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设计/开发解决方案：能够针对通信领域复杂工程问题熟练地设计有效的解决方案，设计满足功能需求和性能指标要求的系统、功能单元或工艺流程，能够通过试验验证方案正确性，在设计环节中体现创新意识，综合考虑社会、健康、安全、法律、文化以及环境等因素。</w:t>
            </w:r>
          </w:p>
        </w:tc>
        <w:tc>
          <w:tcPr>
            <w:tcW w:w="3020" w:type="dxa"/>
            <w:hideMark/>
          </w:tcPr>
          <w:p w14:paraId="7ACEF86F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1、对应人才培养目标的修改，增加“熟练地”的定性表述，提高学生的动手实践能力培养；2、根据学生就业岗位的能力要求，完善项目管理的完整性和试验和测试的重要性。</w:t>
            </w:r>
          </w:p>
        </w:tc>
      </w:tr>
      <w:tr w:rsidR="00563A52" w:rsidRPr="00563A52" w14:paraId="436899D0" w14:textId="77777777" w:rsidTr="00563A52">
        <w:trPr>
          <w:trHeight w:val="468"/>
        </w:trPr>
        <w:tc>
          <w:tcPr>
            <w:tcW w:w="10840" w:type="dxa"/>
            <w:gridSpan w:val="4"/>
            <w:hideMark/>
          </w:tcPr>
          <w:p w14:paraId="1B19AF59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#毕业要求的其他内容未作改动，获得在校老师、毕业生和用人单位的肯定</w:t>
            </w:r>
          </w:p>
        </w:tc>
      </w:tr>
      <w:tr w:rsidR="00563A52" w:rsidRPr="00563A52" w14:paraId="6C14B062" w14:textId="77777777" w:rsidTr="00563A52">
        <w:trPr>
          <w:trHeight w:val="1308"/>
        </w:trPr>
        <w:tc>
          <w:tcPr>
            <w:tcW w:w="1360" w:type="dxa"/>
            <w:hideMark/>
          </w:tcPr>
          <w:p w14:paraId="1EE1880C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学分变化</w:t>
            </w:r>
          </w:p>
        </w:tc>
        <w:tc>
          <w:tcPr>
            <w:tcW w:w="3140" w:type="dxa"/>
            <w:hideMark/>
          </w:tcPr>
          <w:p w14:paraId="4D2CF2C6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人才培养方案总学分为166.5</w:t>
            </w:r>
          </w:p>
        </w:tc>
        <w:tc>
          <w:tcPr>
            <w:tcW w:w="3320" w:type="dxa"/>
            <w:hideMark/>
          </w:tcPr>
          <w:p w14:paraId="506A7B88" w14:textId="1ABBDE75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总学分调整为149</w:t>
            </w:r>
            <w:r>
              <w:rPr>
                <w:rFonts w:ascii="仿宋_GB2312" w:eastAsia="仿宋_GB2312" w:hAnsi="仿宋_GB2312" w:cs="仿宋_GB2312"/>
                <w:sz w:val="24"/>
              </w:rPr>
              <w:t>.5</w:t>
            </w:r>
          </w:p>
        </w:tc>
        <w:tc>
          <w:tcPr>
            <w:tcW w:w="3020" w:type="dxa"/>
            <w:hideMark/>
          </w:tcPr>
          <w:p w14:paraId="2011F5F0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通过学分降低来减少对应的学时，为学生的自主学习、独立思考提供时间空间，增强学生自主学习能力。</w:t>
            </w:r>
          </w:p>
        </w:tc>
      </w:tr>
      <w:tr w:rsidR="00563A52" w:rsidRPr="00563A52" w14:paraId="34DBCA75" w14:textId="77777777" w:rsidTr="00563A52">
        <w:trPr>
          <w:trHeight w:val="3912"/>
        </w:trPr>
        <w:tc>
          <w:tcPr>
            <w:tcW w:w="1360" w:type="dxa"/>
            <w:hideMark/>
          </w:tcPr>
          <w:p w14:paraId="70BF8248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课程结构</w:t>
            </w:r>
          </w:p>
        </w:tc>
        <w:tc>
          <w:tcPr>
            <w:tcW w:w="3140" w:type="dxa"/>
            <w:hideMark/>
          </w:tcPr>
          <w:p w14:paraId="7DF5E689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课程体系分为大学先修课程，素质教育与基础课程（必修）、素质教育与基础课程（选修）、学科平台课程、专业核心课程、专业发展课程（必修）、专业发展课程（选修）和文化素质拓展与综合实践等模块，体系结构过于复杂，某些模块缺少选修课程；</w:t>
            </w:r>
          </w:p>
        </w:tc>
        <w:tc>
          <w:tcPr>
            <w:tcW w:w="3320" w:type="dxa"/>
            <w:hideMark/>
          </w:tcPr>
          <w:p w14:paraId="5D9A02A4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1、对课程编排进行梳理，凝练为素质教育课程、专业教育课程和发展教育课程三大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版块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2、按专业知识逻辑在专业教育课程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版块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中划分出数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理基础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课程、专业核心课程和综合实践课程；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3、发展教育课程的选修模块区分为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体现本硕衔接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的学术提升方向课程和体现创新创业的就业与创新实践方向课程；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4、每个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版块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中实施必修课和选修课的区分，确定各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版块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的核心课程。</w:t>
            </w:r>
          </w:p>
        </w:tc>
        <w:tc>
          <w:tcPr>
            <w:tcW w:w="3020" w:type="dxa"/>
            <w:hideMark/>
          </w:tcPr>
          <w:p w14:paraId="78642491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1、明确各个课程对人才的知识培养、能力培养、素养培养的支撑关系；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2、在专业学习中体现专业知识逻辑，知识培养、能力培养和素养培养有机组合；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3、在学生培养中注意出口的分类引导，为个人兴趣和志向的发展提供自主选择；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4、强化课程的梯度和显示度，保证学生自主学习的选择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lastRenderedPageBreak/>
              <w:t>正确性。</w:t>
            </w:r>
          </w:p>
        </w:tc>
      </w:tr>
      <w:tr w:rsidR="00563A52" w:rsidRPr="00563A52" w14:paraId="23B3FF7B" w14:textId="77777777" w:rsidTr="00563A52">
        <w:trPr>
          <w:trHeight w:val="1408"/>
        </w:trPr>
        <w:tc>
          <w:tcPr>
            <w:tcW w:w="1360" w:type="dxa"/>
            <w:hideMark/>
          </w:tcPr>
          <w:p w14:paraId="6EF2C70A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lastRenderedPageBreak/>
              <w:t>课程变化-课程替换</w:t>
            </w:r>
          </w:p>
        </w:tc>
        <w:tc>
          <w:tcPr>
            <w:tcW w:w="3140" w:type="dxa"/>
            <w:hideMark/>
          </w:tcPr>
          <w:p w14:paraId="72CAB0FB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素质教育与基础课程（必修）包含大学语文和劳动教育两门课程</w:t>
            </w:r>
          </w:p>
        </w:tc>
        <w:tc>
          <w:tcPr>
            <w:tcW w:w="3320" w:type="dxa"/>
            <w:hideMark/>
          </w:tcPr>
          <w:p w14:paraId="64F4922E" w14:textId="60A85D1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大学语文调整为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沟通与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写作</w:t>
            </w:r>
          </w:p>
        </w:tc>
        <w:tc>
          <w:tcPr>
            <w:tcW w:w="3020" w:type="dxa"/>
            <w:hideMark/>
          </w:tcPr>
          <w:p w14:paraId="1598D870" w14:textId="7B1F4FF4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体现学生沟通与写作能力的专业性</w:t>
            </w:r>
          </w:p>
        </w:tc>
      </w:tr>
      <w:tr w:rsidR="00563A52" w:rsidRPr="00563A52" w14:paraId="65214EC2" w14:textId="77777777" w:rsidTr="00563A52">
        <w:trPr>
          <w:trHeight w:val="3780"/>
        </w:trPr>
        <w:tc>
          <w:tcPr>
            <w:tcW w:w="1360" w:type="dxa"/>
            <w:hideMark/>
          </w:tcPr>
          <w:p w14:paraId="4B5CCD67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课程变化-新开设课程</w:t>
            </w:r>
          </w:p>
        </w:tc>
        <w:tc>
          <w:tcPr>
            <w:tcW w:w="3140" w:type="dxa"/>
            <w:hideMark/>
          </w:tcPr>
          <w:p w14:paraId="4240B957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无</w:t>
            </w:r>
          </w:p>
        </w:tc>
        <w:tc>
          <w:tcPr>
            <w:tcW w:w="3320" w:type="dxa"/>
            <w:hideMark/>
          </w:tcPr>
          <w:p w14:paraId="48131F0A" w14:textId="768F11F3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1、在素质教育课程的自选课程中新开设了通信简史（自科类）、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科研方法导论、信息科学前沿讲座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、互联网创业管理四门课程；2、在发展教育课程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版块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的专业发展课程中，新开设了学科竞赛讲座；3、在发展教育课程的学术提升方向课程业中，增加了天线理论与技术、信号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分析与处理、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通信网理论与应用；4、在发展教育课程的就业实践课程中增加了Python编程与机器学习实践、软件无线电技术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、嵌入式系统、</w:t>
            </w:r>
            <w:proofErr w:type="gramStart"/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云计算</w:t>
            </w:r>
            <w:proofErr w:type="gramEnd"/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与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大数据</w:t>
            </w:r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等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。</w:t>
            </w:r>
          </w:p>
        </w:tc>
        <w:tc>
          <w:tcPr>
            <w:tcW w:w="3020" w:type="dxa"/>
            <w:hideMark/>
          </w:tcPr>
          <w:p w14:paraId="209A93B5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1、在学生素质培养中贯穿专业认知，增强学生的科学精神、历史眼光和全球视野等；2、强化本专业以赛促学的引导，因为学科竞赛有对知识整合与应用有很强的促进作用；3、在学术提升方向课程中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体现本硕衔接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和知识点的进阶学习；4、在就业实践课程中突出就业实践的新风向。</w:t>
            </w:r>
          </w:p>
        </w:tc>
      </w:tr>
      <w:tr w:rsidR="00563A52" w:rsidRPr="00563A52" w14:paraId="706FCDFD" w14:textId="77777777" w:rsidTr="00563A52">
        <w:trPr>
          <w:trHeight w:val="4992"/>
        </w:trPr>
        <w:tc>
          <w:tcPr>
            <w:tcW w:w="1360" w:type="dxa"/>
            <w:hideMark/>
          </w:tcPr>
          <w:p w14:paraId="49D757AB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lastRenderedPageBreak/>
              <w:t>课程变化-课程性质变更</w:t>
            </w:r>
          </w:p>
        </w:tc>
        <w:tc>
          <w:tcPr>
            <w:tcW w:w="3140" w:type="dxa"/>
            <w:hideMark/>
          </w:tcPr>
          <w:p w14:paraId="654B2A3D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1、移动通信技术为专业发展课程模块的必修课；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2、光纤通信与数字传输为无线通信方向的专业发展课程选修课；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3、物联网技术与应用为无线通信方向的专业发展课程选修课；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4、随机信号分析为专业发展课程模块的必修课；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5、数字信号处理为专业发展课程模块的必修课。</w:t>
            </w:r>
          </w:p>
        </w:tc>
        <w:tc>
          <w:tcPr>
            <w:tcW w:w="3320" w:type="dxa"/>
            <w:hideMark/>
          </w:tcPr>
          <w:p w14:paraId="0FA04E50" w14:textId="65292C42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1、移动通信技术调整为专业教育课程模块的专业</w:t>
            </w:r>
            <w:r>
              <w:rPr>
                <w:rFonts w:ascii="仿宋_GB2312" w:eastAsia="仿宋_GB2312" w:hAnsi="仿宋_GB2312" w:cs="仿宋_GB2312" w:hint="eastAsia"/>
                <w:sz w:val="24"/>
              </w:rPr>
              <w:t>选修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核心课程；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2、光纤通信与数字传输调整为专业教育课程模块的专业</w:t>
            </w:r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选修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课程；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3、物联网技术与应用调整为专业教育课程模块的专业其他课程的选修</w:t>
            </w:r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课程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4、随机信号分析调整为专业教育课程模块的</w:t>
            </w:r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学术深造方向的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专业选修课程</w:t>
            </w:r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，并更名为工程随机过程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5、数字信号处理调整为专业教育课程模块的专业</w:t>
            </w:r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必修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课程。</w:t>
            </w:r>
          </w:p>
        </w:tc>
        <w:tc>
          <w:tcPr>
            <w:tcW w:w="3020" w:type="dxa"/>
            <w:hideMark/>
          </w:tcPr>
          <w:p w14:paraId="13E918F9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按照通信工程专业知识的整体性，在专业必修核心课程中强化信息传输的知识和通信应用系统的知识；将信号处理理论与技术的知识</w:t>
            </w:r>
            <w:proofErr w:type="gramStart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点合理</w:t>
            </w:r>
            <w:proofErr w:type="gramEnd"/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弱化。</w:t>
            </w:r>
          </w:p>
        </w:tc>
      </w:tr>
      <w:tr w:rsidR="00563A52" w:rsidRPr="00563A52" w14:paraId="19D3C1ED" w14:textId="77777777" w:rsidTr="00563A52">
        <w:trPr>
          <w:trHeight w:val="4608"/>
        </w:trPr>
        <w:tc>
          <w:tcPr>
            <w:tcW w:w="1360" w:type="dxa"/>
            <w:hideMark/>
          </w:tcPr>
          <w:p w14:paraId="0C3E5255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 xml:space="preserve">课程变化-课程学分变更 </w:t>
            </w:r>
          </w:p>
        </w:tc>
        <w:tc>
          <w:tcPr>
            <w:tcW w:w="3140" w:type="dxa"/>
            <w:hideMark/>
          </w:tcPr>
          <w:p w14:paraId="4DE93E40" w14:textId="40BAC99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1、高等数学（上）为4学分，高等数学（下）为5学分；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  <w:r w:rsidR="00AE1C9D">
              <w:rPr>
                <w:rFonts w:ascii="仿宋_GB2312" w:eastAsia="仿宋_GB2312" w:hAnsi="仿宋_GB2312" w:cs="仿宋_GB2312" w:hint="eastAsia"/>
                <w:sz w:val="24"/>
              </w:rPr>
              <w:t>2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、线性代数2为3学分，概率数理统计为3学分，复变函数为2学分；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  <w:r w:rsidR="00AE1C9D">
              <w:rPr>
                <w:rFonts w:ascii="仿宋_GB2312" w:eastAsia="仿宋_GB2312" w:hAnsi="仿宋_GB2312" w:cs="仿宋_GB2312"/>
                <w:sz w:val="24"/>
              </w:rPr>
              <w:t>3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、电路分析为3.5学分，模拟电子技术为4.5学分；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  <w:r w:rsidR="00AE1C9D">
              <w:rPr>
                <w:rFonts w:ascii="仿宋_GB2312" w:eastAsia="仿宋_GB2312" w:hAnsi="仿宋_GB2312" w:cs="仿宋_GB2312"/>
                <w:sz w:val="24"/>
              </w:rPr>
              <w:t>4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、面向对象程序设计为4学分；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  <w:r w:rsidR="00AE1C9D">
              <w:rPr>
                <w:rFonts w:ascii="仿宋_GB2312" w:eastAsia="仿宋_GB2312" w:hAnsi="仿宋_GB2312" w:cs="仿宋_GB2312"/>
                <w:sz w:val="24"/>
              </w:rPr>
              <w:t>5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、移动通信技术为4学分；</w:t>
            </w:r>
          </w:p>
        </w:tc>
        <w:tc>
          <w:tcPr>
            <w:tcW w:w="3320" w:type="dxa"/>
            <w:hideMark/>
          </w:tcPr>
          <w:p w14:paraId="08060002" w14:textId="32AD26CF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1、将高等数学（上）-（下）作课程整合，学分调整为8学分；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  <w:r w:rsidR="00F600D8">
              <w:rPr>
                <w:rFonts w:ascii="仿宋_GB2312" w:eastAsia="仿宋_GB2312" w:hAnsi="仿宋_GB2312" w:cs="仿宋_GB2312"/>
                <w:sz w:val="24"/>
              </w:rPr>
              <w:t>2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、将线性代数、概率与数理统计和复变函数整合为工程数学，学分调整为7学分；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  <w:r w:rsidR="00F600D8">
              <w:rPr>
                <w:rFonts w:ascii="仿宋_GB2312" w:eastAsia="仿宋_GB2312" w:hAnsi="仿宋_GB2312" w:cs="仿宋_GB2312" w:hint="eastAsia"/>
                <w:sz w:val="24"/>
              </w:rPr>
              <w:t>3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、将电路分析和模拟电子技术整合为电子电路系统与基础，学分调整为</w:t>
            </w:r>
            <w:r w:rsidR="00AE1C9D">
              <w:rPr>
                <w:rFonts w:ascii="仿宋_GB2312" w:eastAsia="仿宋_GB2312" w:hAnsi="仿宋_GB2312" w:cs="仿宋_GB2312"/>
                <w:sz w:val="24"/>
              </w:rPr>
              <w:t>8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  <w:r w:rsidR="00F600D8">
              <w:rPr>
                <w:rFonts w:ascii="仿宋_GB2312" w:eastAsia="仿宋_GB2312" w:hAnsi="仿宋_GB2312" w:cs="仿宋_GB2312" w:hint="eastAsia"/>
                <w:sz w:val="24"/>
              </w:rPr>
              <w:t>4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、面向对象程序设计为3学分；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  <w:r w:rsidR="00F600D8">
              <w:rPr>
                <w:rFonts w:ascii="仿宋_GB2312" w:eastAsia="仿宋_GB2312" w:hAnsi="仿宋_GB2312" w:cs="仿宋_GB2312" w:hint="eastAsia"/>
                <w:sz w:val="24"/>
              </w:rPr>
              <w:t>5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、移动通信技术为3学分；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</w:r>
          </w:p>
        </w:tc>
        <w:tc>
          <w:tcPr>
            <w:tcW w:w="3020" w:type="dxa"/>
            <w:hideMark/>
          </w:tcPr>
          <w:p w14:paraId="693B0FA3" w14:textId="77777777" w:rsidR="00563A52" w:rsidRPr="00563A52" w:rsidRDefault="00563A52">
            <w:pPr>
              <w:rPr>
                <w:rFonts w:ascii="仿宋_GB2312" w:eastAsia="仿宋_GB2312" w:hAnsi="仿宋_GB2312" w:cs="仿宋_GB2312"/>
                <w:sz w:val="24"/>
              </w:rPr>
            </w:pP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t>1、各个课程间的重叠知识点进行了去冗优化；</w:t>
            </w:r>
            <w:r w:rsidRPr="00563A52">
              <w:rPr>
                <w:rFonts w:ascii="仿宋_GB2312" w:eastAsia="仿宋_GB2312" w:hAnsi="仿宋_GB2312" w:cs="仿宋_GB2312" w:hint="eastAsia"/>
                <w:sz w:val="24"/>
              </w:rPr>
              <w:br/>
              <w:t>2、引导学生利用在线教学资源进行自主学习，精简能力类课程的理论知识点，强调知识的应用与实践。</w:t>
            </w:r>
          </w:p>
        </w:tc>
      </w:tr>
    </w:tbl>
    <w:p w14:paraId="54882FE9" w14:textId="77777777" w:rsidR="00D67DCA" w:rsidRPr="00563A52" w:rsidRDefault="00D67DCA">
      <w:pPr>
        <w:rPr>
          <w:rFonts w:ascii="仿宋_GB2312" w:eastAsia="仿宋_GB2312" w:hAnsi="仿宋_GB2312" w:cs="仿宋_GB2312"/>
          <w:sz w:val="28"/>
          <w:szCs w:val="28"/>
        </w:rPr>
      </w:pPr>
    </w:p>
    <w:p w14:paraId="07A2EB91" w14:textId="77777777" w:rsidR="00D67DCA" w:rsidRDefault="00F13AC9">
      <w:pPr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宋体" w:hAnsi="宋体" w:cs="宋体" w:hint="eastAsia"/>
          <w:kern w:val="0"/>
          <w:sz w:val="24"/>
        </w:rPr>
        <w:t xml:space="preserve">     院长（签字）：</w:t>
      </w:r>
      <w:r>
        <w:rPr>
          <w:rFonts w:ascii="宋体" w:hAnsi="宋体" w:cs="宋体" w:hint="eastAsia"/>
          <w:kern w:val="0"/>
          <w:sz w:val="24"/>
          <w:u w:val="single"/>
        </w:rPr>
        <w:t xml:space="preserve">               </w:t>
      </w:r>
      <w:r>
        <w:rPr>
          <w:rFonts w:ascii="宋体" w:hAnsi="宋体" w:cs="宋体" w:hint="eastAsia"/>
          <w:kern w:val="0"/>
          <w:sz w:val="24"/>
        </w:rPr>
        <w:t xml:space="preserve">     时间：   年    月    日      </w:t>
      </w:r>
    </w:p>
    <w:sectPr w:rsidR="00D67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9CD92" w14:textId="77777777" w:rsidR="00D52B31" w:rsidRDefault="00D52B31" w:rsidP="00563A52">
      <w:r>
        <w:separator/>
      </w:r>
    </w:p>
  </w:endnote>
  <w:endnote w:type="continuationSeparator" w:id="0">
    <w:p w14:paraId="1C48C5C0" w14:textId="77777777" w:rsidR="00D52B31" w:rsidRDefault="00D52B31" w:rsidP="0056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小标宋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73220" w14:textId="77777777" w:rsidR="00D52B31" w:rsidRDefault="00D52B31" w:rsidP="00563A52">
      <w:r>
        <w:separator/>
      </w:r>
    </w:p>
  </w:footnote>
  <w:footnote w:type="continuationSeparator" w:id="0">
    <w:p w14:paraId="20B02584" w14:textId="77777777" w:rsidR="00D52B31" w:rsidRDefault="00D52B31" w:rsidP="00563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A4"/>
    <w:rsid w:val="00491813"/>
    <w:rsid w:val="00563A52"/>
    <w:rsid w:val="00A71ED4"/>
    <w:rsid w:val="00AE1C9D"/>
    <w:rsid w:val="00C01EE2"/>
    <w:rsid w:val="00C939A4"/>
    <w:rsid w:val="00D217B9"/>
    <w:rsid w:val="00D52B31"/>
    <w:rsid w:val="00D67DCA"/>
    <w:rsid w:val="00E8120F"/>
    <w:rsid w:val="00F13AC9"/>
    <w:rsid w:val="00F600D8"/>
    <w:rsid w:val="05204B33"/>
    <w:rsid w:val="067F1777"/>
    <w:rsid w:val="07140111"/>
    <w:rsid w:val="081E6D6D"/>
    <w:rsid w:val="09F77876"/>
    <w:rsid w:val="0BAB10D1"/>
    <w:rsid w:val="0C782EF0"/>
    <w:rsid w:val="0DB6446C"/>
    <w:rsid w:val="0F834149"/>
    <w:rsid w:val="0FFE255B"/>
    <w:rsid w:val="106612B1"/>
    <w:rsid w:val="111B6540"/>
    <w:rsid w:val="116052BE"/>
    <w:rsid w:val="1517701E"/>
    <w:rsid w:val="156C15AD"/>
    <w:rsid w:val="16B234A2"/>
    <w:rsid w:val="19D3098F"/>
    <w:rsid w:val="1AAE21D3"/>
    <w:rsid w:val="1ADC6D40"/>
    <w:rsid w:val="1C1B3898"/>
    <w:rsid w:val="1F4F55FE"/>
    <w:rsid w:val="2178036A"/>
    <w:rsid w:val="22EA5BCE"/>
    <w:rsid w:val="248144B4"/>
    <w:rsid w:val="24D46CDA"/>
    <w:rsid w:val="26683FC5"/>
    <w:rsid w:val="26C969B2"/>
    <w:rsid w:val="29444201"/>
    <w:rsid w:val="2BC30558"/>
    <w:rsid w:val="2E954DE4"/>
    <w:rsid w:val="32F522F5"/>
    <w:rsid w:val="333755B1"/>
    <w:rsid w:val="36023C4D"/>
    <w:rsid w:val="37950240"/>
    <w:rsid w:val="3BA23236"/>
    <w:rsid w:val="3BE62C1C"/>
    <w:rsid w:val="3DD514F9"/>
    <w:rsid w:val="3FDF2363"/>
    <w:rsid w:val="40354679"/>
    <w:rsid w:val="413B1439"/>
    <w:rsid w:val="41DB2FFE"/>
    <w:rsid w:val="422F6A5C"/>
    <w:rsid w:val="44120AE1"/>
    <w:rsid w:val="44A122DD"/>
    <w:rsid w:val="453C1899"/>
    <w:rsid w:val="464554F3"/>
    <w:rsid w:val="47694C08"/>
    <w:rsid w:val="48482A6F"/>
    <w:rsid w:val="4C7248E7"/>
    <w:rsid w:val="4CA36A27"/>
    <w:rsid w:val="4D583813"/>
    <w:rsid w:val="4DE65204"/>
    <w:rsid w:val="4EDE5EDB"/>
    <w:rsid w:val="509E2D14"/>
    <w:rsid w:val="5A386DE8"/>
    <w:rsid w:val="600053F9"/>
    <w:rsid w:val="64B41760"/>
    <w:rsid w:val="64D25170"/>
    <w:rsid w:val="66004653"/>
    <w:rsid w:val="6AD27B66"/>
    <w:rsid w:val="70AE52B6"/>
    <w:rsid w:val="73AD3F4B"/>
    <w:rsid w:val="746E7748"/>
    <w:rsid w:val="74884B43"/>
    <w:rsid w:val="75907680"/>
    <w:rsid w:val="769A6A08"/>
    <w:rsid w:val="78F46178"/>
    <w:rsid w:val="798E4FA2"/>
    <w:rsid w:val="7BAB18C5"/>
    <w:rsid w:val="7F49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68D4C"/>
  <w15:docId w15:val="{312EA4E3-F26F-4016-9952-BCF8F671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63A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63A52"/>
    <w:rPr>
      <w:kern w:val="2"/>
      <w:sz w:val="18"/>
      <w:szCs w:val="18"/>
    </w:rPr>
  </w:style>
  <w:style w:type="paragraph" w:styleId="a6">
    <w:name w:val="footer"/>
    <w:basedOn w:val="a"/>
    <w:link w:val="a7"/>
    <w:rsid w:val="00563A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63A5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8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dingdong</dc:creator>
  <cp:lastModifiedBy>孙 三山</cp:lastModifiedBy>
  <cp:revision>2</cp:revision>
  <cp:lastPrinted>2022-03-28T01:50:00Z</cp:lastPrinted>
  <dcterms:created xsi:type="dcterms:W3CDTF">2022-07-31T15:41:00Z</dcterms:created>
  <dcterms:modified xsi:type="dcterms:W3CDTF">2022-07-31T15:41:00Z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A587ACA52D5B4B238C49F9D9EF7A4B1C</vt:lpwstr>
  </property>
</Properties>
</file>