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341A4">
      <w:pPr>
        <w:pStyle w:val="5"/>
        <w:spacing w:line="360" w:lineRule="auto"/>
        <w:ind w:firstLine="0" w:firstLineChars="0"/>
        <w:rPr>
          <w:rFonts w:ascii="仿宋" w:hAnsi="仿宋" w:eastAsia="仿宋"/>
          <w:b/>
          <w:bCs/>
          <w:sz w:val="28"/>
          <w:szCs w:val="28"/>
        </w:rPr>
      </w:pPr>
    </w:p>
    <w:p w14:paraId="34E4B8F0">
      <w:pPr>
        <w:pStyle w:val="5"/>
        <w:spacing w:line="360" w:lineRule="auto"/>
        <w:ind w:firstLine="0" w:firstLineChars="0"/>
        <w:jc w:val="center"/>
        <w:rPr>
          <w:rFonts w:ascii="仿宋" w:hAnsi="仿宋" w:eastAsia="仿宋"/>
          <w:b/>
          <w:bCs/>
          <w:sz w:val="40"/>
          <w:szCs w:val="40"/>
        </w:rPr>
      </w:pPr>
      <w:r>
        <w:rPr>
          <w:rFonts w:hint="eastAsia" w:ascii="仿宋" w:hAnsi="仿宋" w:eastAsia="仿宋"/>
          <w:b/>
          <w:bCs/>
          <w:sz w:val="40"/>
          <w:szCs w:val="40"/>
        </w:rPr>
        <w:t>自然和数学类课程群调研</w:t>
      </w:r>
    </w:p>
    <w:p w14:paraId="6052CF6F">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高等数学（1）</w:t>
      </w:r>
    </w:p>
    <w:p w14:paraId="258BEA0F">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学分：4</w:t>
      </w:r>
    </w:p>
    <w:p w14:paraId="42A300BD">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学期：大一上</w:t>
      </w:r>
    </w:p>
    <w:p w14:paraId="7757EFA3">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核心课程内容：</w:t>
      </w:r>
      <w:r>
        <w:rPr>
          <w:rFonts w:hint="eastAsia" w:asciiTheme="minorEastAsia" w:hAnsiTheme="minorEastAsia"/>
          <w:bCs/>
          <w:color w:val="000000" w:themeColor="text1"/>
          <w:sz w:val="24"/>
          <w:szCs w:val="24"/>
          <w14:textFill>
            <w14:solidFill>
              <w14:schemeClr w14:val="tx1"/>
            </w14:solidFill>
          </w14:textFill>
        </w:rPr>
        <w:t>函数与极限、导数与微分、微分中值定理与导数的应用、不定积分和定积分</w:t>
      </w:r>
    </w:p>
    <w:p w14:paraId="7CAB522B">
      <w:pPr>
        <w:spacing w:line="360" w:lineRule="auto"/>
        <w:ind w:firstLine="560" w:firstLineChars="200"/>
        <w:rPr>
          <w:rFonts w:ascii="仿宋" w:hAnsi="仿宋" w:eastAsia="仿宋"/>
          <w:sz w:val="28"/>
          <w:szCs w:val="28"/>
        </w:rPr>
      </w:pPr>
      <w:r>
        <w:rPr>
          <w:rFonts w:hint="eastAsia" w:ascii="仿宋" w:hAnsi="仿宋" w:eastAsia="仿宋"/>
          <w:sz w:val="28"/>
          <w:szCs w:val="28"/>
        </w:rPr>
        <w:t>培养目标：</w:t>
      </w:r>
    </w:p>
    <w:p w14:paraId="730F94EF">
      <w:pPr>
        <w:spacing w:line="360" w:lineRule="auto"/>
        <w:ind w:firstLine="480" w:firstLineChars="200"/>
        <w:rPr>
          <w:rFonts w:asciiTheme="minorEastAsia" w:hAnsiTheme="minorEastAsia"/>
          <w:bCs/>
          <w:color w:val="000000" w:themeColor="text1"/>
          <w:sz w:val="24"/>
          <w:szCs w:val="24"/>
          <w14:textFill>
            <w14:solidFill>
              <w14:schemeClr w14:val="tx1"/>
            </w14:solidFill>
          </w14:textFill>
        </w:rPr>
      </w:pPr>
      <w:r>
        <w:rPr>
          <w:rFonts w:asciiTheme="minorEastAsia" w:hAnsiTheme="minorEastAsia"/>
          <w:bCs/>
          <w:color w:val="000000" w:themeColor="text1"/>
          <w:sz w:val="24"/>
          <w:szCs w:val="24"/>
          <w14:textFill>
            <w14:solidFill>
              <w14:schemeClr w14:val="tx1"/>
            </w14:solidFill>
          </w14:textFill>
        </w:rPr>
        <w:t>掌握单变量微积分的基本概念，基本理论和基本运算技能，掌握单变量微积分的思想方法在物理学与工程学模型中的运用，培养学生正确的学习意识。</w:t>
      </w:r>
    </w:p>
    <w:p w14:paraId="5F384906">
      <w:pPr>
        <w:spacing w:line="360" w:lineRule="auto"/>
        <w:ind w:firstLine="480" w:firstLineChars="200"/>
        <w:rPr>
          <w:rFonts w:asciiTheme="minorEastAsia" w:hAnsiTheme="minorEastAsia"/>
          <w:bCs/>
          <w:color w:val="000000" w:themeColor="text1"/>
          <w:sz w:val="24"/>
          <w:szCs w:val="24"/>
          <w14:textFill>
            <w14:solidFill>
              <w14:schemeClr w14:val="tx1"/>
            </w14:solidFill>
          </w14:textFill>
        </w:rPr>
      </w:pPr>
      <w:r>
        <w:rPr>
          <w:rFonts w:asciiTheme="minorEastAsia" w:hAnsiTheme="minorEastAsia"/>
          <w:bCs/>
          <w:color w:val="000000" w:themeColor="text1"/>
          <w:sz w:val="24"/>
          <w:szCs w:val="24"/>
          <w14:textFill>
            <w14:solidFill>
              <w14:schemeClr w14:val="tx1"/>
            </w14:solidFill>
          </w14:textFill>
        </w:rPr>
        <w:t>掌握数列极限、函数极限和连续、导数的运算、微分学中值定理及其应用、不定积分和定积分的运算。</w:t>
      </w:r>
    </w:p>
    <w:p w14:paraId="4082695A">
      <w:pPr>
        <w:spacing w:line="360" w:lineRule="auto"/>
        <w:ind w:firstLine="480" w:firstLineChars="200"/>
        <w:rPr>
          <w:rFonts w:asciiTheme="minorEastAsia" w:hAnsiTheme="minorEastAsia"/>
          <w:bCs/>
          <w:color w:val="000000" w:themeColor="text1"/>
          <w:sz w:val="24"/>
          <w:szCs w:val="24"/>
          <w14:textFill>
            <w14:solidFill>
              <w14:schemeClr w14:val="tx1"/>
            </w14:solidFill>
          </w14:textFill>
        </w:rPr>
      </w:pPr>
      <w:r>
        <w:rPr>
          <w:rFonts w:asciiTheme="minorEastAsia" w:hAnsiTheme="minorEastAsia"/>
          <w:bCs/>
          <w:color w:val="000000" w:themeColor="text1"/>
          <w:sz w:val="24"/>
          <w:szCs w:val="24"/>
          <w14:textFill>
            <w14:solidFill>
              <w14:schemeClr w14:val="tx1"/>
            </w14:solidFill>
          </w14:textFill>
        </w:rPr>
        <w:t>通过抽象思维，培养学生利用数学知识解决实际问题的能力，激发学生的思辨能力、辩证思想和家国情怀。</w:t>
      </w:r>
    </w:p>
    <w:p w14:paraId="60067ADC">
      <w:pPr>
        <w:pStyle w:val="5"/>
        <w:spacing w:line="360" w:lineRule="auto"/>
        <w:ind w:left="420" w:firstLine="0" w:firstLineChars="0"/>
        <w:rPr>
          <w:rFonts w:ascii="仿宋" w:hAnsi="仿宋" w:eastAsia="仿宋"/>
          <w:sz w:val="28"/>
          <w:szCs w:val="28"/>
        </w:rPr>
      </w:pPr>
    </w:p>
    <w:p w14:paraId="1BCBD826">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高等数学（2）</w:t>
      </w:r>
    </w:p>
    <w:p w14:paraId="7C119612">
      <w:pPr>
        <w:pStyle w:val="5"/>
        <w:spacing w:line="360" w:lineRule="auto"/>
        <w:ind w:left="420" w:firstLine="0" w:firstLineChars="0"/>
        <w:rPr>
          <w:rFonts w:hint="eastAsia" w:ascii="仿宋" w:hAnsi="仿宋" w:eastAsia="仿宋"/>
          <w:sz w:val="28"/>
          <w:szCs w:val="28"/>
          <w:lang w:eastAsia="zh-CN"/>
        </w:rPr>
      </w:pPr>
      <w:r>
        <w:rPr>
          <w:rFonts w:hint="eastAsia" w:ascii="仿宋" w:hAnsi="仿宋" w:eastAsia="仿宋"/>
          <w:sz w:val="28"/>
          <w:szCs w:val="28"/>
        </w:rPr>
        <w:t>学分：</w:t>
      </w:r>
      <w:r>
        <w:rPr>
          <w:rFonts w:hint="eastAsia" w:ascii="仿宋" w:hAnsi="仿宋" w:eastAsia="仿宋"/>
          <w:sz w:val="28"/>
          <w:szCs w:val="28"/>
          <w:lang w:val="en-US" w:eastAsia="zh-CN"/>
        </w:rPr>
        <w:t>5</w:t>
      </w:r>
    </w:p>
    <w:p w14:paraId="25FCA57D">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学期：大一下</w:t>
      </w:r>
    </w:p>
    <w:p w14:paraId="5739483F">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核心课程内容：</w:t>
      </w:r>
      <w:r>
        <w:rPr>
          <w:rFonts w:hint="eastAsia" w:asciiTheme="minorEastAsia" w:hAnsiTheme="minorEastAsia"/>
          <w:bCs/>
          <w:color w:val="000000" w:themeColor="text1"/>
          <w:sz w:val="24"/>
          <w:szCs w:val="24"/>
          <w14:textFill>
            <w14:solidFill>
              <w14:schemeClr w14:val="tx1"/>
            </w14:solidFill>
          </w14:textFill>
        </w:rPr>
        <w:t>常微分方程的初等解法、向量方法求解空间解析几何、多元函数微分学、重积分、曲线积分与曲面积分、无穷级数</w:t>
      </w:r>
    </w:p>
    <w:p w14:paraId="41046411">
      <w:pPr>
        <w:spacing w:line="360" w:lineRule="auto"/>
        <w:ind w:firstLine="482"/>
        <w:rPr>
          <w:rFonts w:ascii="仿宋" w:hAnsi="仿宋" w:eastAsia="仿宋"/>
          <w:sz w:val="28"/>
          <w:szCs w:val="28"/>
        </w:rPr>
      </w:pPr>
      <w:r>
        <w:rPr>
          <w:rFonts w:hint="eastAsia" w:ascii="仿宋" w:hAnsi="仿宋" w:eastAsia="仿宋"/>
          <w:sz w:val="28"/>
          <w:szCs w:val="28"/>
        </w:rPr>
        <w:t>培养目标：</w:t>
      </w:r>
    </w:p>
    <w:p w14:paraId="6F48C5B9">
      <w:pPr>
        <w:spacing w:line="360" w:lineRule="auto"/>
        <w:ind w:firstLine="482"/>
        <w:rPr>
          <w:rFonts w:ascii="宋体" w:hAnsi="宋体" w:eastAsia="宋体" w:cs="Times New Roman"/>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掌握多变量微积分的基本概念，基本理论和基本运算技能，掌握多变量微积分的思想方法在物理学与工程学模型中的运用。</w:t>
      </w:r>
    </w:p>
    <w:p w14:paraId="2A39CF13">
      <w:pPr>
        <w:spacing w:line="360" w:lineRule="auto"/>
        <w:ind w:firstLine="482"/>
        <w:rPr>
          <w:rFonts w:ascii="宋体" w:hAnsi="宋体" w:eastAsia="宋体" w:cs="Times New Roman"/>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掌握常微分方程的初等解法、向量方法求解空间解析几何、多元函数微分学、重积分、曲线积分与曲面积分、无穷级数。</w:t>
      </w:r>
    </w:p>
    <w:p w14:paraId="780852D0">
      <w:pPr>
        <w:pStyle w:val="5"/>
        <w:spacing w:line="360" w:lineRule="auto"/>
        <w:ind w:left="420" w:firstLine="0" w:firstLineChars="0"/>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通过抽象思维，培养学生利用数学知识解决实际问题的能力。</w:t>
      </w:r>
    </w:p>
    <w:p w14:paraId="65A4893D">
      <w:pPr>
        <w:pStyle w:val="5"/>
        <w:spacing w:line="360" w:lineRule="auto"/>
        <w:ind w:left="420" w:firstLine="0" w:firstLineChars="0"/>
        <w:rPr>
          <w:rFonts w:hint="default" w:ascii="仿宋" w:hAnsi="仿宋" w:eastAsia="仿宋"/>
          <w:sz w:val="28"/>
          <w:szCs w:val="28"/>
          <w:highlight w:val="yellow"/>
          <w:lang w:val="en-US" w:eastAsia="zh-CN"/>
        </w:rPr>
      </w:pPr>
      <w:r>
        <w:rPr>
          <w:rFonts w:hint="eastAsia" w:ascii="仿宋" w:hAnsi="仿宋" w:eastAsia="仿宋"/>
          <w:color w:val="EE0000"/>
          <w:sz w:val="28"/>
          <w:szCs w:val="28"/>
        </w:rPr>
        <w:t>建议：</w:t>
      </w:r>
      <w:r>
        <w:rPr>
          <w:rFonts w:hint="eastAsia" w:ascii="仿宋" w:hAnsi="仿宋" w:eastAsia="仿宋"/>
          <w:sz w:val="28"/>
          <w:szCs w:val="28"/>
          <w:highlight w:val="none"/>
          <w:lang w:val="en-US" w:eastAsia="zh-CN"/>
        </w:rPr>
        <w:t>建议提升到5个学时。</w:t>
      </w:r>
    </w:p>
    <w:p w14:paraId="214324BE">
      <w:pPr>
        <w:pStyle w:val="5"/>
        <w:spacing w:line="360" w:lineRule="auto"/>
        <w:ind w:left="420" w:firstLine="0" w:firstLineChars="0"/>
        <w:rPr>
          <w:rFonts w:ascii="仿宋" w:hAnsi="仿宋" w:eastAsia="仿宋"/>
          <w:sz w:val="28"/>
          <w:szCs w:val="28"/>
        </w:rPr>
      </w:pPr>
    </w:p>
    <w:p w14:paraId="5E6DDA00">
      <w:pPr>
        <w:pStyle w:val="5"/>
        <w:spacing w:line="360" w:lineRule="auto"/>
        <w:ind w:left="420" w:firstLine="0" w:firstLineChars="0"/>
        <w:rPr>
          <w:rFonts w:ascii="仿宋" w:hAnsi="仿宋" w:eastAsia="仿宋"/>
          <w:sz w:val="28"/>
          <w:szCs w:val="28"/>
          <w:highlight w:val="yellow"/>
        </w:rPr>
      </w:pPr>
      <w:r>
        <w:rPr>
          <w:rFonts w:hint="eastAsia" w:ascii="仿宋" w:hAnsi="仿宋" w:eastAsia="仿宋"/>
          <w:sz w:val="28"/>
          <w:szCs w:val="28"/>
          <w:highlight w:val="yellow"/>
        </w:rPr>
        <w:t>大学物理（一）1、</w:t>
      </w:r>
    </w:p>
    <w:p w14:paraId="5C2C56FF">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学分：3.5</w:t>
      </w:r>
    </w:p>
    <w:p w14:paraId="2C1269D3">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学期：大一下</w:t>
      </w:r>
    </w:p>
    <w:p w14:paraId="750F2D14">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核心课程内容：</w:t>
      </w:r>
      <w:r>
        <w:rPr>
          <w:rFonts w:hint="eastAsia" w:asciiTheme="minorEastAsia" w:hAnsiTheme="minorEastAsia"/>
          <w:bCs/>
          <w:color w:val="000000" w:themeColor="text1"/>
          <w:sz w:val="24"/>
          <w:szCs w:val="24"/>
          <w14:textFill>
            <w14:solidFill>
              <w14:schemeClr w14:val="tx1"/>
            </w14:solidFill>
          </w14:textFill>
        </w:rPr>
        <w:t>质点运动学、牛顿运动定律</w:t>
      </w:r>
      <w:bookmarkStart w:id="2" w:name="_GoBack"/>
      <w:bookmarkEnd w:id="2"/>
      <w:r>
        <w:rPr>
          <w:rFonts w:hint="eastAsia" w:asciiTheme="minorEastAsia" w:hAnsiTheme="minorEastAsia"/>
          <w:bCs/>
          <w:color w:val="000000" w:themeColor="text1"/>
          <w:sz w:val="24"/>
          <w:szCs w:val="24"/>
          <w14:textFill>
            <w14:solidFill>
              <w14:schemeClr w14:val="tx1"/>
            </w14:solidFill>
          </w14:textFill>
        </w:rPr>
        <w:t>、能量与动量、机械振动、机械波、气体动理论、热力学基础</w:t>
      </w:r>
    </w:p>
    <w:p w14:paraId="1D8F36C2">
      <w:pPr>
        <w:spacing w:line="360" w:lineRule="auto"/>
        <w:ind w:firstLine="560" w:firstLineChars="200"/>
        <w:rPr>
          <w:rFonts w:ascii="仿宋" w:hAnsi="仿宋" w:eastAsia="仿宋"/>
          <w:sz w:val="28"/>
          <w:szCs w:val="28"/>
        </w:rPr>
      </w:pPr>
      <w:r>
        <w:rPr>
          <w:rFonts w:hint="eastAsia" w:ascii="仿宋" w:hAnsi="仿宋" w:eastAsia="仿宋"/>
          <w:sz w:val="28"/>
          <w:szCs w:val="28"/>
        </w:rPr>
        <w:t>培养目标：</w:t>
      </w:r>
    </w:p>
    <w:p w14:paraId="74926712">
      <w:pPr>
        <w:spacing w:line="360" w:lineRule="auto"/>
        <w:ind w:firstLine="480" w:firstLineChars="200"/>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系统地学习质点力学的基本理论，理解机械振动和机械波的基础知识，掌握分子动理论与热力学的基本知识。</w:t>
      </w:r>
    </w:p>
    <w:p w14:paraId="6256E6FE">
      <w:pPr>
        <w:spacing w:line="360" w:lineRule="auto"/>
        <w:ind w:firstLine="480" w:firstLineChars="200"/>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使学生能应用质点力学、振动和波、以及分子动理论和热力学的基本理论和方法，处理具体的物理问题。</w:t>
      </w:r>
    </w:p>
    <w:p w14:paraId="2249DB5E">
      <w:pPr>
        <w:spacing w:line="360" w:lineRule="auto"/>
        <w:ind w:firstLine="480" w:firstLineChars="200"/>
        <w:rPr>
          <w:rFonts w:ascii="Times New Roman" w:hAnsi="Times New Roman" w:cs="Times New Roman"/>
          <w:bCs/>
          <w:sz w:val="24"/>
          <w:szCs w:val="21"/>
        </w:rPr>
      </w:pPr>
      <w:r>
        <w:rPr>
          <w:rFonts w:hint="eastAsia" w:ascii="Times New Roman" w:hAnsi="Times New Roman" w:cs="Times New Roman"/>
          <w:bCs/>
          <w:sz w:val="24"/>
          <w:szCs w:val="21"/>
        </w:rPr>
        <w:t>能够应用物理学、数学等的基本原理，分析和处理通信工程方面的具体物理问题并理解其内涵和本质。</w:t>
      </w:r>
    </w:p>
    <w:p w14:paraId="0BFF2914">
      <w:pPr>
        <w:pStyle w:val="5"/>
        <w:spacing w:line="360" w:lineRule="auto"/>
        <w:ind w:left="420" w:firstLine="0" w:firstLineChars="0"/>
        <w:rPr>
          <w:rFonts w:ascii="仿宋" w:hAnsi="仿宋" w:eastAsia="仿宋"/>
          <w:sz w:val="28"/>
          <w:szCs w:val="28"/>
          <w:highlight w:val="yellow"/>
        </w:rPr>
      </w:pPr>
    </w:p>
    <w:p w14:paraId="28A6D7E2">
      <w:pPr>
        <w:pStyle w:val="5"/>
        <w:spacing w:line="360" w:lineRule="auto"/>
        <w:ind w:left="420" w:firstLine="0" w:firstLineChars="0"/>
        <w:rPr>
          <w:rFonts w:ascii="仿宋" w:hAnsi="仿宋" w:eastAsia="仿宋"/>
          <w:sz w:val="28"/>
          <w:szCs w:val="28"/>
          <w:highlight w:val="yellow"/>
        </w:rPr>
      </w:pPr>
      <w:r>
        <w:rPr>
          <w:rFonts w:hint="eastAsia" w:ascii="仿宋" w:hAnsi="仿宋" w:eastAsia="仿宋"/>
          <w:sz w:val="28"/>
          <w:szCs w:val="28"/>
          <w:highlight w:val="yellow"/>
        </w:rPr>
        <w:t>大学物理（一）2、</w:t>
      </w:r>
    </w:p>
    <w:p w14:paraId="6A01D058">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学分：3.5</w:t>
      </w:r>
    </w:p>
    <w:p w14:paraId="62A2B35B">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学期：大二上</w:t>
      </w:r>
    </w:p>
    <w:p w14:paraId="16C79FC6">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核心课程内容：</w:t>
      </w:r>
      <w:r>
        <w:rPr>
          <w:rFonts w:hint="eastAsia" w:asciiTheme="minorEastAsia" w:hAnsiTheme="minorEastAsia"/>
          <w:bCs/>
          <w:color w:val="000000" w:themeColor="text1"/>
          <w:sz w:val="24"/>
          <w:szCs w:val="24"/>
          <w14:textFill>
            <w14:solidFill>
              <w14:schemeClr w14:val="tx1"/>
            </w14:solidFill>
          </w14:textFill>
        </w:rPr>
        <w:t>真空中的静电场、静电场中的导体和电介质、恒定电流的磁场、电磁感应及电磁场基本方程、光的干涉、光的衍射</w:t>
      </w:r>
    </w:p>
    <w:p w14:paraId="0349301F">
      <w:pPr>
        <w:spacing w:line="360" w:lineRule="auto"/>
        <w:ind w:firstLine="560" w:firstLineChars="200"/>
        <w:rPr>
          <w:rFonts w:ascii="仿宋" w:hAnsi="仿宋" w:eastAsia="仿宋"/>
          <w:sz w:val="28"/>
          <w:szCs w:val="28"/>
        </w:rPr>
      </w:pPr>
      <w:r>
        <w:rPr>
          <w:rFonts w:hint="eastAsia" w:ascii="仿宋" w:hAnsi="仿宋" w:eastAsia="仿宋"/>
          <w:sz w:val="28"/>
          <w:szCs w:val="28"/>
        </w:rPr>
        <w:t>培养目标：</w:t>
      </w:r>
    </w:p>
    <w:p w14:paraId="70C2EF2A">
      <w:pPr>
        <w:spacing w:line="360" w:lineRule="auto"/>
        <w:ind w:firstLine="480" w:firstLineChars="200"/>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能够通过电磁学、光学的学习，使学生掌握分析电磁学基本理论及波动光学中干涉和衍射的基本知识。</w:t>
      </w:r>
    </w:p>
    <w:p w14:paraId="015E0750">
      <w:pPr>
        <w:spacing w:line="360" w:lineRule="auto"/>
        <w:ind w:firstLine="480" w:firstLineChars="200"/>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使学生能应用电磁学、光学的基本理论和方法，处理具体的电磁学、光学的物理问题。</w:t>
      </w:r>
    </w:p>
    <w:p w14:paraId="0F4B2E81">
      <w:pPr>
        <w:spacing w:line="360" w:lineRule="auto"/>
        <w:ind w:firstLine="480" w:firstLineChars="200"/>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能够应用物理学、数学等的基本原理，分析和处理理工科专业方面的具体物理问题并理解其内涵和本质。</w:t>
      </w:r>
    </w:p>
    <w:p w14:paraId="1C26683D">
      <w:pPr>
        <w:spacing w:line="360" w:lineRule="auto"/>
        <w:rPr>
          <w:rFonts w:ascii="仿宋" w:hAnsi="仿宋" w:eastAsia="仿宋"/>
          <w:sz w:val="28"/>
          <w:szCs w:val="28"/>
          <w:highlight w:val="yellow"/>
        </w:rPr>
      </w:pPr>
    </w:p>
    <w:p w14:paraId="300E7532">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highlight w:val="yellow"/>
        </w:rPr>
        <w:t>大学物理实验（一）、</w:t>
      </w:r>
    </w:p>
    <w:p w14:paraId="678FFF99">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学分：1</w:t>
      </w:r>
    </w:p>
    <w:p w14:paraId="1A4D6EEB">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学期：大二上</w:t>
      </w:r>
    </w:p>
    <w:p w14:paraId="27A4FB26">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核心课程内容：</w:t>
      </w:r>
      <w:r>
        <w:rPr>
          <w:rFonts w:hint="eastAsia" w:asciiTheme="minorEastAsia" w:hAnsiTheme="minorEastAsia"/>
          <w:bCs/>
          <w:color w:val="000000" w:themeColor="text1"/>
          <w:sz w:val="24"/>
          <w:szCs w:val="24"/>
          <w14:textFill>
            <w14:solidFill>
              <w14:schemeClr w14:val="tx1"/>
            </w14:solidFill>
          </w14:textFill>
        </w:rPr>
        <w:t>固体密度的测量、等厚干涉、薄透镜焦距的测定、金属扬氏弹性模量的测量、用单臂电桥测量中值电阻、多用表的设计与组装、热电传感器的测试特性、密立根油滴实验</w:t>
      </w:r>
    </w:p>
    <w:p w14:paraId="7F43A91B">
      <w:pPr>
        <w:spacing w:line="360" w:lineRule="auto"/>
        <w:ind w:firstLine="560" w:firstLineChars="200"/>
        <w:rPr>
          <w:rFonts w:ascii="仿宋" w:hAnsi="仿宋" w:eastAsia="仿宋"/>
          <w:sz w:val="28"/>
          <w:szCs w:val="28"/>
        </w:rPr>
      </w:pPr>
      <w:r>
        <w:rPr>
          <w:rFonts w:hint="eastAsia" w:ascii="仿宋" w:hAnsi="仿宋" w:eastAsia="仿宋"/>
          <w:sz w:val="28"/>
          <w:szCs w:val="28"/>
        </w:rPr>
        <w:t>培养目标：</w:t>
      </w:r>
    </w:p>
    <w:p w14:paraId="3426D67A">
      <w:pPr>
        <w:spacing w:line="360" w:lineRule="auto"/>
        <w:ind w:firstLine="480" w:firstLineChars="200"/>
        <w:rPr>
          <w:rFonts w:ascii="宋体" w:hAnsi="宋体" w:eastAsia="宋体" w:cs="宋体"/>
          <w:color w:val="000000"/>
          <w:sz w:val="24"/>
          <w:szCs w:val="24"/>
        </w:rPr>
      </w:pPr>
      <w:r>
        <w:rPr>
          <w:rFonts w:hint="eastAsia" w:ascii="宋体" w:hAnsi="宋体" w:eastAsia="宋体" w:cs="宋体"/>
          <w:color w:val="000000"/>
          <w:sz w:val="24"/>
          <w:szCs w:val="24"/>
        </w:rPr>
        <w:t>掌握实验知识、技能和方法，在过程中逐渐训练实践动手能力。</w:t>
      </w:r>
      <w:r>
        <w:rPr>
          <w:rFonts w:ascii="宋体" w:hAnsi="宋体" w:eastAsia="宋体" w:cs="宋体"/>
          <w:color w:val="000000"/>
          <w:sz w:val="24"/>
          <w:szCs w:val="24"/>
        </w:rPr>
        <w:t>能</w:t>
      </w:r>
      <w:r>
        <w:rPr>
          <w:rFonts w:hint="eastAsia" w:ascii="宋体" w:hAnsi="宋体" w:eastAsia="宋体" w:cs="宋体"/>
          <w:color w:val="000000"/>
          <w:sz w:val="24"/>
          <w:szCs w:val="24"/>
        </w:rPr>
        <w:t>根据实验目的，设计满足功能需要和性能指标要求的实验系统、提出实验原理，并在设计中体现创新意识</w:t>
      </w:r>
      <w:r>
        <w:rPr>
          <w:rFonts w:ascii="宋体" w:hAnsi="宋体" w:eastAsia="宋体" w:cs="宋体"/>
          <w:color w:val="000000"/>
          <w:sz w:val="24"/>
          <w:szCs w:val="24"/>
        </w:rPr>
        <w:t>。</w:t>
      </w:r>
    </w:p>
    <w:p w14:paraId="50FEE015">
      <w:pPr>
        <w:spacing w:line="360" w:lineRule="auto"/>
        <w:ind w:firstLine="480" w:firstLineChars="200"/>
        <w:rPr>
          <w:rFonts w:ascii="宋体" w:hAnsi="宋体" w:eastAsia="宋体" w:cs="宋体"/>
          <w:color w:val="000000"/>
          <w:sz w:val="24"/>
          <w:szCs w:val="24"/>
        </w:rPr>
      </w:pPr>
      <w:r>
        <w:rPr>
          <w:rFonts w:hint="eastAsia" w:ascii="宋体" w:hAnsi="宋体" w:eastAsia="宋体" w:cs="宋体"/>
          <w:color w:val="000000"/>
          <w:sz w:val="24"/>
          <w:szCs w:val="24"/>
        </w:rPr>
        <w:t>理解物理实验原理、思想和研究方法，能够根据实验方案，构建实验系统，安全地开展实验操作，正确地采集实验数据。</w:t>
      </w:r>
    </w:p>
    <w:p w14:paraId="5CE776B2">
      <w:pPr>
        <w:spacing w:line="360" w:lineRule="auto"/>
        <w:ind w:firstLine="480" w:firstLineChars="200"/>
        <w:rPr>
          <w:rFonts w:ascii="宋体" w:hAnsi="宋体" w:eastAsia="宋体" w:cs="宋体"/>
          <w:color w:val="000000"/>
          <w:sz w:val="24"/>
          <w:szCs w:val="24"/>
        </w:rPr>
      </w:pPr>
      <w:r>
        <w:rPr>
          <w:rFonts w:hint="eastAsia" w:ascii="宋体" w:hAnsi="宋体" w:eastAsia="宋体" w:cs="宋体"/>
          <w:color w:val="000000"/>
          <w:sz w:val="24"/>
          <w:szCs w:val="24"/>
        </w:rPr>
        <w:t>能对实验结果进行分析和解释，并通过信息综合得到合理有效的结论。逐渐养成良好的科学素养和行为习惯。</w:t>
      </w:r>
    </w:p>
    <w:p w14:paraId="3B4C22A3">
      <w:pPr>
        <w:pStyle w:val="5"/>
        <w:spacing w:line="360" w:lineRule="auto"/>
        <w:ind w:left="420" w:firstLine="0" w:firstLineChars="0"/>
        <w:rPr>
          <w:rFonts w:ascii="仿宋" w:hAnsi="仿宋" w:eastAsia="仿宋"/>
          <w:sz w:val="28"/>
          <w:szCs w:val="28"/>
        </w:rPr>
      </w:pPr>
    </w:p>
    <w:p w14:paraId="72505E58">
      <w:pPr>
        <w:pStyle w:val="5"/>
        <w:spacing w:line="360" w:lineRule="auto"/>
        <w:ind w:left="420" w:firstLine="0" w:firstLineChars="0"/>
        <w:rPr>
          <w:rFonts w:hint="eastAsia" w:ascii="仿宋" w:hAnsi="仿宋" w:eastAsia="仿宋"/>
          <w:sz w:val="28"/>
          <w:szCs w:val="28"/>
        </w:rPr>
      </w:pPr>
      <w:r>
        <w:rPr>
          <w:rFonts w:hint="eastAsia" w:ascii="仿宋" w:hAnsi="仿宋" w:eastAsia="仿宋"/>
          <w:sz w:val="28"/>
          <w:szCs w:val="28"/>
        </w:rPr>
        <w:t>线性代数、</w:t>
      </w:r>
    </w:p>
    <w:p w14:paraId="3D025AAF">
      <w:pPr>
        <w:pStyle w:val="5"/>
        <w:spacing w:line="360" w:lineRule="auto"/>
        <w:ind w:left="420" w:firstLine="0" w:firstLineChars="0"/>
        <w:rPr>
          <w:rFonts w:hint="eastAsia" w:ascii="仿宋" w:hAnsi="仿宋" w:eastAsia="仿宋"/>
          <w:sz w:val="28"/>
          <w:szCs w:val="28"/>
        </w:rPr>
      </w:pPr>
      <w:r>
        <w:rPr>
          <w:rFonts w:hint="eastAsia" w:ascii="仿宋" w:hAnsi="仿宋" w:eastAsia="仿宋"/>
          <w:sz w:val="28"/>
          <w:szCs w:val="28"/>
        </w:rPr>
        <w:t>学分：3学分、48学时（湖南师范大学）； 3+1学分、72学时（华东师范大学）；4学分、72学时（山东师范大学）</w:t>
      </w:r>
    </w:p>
    <w:p w14:paraId="7F6001DE">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学期：大一下。</w:t>
      </w:r>
    </w:p>
    <w:p w14:paraId="6ACE9B0C">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课程核心内容：行列式、矩阵、向量、线性方程组、特征值与特征向量、二次型等。</w:t>
      </w:r>
    </w:p>
    <w:p w14:paraId="3A77C8C4">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培养目标：</w:t>
      </w:r>
    </w:p>
    <w:p w14:paraId="105F2085">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1、</w:t>
      </w:r>
      <w:r>
        <w:rPr>
          <w:rFonts w:ascii="仿宋" w:hAnsi="仿宋" w:eastAsia="仿宋"/>
          <w:sz w:val="28"/>
          <w:szCs w:val="28"/>
        </w:rPr>
        <w:t>理解并掌握行列式、矩阵、向量、线性方程组、矩阵的特征值与特征向量、二次型等基本概念、理论和方法</w:t>
      </w:r>
      <w:r>
        <w:rPr>
          <w:rFonts w:hint="eastAsia" w:ascii="仿宋" w:hAnsi="仿宋" w:eastAsia="仿宋"/>
          <w:sz w:val="28"/>
          <w:szCs w:val="28"/>
        </w:rPr>
        <w:t>。</w:t>
      </w:r>
    </w:p>
    <w:p w14:paraId="1F1163C4">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2、</w:t>
      </w:r>
      <w:r>
        <w:rPr>
          <w:rFonts w:ascii="仿宋" w:hAnsi="仿宋" w:eastAsia="仿宋"/>
          <w:sz w:val="28"/>
          <w:szCs w:val="28"/>
        </w:rPr>
        <w:t>能综合运用所学知识，分析和解决在工程、经济、管理等领域中遇到的复杂问题</w:t>
      </w:r>
      <w:r>
        <w:rPr>
          <w:rFonts w:hint="eastAsia" w:ascii="仿宋" w:hAnsi="仿宋" w:eastAsia="仿宋"/>
          <w:sz w:val="28"/>
          <w:szCs w:val="28"/>
        </w:rPr>
        <w:t>。</w:t>
      </w:r>
    </w:p>
    <w:p w14:paraId="2AAFA5C0">
      <w:pPr>
        <w:pStyle w:val="5"/>
        <w:spacing w:line="360" w:lineRule="auto"/>
        <w:ind w:left="420" w:firstLine="0" w:firstLineChars="0"/>
        <w:rPr>
          <w:rFonts w:ascii="仿宋" w:hAnsi="仿宋" w:eastAsia="仿宋"/>
          <w:sz w:val="28"/>
          <w:szCs w:val="28"/>
          <w:highlight w:val="yellow"/>
        </w:rPr>
      </w:pPr>
      <w:r>
        <w:rPr>
          <w:rFonts w:hint="eastAsia" w:ascii="仿宋" w:hAnsi="仿宋" w:eastAsia="仿宋"/>
          <w:color w:val="EE0000"/>
          <w:sz w:val="28"/>
          <w:szCs w:val="28"/>
        </w:rPr>
        <w:t>建议：</w:t>
      </w:r>
      <w:r>
        <w:rPr>
          <w:rFonts w:hint="eastAsia" w:ascii="仿宋" w:hAnsi="仿宋" w:eastAsia="仿宋"/>
          <w:sz w:val="28"/>
          <w:szCs w:val="28"/>
          <w:highlight w:val="yellow"/>
        </w:rPr>
        <w:t>目前电子及通信的线性代数因为学时原因，大纲未覆盖考研大纲，经与电子信息任课老师蒋涛老师讨论，建议提升到48学时（上次大纲修订降学时前，可以按照48学时完成考研大纲覆盖的教学内容）。</w:t>
      </w:r>
    </w:p>
    <w:p w14:paraId="6334BB39">
      <w:pPr>
        <w:pStyle w:val="5"/>
        <w:spacing w:line="360" w:lineRule="auto"/>
        <w:ind w:left="420" w:firstLine="0" w:firstLineChars="0"/>
        <w:rPr>
          <w:rFonts w:ascii="仿宋" w:hAnsi="仿宋" w:eastAsia="仿宋"/>
          <w:sz w:val="28"/>
          <w:szCs w:val="28"/>
        </w:rPr>
      </w:pPr>
    </w:p>
    <w:p w14:paraId="3246F971">
      <w:pPr>
        <w:pStyle w:val="5"/>
        <w:spacing w:line="360" w:lineRule="auto"/>
        <w:ind w:left="420" w:firstLine="0" w:firstLineChars="0"/>
        <w:rPr>
          <w:rFonts w:ascii="仿宋" w:hAnsi="仿宋" w:eastAsia="仿宋"/>
          <w:sz w:val="28"/>
          <w:szCs w:val="28"/>
          <w:highlight w:val="yellow"/>
        </w:rPr>
      </w:pPr>
      <w:r>
        <w:rPr>
          <w:rFonts w:hint="eastAsia" w:ascii="仿宋" w:hAnsi="仿宋" w:eastAsia="仿宋"/>
          <w:sz w:val="28"/>
          <w:szCs w:val="28"/>
          <w:highlight w:val="yellow"/>
        </w:rPr>
        <w:t>概率论与数理统计、</w:t>
      </w:r>
    </w:p>
    <w:p w14:paraId="30A48B2E">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学分：3</w:t>
      </w:r>
    </w:p>
    <w:p w14:paraId="337C3323">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学期：大二上</w:t>
      </w:r>
    </w:p>
    <w:p w14:paraId="27635E46">
      <w:pPr>
        <w:pStyle w:val="5"/>
        <w:spacing w:line="360" w:lineRule="auto"/>
        <w:ind w:left="420" w:firstLine="0" w:firstLineChars="0"/>
        <w:rPr>
          <w:rFonts w:hint="eastAsia" w:ascii="仿宋" w:hAnsi="仿宋" w:eastAsia="仿宋"/>
          <w:sz w:val="28"/>
          <w:szCs w:val="28"/>
        </w:rPr>
      </w:pPr>
      <w:r>
        <w:rPr>
          <w:rFonts w:hint="eastAsia" w:ascii="仿宋" w:hAnsi="仿宋" w:eastAsia="仿宋"/>
          <w:sz w:val="28"/>
          <w:szCs w:val="28"/>
        </w:rPr>
        <w:t>核心课程内容：</w:t>
      </w:r>
      <w:r>
        <w:rPr>
          <w:rFonts w:hint="eastAsia" w:asciiTheme="minorEastAsia" w:hAnsiTheme="minorEastAsia"/>
          <w:bCs/>
          <w:color w:val="000000" w:themeColor="text1"/>
          <w:sz w:val="24"/>
          <w:szCs w:val="24"/>
          <w14:textFill>
            <w14:solidFill>
              <w14:schemeClr w14:val="tx1"/>
            </w14:solidFill>
          </w14:textFill>
        </w:rPr>
        <w:t>概率论与数理统计的理解与运算</w:t>
      </w:r>
      <w:r>
        <w:rPr>
          <w:rFonts w:asciiTheme="minorEastAsia" w:hAnsiTheme="minorEastAsia"/>
          <w:bCs/>
          <w:color w:val="000000" w:themeColor="text1"/>
          <w:sz w:val="24"/>
          <w:szCs w:val="24"/>
          <w14:textFill>
            <w14:solidFill>
              <w14:schemeClr w14:val="tx1"/>
            </w14:solidFill>
          </w14:textFill>
        </w:rPr>
        <w:t>、</w:t>
      </w:r>
      <w:r>
        <w:rPr>
          <w:rFonts w:hint="eastAsia" w:asciiTheme="minorEastAsia" w:hAnsiTheme="minorEastAsia"/>
          <w:bCs/>
          <w:color w:val="000000" w:themeColor="text1"/>
          <w:sz w:val="24"/>
          <w:szCs w:val="24"/>
          <w14:textFill>
            <w14:solidFill>
              <w14:schemeClr w14:val="tx1"/>
            </w14:solidFill>
          </w14:textFill>
        </w:rPr>
        <w:t>随机变量及其分布</w:t>
      </w:r>
      <w:r>
        <w:rPr>
          <w:rFonts w:asciiTheme="minorEastAsia" w:hAnsiTheme="minorEastAsia"/>
          <w:bCs/>
          <w:color w:val="000000" w:themeColor="text1"/>
          <w:sz w:val="24"/>
          <w:szCs w:val="24"/>
          <w14:textFill>
            <w14:solidFill>
              <w14:schemeClr w14:val="tx1"/>
            </w14:solidFill>
          </w14:textFill>
        </w:rPr>
        <w:t>、</w:t>
      </w:r>
      <w:r>
        <w:rPr>
          <w:rFonts w:hint="eastAsia" w:asciiTheme="minorEastAsia" w:hAnsiTheme="minorEastAsia"/>
          <w:bCs/>
          <w:color w:val="000000" w:themeColor="text1"/>
          <w:sz w:val="24"/>
          <w:szCs w:val="24"/>
          <w14:textFill>
            <w14:solidFill>
              <w14:schemeClr w14:val="tx1"/>
            </w14:solidFill>
          </w14:textFill>
        </w:rPr>
        <w:t>多维随机变量及其分布</w:t>
      </w:r>
      <w:r>
        <w:rPr>
          <w:rFonts w:asciiTheme="minorEastAsia" w:hAnsiTheme="minorEastAsia"/>
          <w:bCs/>
          <w:color w:val="000000" w:themeColor="text1"/>
          <w:sz w:val="24"/>
          <w:szCs w:val="24"/>
          <w14:textFill>
            <w14:solidFill>
              <w14:schemeClr w14:val="tx1"/>
            </w14:solidFill>
          </w14:textFill>
        </w:rPr>
        <w:t>、</w:t>
      </w:r>
      <w:r>
        <w:rPr>
          <w:rFonts w:hint="eastAsia" w:asciiTheme="minorEastAsia" w:hAnsiTheme="minorEastAsia"/>
          <w:bCs/>
          <w:color w:val="000000" w:themeColor="text1"/>
          <w:sz w:val="24"/>
          <w:szCs w:val="24"/>
          <w14:textFill>
            <w14:solidFill>
              <w14:schemeClr w14:val="tx1"/>
            </w14:solidFill>
          </w14:textFill>
        </w:rPr>
        <w:t>随机变量的数字特征</w:t>
      </w:r>
      <w:r>
        <w:rPr>
          <w:rFonts w:asciiTheme="minorEastAsia" w:hAnsiTheme="minorEastAsia"/>
          <w:bCs/>
          <w:color w:val="000000" w:themeColor="text1"/>
          <w:sz w:val="24"/>
          <w:szCs w:val="24"/>
          <w14:textFill>
            <w14:solidFill>
              <w14:schemeClr w14:val="tx1"/>
            </w14:solidFill>
          </w14:textFill>
        </w:rPr>
        <w:t>、</w:t>
      </w:r>
      <w:r>
        <w:rPr>
          <w:rFonts w:hint="eastAsia" w:asciiTheme="minorEastAsia" w:hAnsiTheme="minorEastAsia"/>
          <w:bCs/>
          <w:color w:val="000000" w:themeColor="text1"/>
          <w:sz w:val="24"/>
          <w:szCs w:val="24"/>
          <w14:textFill>
            <w14:solidFill>
              <w14:schemeClr w14:val="tx1"/>
            </w14:solidFill>
          </w14:textFill>
        </w:rPr>
        <w:t>大数定律及中心极限定理</w:t>
      </w:r>
      <w:r>
        <w:rPr>
          <w:rFonts w:asciiTheme="minorEastAsia" w:hAnsiTheme="minorEastAsia"/>
          <w:bCs/>
          <w:color w:val="000000" w:themeColor="text1"/>
          <w:sz w:val="24"/>
          <w:szCs w:val="24"/>
          <w14:textFill>
            <w14:solidFill>
              <w14:schemeClr w14:val="tx1"/>
            </w14:solidFill>
          </w14:textFill>
        </w:rPr>
        <w:t>、</w:t>
      </w:r>
      <w:r>
        <w:rPr>
          <w:rFonts w:hint="eastAsia" w:asciiTheme="minorEastAsia" w:hAnsiTheme="minorEastAsia"/>
          <w:bCs/>
          <w:color w:val="000000" w:themeColor="text1"/>
          <w:sz w:val="24"/>
          <w:szCs w:val="24"/>
          <w14:textFill>
            <w14:solidFill>
              <w14:schemeClr w14:val="tx1"/>
            </w14:solidFill>
          </w14:textFill>
        </w:rPr>
        <w:t>样本及抽样分布</w:t>
      </w:r>
      <w:r>
        <w:rPr>
          <w:rFonts w:asciiTheme="minorEastAsia" w:hAnsiTheme="minorEastAsia"/>
          <w:bCs/>
          <w:color w:val="000000" w:themeColor="text1"/>
          <w:sz w:val="24"/>
          <w:szCs w:val="24"/>
          <w14:textFill>
            <w14:solidFill>
              <w14:schemeClr w14:val="tx1"/>
            </w14:solidFill>
          </w14:textFill>
        </w:rPr>
        <w:t>、</w:t>
      </w:r>
      <w:r>
        <w:rPr>
          <w:rFonts w:hint="eastAsia" w:asciiTheme="minorEastAsia" w:hAnsiTheme="minorEastAsia"/>
          <w:bCs/>
          <w:color w:val="000000" w:themeColor="text1"/>
          <w:sz w:val="24"/>
          <w:szCs w:val="24"/>
          <w14:textFill>
            <w14:solidFill>
              <w14:schemeClr w14:val="tx1"/>
            </w14:solidFill>
          </w14:textFill>
        </w:rPr>
        <w:t>参数估计</w:t>
      </w:r>
    </w:p>
    <w:p w14:paraId="041CD8AA">
      <w:pPr>
        <w:spacing w:line="360" w:lineRule="auto"/>
        <w:ind w:firstLine="560" w:firstLineChars="200"/>
        <w:rPr>
          <w:rFonts w:ascii="仿宋" w:hAnsi="仿宋" w:eastAsia="仿宋"/>
          <w:sz w:val="28"/>
          <w:szCs w:val="28"/>
        </w:rPr>
      </w:pPr>
      <w:r>
        <w:rPr>
          <w:rFonts w:hint="eastAsia" w:ascii="仿宋" w:hAnsi="仿宋" w:eastAsia="仿宋"/>
          <w:sz w:val="28"/>
          <w:szCs w:val="28"/>
        </w:rPr>
        <w:t>培养目标：</w:t>
      </w:r>
    </w:p>
    <w:p w14:paraId="0CFBBEC7">
      <w:pPr>
        <w:spacing w:line="360" w:lineRule="auto"/>
        <w:ind w:firstLine="480" w:firstLineChars="200"/>
        <w:rPr>
          <w:sz w:val="24"/>
        </w:rPr>
      </w:pPr>
      <w:bookmarkStart w:id="0" w:name="_Hlk154407744"/>
      <w:r>
        <w:rPr>
          <w:rFonts w:hint="eastAsia" w:asciiTheme="minorEastAsia" w:hAnsiTheme="minorEastAsia"/>
          <w:bCs/>
          <w:color w:val="000000" w:themeColor="text1"/>
          <w:sz w:val="24"/>
          <w:szCs w:val="21"/>
          <w14:textFill>
            <w14:solidFill>
              <w14:schemeClr w14:val="tx1"/>
            </w14:solidFill>
          </w14:textFill>
        </w:rPr>
        <w:t>理解和掌握概率论与数理统计的基本概念和基本运算，通过了解随机现象其偶然背后的必然规律，培养学生的辩证思维和科学方法论</w:t>
      </w:r>
      <w:r>
        <w:rPr>
          <w:rFonts w:hint="eastAsia"/>
          <w:sz w:val="24"/>
        </w:rPr>
        <w:t>。</w:t>
      </w:r>
    </w:p>
    <w:p w14:paraId="30D28EB1">
      <w:pPr>
        <w:spacing w:line="360" w:lineRule="auto"/>
        <w:ind w:firstLine="480" w:firstLineChars="200"/>
        <w:rPr>
          <w:sz w:val="24"/>
        </w:rPr>
      </w:pPr>
      <w:r>
        <w:rPr>
          <w:rFonts w:hint="eastAsia"/>
          <w:sz w:val="24"/>
        </w:rPr>
        <w:t>理解概率论与数理统计的基本理论，掌握分析随机现象相关问题的基本思想和方法，并在此过程中培养学生的科学思维。</w:t>
      </w:r>
    </w:p>
    <w:p w14:paraId="18B8F132">
      <w:pPr>
        <w:spacing w:line="360" w:lineRule="auto"/>
        <w:ind w:firstLine="480" w:firstLineChars="200"/>
        <w:rPr>
          <w:sz w:val="24"/>
        </w:rPr>
      </w:pPr>
      <w:r>
        <w:rPr>
          <w:rFonts w:hint="eastAsia"/>
          <w:sz w:val="24"/>
        </w:rPr>
        <w:t>掌握概率论与数理统计的基础理论，能够建立概率模型解决不确定问题。</w:t>
      </w:r>
    </w:p>
    <w:p w14:paraId="0A09DD4A">
      <w:pPr>
        <w:spacing w:line="360" w:lineRule="auto"/>
        <w:ind w:firstLine="480" w:firstLineChars="200"/>
        <w:rPr>
          <w:rFonts w:asciiTheme="minorEastAsia" w:hAnsiTheme="minorEastAsia"/>
          <w:bCs/>
          <w:color w:val="000000" w:themeColor="text1"/>
          <w:sz w:val="24"/>
          <w:szCs w:val="21"/>
          <w14:textFill>
            <w14:solidFill>
              <w14:schemeClr w14:val="tx1"/>
            </w14:solidFill>
          </w14:textFill>
        </w:rPr>
      </w:pPr>
      <w:r>
        <w:rPr>
          <w:rFonts w:hint="eastAsia" w:asciiTheme="minorEastAsia" w:hAnsiTheme="minorEastAsia"/>
          <w:bCs/>
          <w:color w:val="000000" w:themeColor="text1"/>
          <w:sz w:val="24"/>
          <w:szCs w:val="21"/>
          <w14:textFill>
            <w14:solidFill>
              <w14:schemeClr w14:val="tx1"/>
            </w14:solidFill>
          </w14:textFill>
        </w:rPr>
        <w:t>掌握运用概率统计方法分析和解决、处理实际不确定问题的基本技能和基本素质，并在此过程中</w:t>
      </w:r>
      <w:r>
        <w:rPr>
          <w:rFonts w:hint="eastAsia"/>
          <w:color w:val="000000"/>
          <w:sz w:val="24"/>
          <w:szCs w:val="21"/>
          <w:shd w:val="clear" w:color="auto" w:fill="FFFFFF"/>
        </w:rPr>
        <w:t>培养学生学以致用的意识，提升数学素养，</w:t>
      </w:r>
      <w:r>
        <w:rPr>
          <w:rFonts w:hint="eastAsia" w:asciiTheme="minorEastAsia" w:hAnsiTheme="minorEastAsia"/>
          <w:bCs/>
          <w:color w:val="000000" w:themeColor="text1"/>
          <w:sz w:val="24"/>
          <w:szCs w:val="21"/>
          <w14:textFill>
            <w14:solidFill>
              <w14:schemeClr w14:val="tx1"/>
            </w14:solidFill>
          </w14:textFill>
        </w:rPr>
        <w:t>增强学生的爱国情怀。</w:t>
      </w:r>
    </w:p>
    <w:p w14:paraId="3F383F18">
      <w:pPr>
        <w:spacing w:line="360" w:lineRule="auto"/>
        <w:ind w:firstLine="480" w:firstLineChars="200"/>
        <w:rPr>
          <w:rFonts w:hint="eastAsia"/>
          <w:sz w:val="24"/>
        </w:rPr>
      </w:pPr>
      <w:r>
        <w:rPr>
          <w:rFonts w:hint="eastAsia"/>
          <w:sz w:val="24"/>
        </w:rPr>
        <w:t>能够将概率论与数理统计的理论和方法与实际应用相结合，研究和分析工程领域的相关问题，</w:t>
      </w:r>
      <w:bookmarkStart w:id="1" w:name="_Hlk154401191"/>
      <w:r>
        <w:rPr>
          <w:rFonts w:hint="eastAsia"/>
          <w:sz w:val="24"/>
        </w:rPr>
        <w:t>在此过程中培养学生的创新思维能力和科学素养</w:t>
      </w:r>
      <w:bookmarkEnd w:id="1"/>
      <w:r>
        <w:rPr>
          <w:rFonts w:hint="eastAsia"/>
          <w:sz w:val="24"/>
        </w:rPr>
        <w:t>。</w:t>
      </w:r>
      <w:bookmarkEnd w:id="0"/>
    </w:p>
    <w:p w14:paraId="32E1AADB">
      <w:pPr>
        <w:spacing w:line="360" w:lineRule="auto"/>
        <w:ind w:firstLine="480" w:firstLineChars="200"/>
        <w:rPr>
          <w:rFonts w:hint="eastAsia"/>
          <w:sz w:val="24"/>
        </w:rPr>
      </w:pPr>
      <w:r>
        <w:rPr>
          <w:rFonts w:hint="eastAsia"/>
          <w:sz w:val="24"/>
        </w:rPr>
        <w:t>核心在于帮学生建立随机性思维，从传统的“确定性”思维，转变为用概率和统计的眼光看待充满不确定性的通信世界。</w:t>
      </w:r>
    </w:p>
    <w:p w14:paraId="6BD951A9">
      <w:pPr>
        <w:pStyle w:val="5"/>
        <w:spacing w:line="360" w:lineRule="auto"/>
        <w:ind w:left="420" w:firstLine="0" w:firstLineChars="0"/>
        <w:rPr>
          <w:rFonts w:ascii="仿宋" w:hAnsi="仿宋" w:eastAsia="仿宋"/>
          <w:sz w:val="28"/>
          <w:szCs w:val="28"/>
        </w:rPr>
      </w:pPr>
    </w:p>
    <w:p w14:paraId="5A93B833">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highlight w:val="yellow"/>
        </w:rPr>
        <w:t>复变函数、</w:t>
      </w:r>
    </w:p>
    <w:p w14:paraId="7FCDC3A6">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学分：2</w:t>
      </w:r>
    </w:p>
    <w:p w14:paraId="13D7AE38">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学期：大二上</w:t>
      </w:r>
    </w:p>
    <w:p w14:paraId="54435802">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核心课程内容：</w:t>
      </w:r>
      <w:r>
        <w:rPr>
          <w:rFonts w:asciiTheme="minorEastAsia" w:hAnsiTheme="minorEastAsia"/>
          <w:bCs/>
          <w:color w:val="000000" w:themeColor="text1"/>
          <w:sz w:val="24"/>
          <w:szCs w:val="24"/>
          <w14:textFill>
            <w14:solidFill>
              <w14:schemeClr w14:val="tx1"/>
            </w14:solidFill>
          </w14:textFill>
        </w:rPr>
        <w:t>复数与复变函数、解析函数、复变函数积分、复级数、留数以及共形映射</w:t>
      </w:r>
    </w:p>
    <w:p w14:paraId="36943160">
      <w:pPr>
        <w:spacing w:line="360" w:lineRule="auto"/>
        <w:ind w:firstLine="560" w:firstLineChars="200"/>
        <w:rPr>
          <w:rFonts w:ascii="仿宋" w:hAnsi="仿宋" w:eastAsia="仿宋"/>
          <w:sz w:val="28"/>
          <w:szCs w:val="28"/>
        </w:rPr>
      </w:pPr>
      <w:r>
        <w:rPr>
          <w:rFonts w:hint="eastAsia" w:ascii="仿宋" w:hAnsi="仿宋" w:eastAsia="仿宋"/>
          <w:sz w:val="28"/>
          <w:szCs w:val="28"/>
        </w:rPr>
        <w:t>培养目标：</w:t>
      </w:r>
    </w:p>
    <w:p w14:paraId="678CD8DC">
      <w:pPr>
        <w:spacing w:line="360" w:lineRule="auto"/>
        <w:ind w:firstLine="480" w:firstLineChars="200"/>
        <w:rPr>
          <w:rFonts w:cs="Times New Roman" w:asciiTheme="minorEastAsia" w:hAnsiTheme="minorEastAsia"/>
          <w:bCs/>
          <w:color w:val="000000" w:themeColor="text1"/>
          <w:sz w:val="24"/>
          <w:szCs w:val="21"/>
          <w14:textFill>
            <w14:solidFill>
              <w14:schemeClr w14:val="tx1"/>
            </w14:solidFill>
          </w14:textFill>
        </w:rPr>
      </w:pPr>
      <w:r>
        <w:rPr>
          <w:rStyle w:val="6"/>
          <w:rFonts w:cs="Times New Roman" w:asciiTheme="minorEastAsia" w:hAnsiTheme="minorEastAsia"/>
          <w:sz w:val="24"/>
          <w:szCs w:val="21"/>
        </w:rPr>
        <w:t>掌握</w:t>
      </w:r>
      <w:r>
        <w:rPr>
          <w:rFonts w:cs="Times New Roman" w:asciiTheme="minorEastAsia" w:hAnsiTheme="minorEastAsia"/>
          <w:bCs/>
          <w:color w:val="000000" w:themeColor="text1"/>
          <w:sz w:val="24"/>
          <w:szCs w:val="21"/>
          <w14:textFill>
            <w14:solidFill>
              <w14:schemeClr w14:val="tx1"/>
            </w14:solidFill>
          </w14:textFill>
        </w:rPr>
        <w:t>复数与复变函数、解析函数、复变函数积分、复级数、留数以及共形映射等基本概念和基本运算</w:t>
      </w:r>
      <w:r>
        <w:rPr>
          <w:rStyle w:val="6"/>
          <w:rFonts w:cs="Times New Roman" w:asciiTheme="minorEastAsia" w:hAnsiTheme="minorEastAsia"/>
          <w:sz w:val="24"/>
          <w:szCs w:val="21"/>
        </w:rPr>
        <w:t>，通过复变函数的发展史，激发学生的求知热情，培养学生的爱国主义情怀。</w:t>
      </w:r>
    </w:p>
    <w:p w14:paraId="21685514">
      <w:pPr>
        <w:spacing w:line="360" w:lineRule="auto"/>
        <w:ind w:firstLine="480" w:firstLineChars="200"/>
        <w:rPr>
          <w:rStyle w:val="6"/>
          <w:rFonts w:cs="Times New Roman" w:asciiTheme="minorEastAsia" w:hAnsiTheme="minorEastAsia"/>
          <w:sz w:val="24"/>
        </w:rPr>
      </w:pPr>
      <w:r>
        <w:rPr>
          <w:rFonts w:cs="Times New Roman" w:asciiTheme="minorEastAsia" w:hAnsiTheme="minorEastAsia"/>
          <w:bCs/>
          <w:color w:val="000000" w:themeColor="text1"/>
          <w:sz w:val="24"/>
          <w:szCs w:val="21"/>
          <w14:textFill>
            <w14:solidFill>
              <w14:schemeClr w14:val="tx1"/>
            </w14:solidFill>
          </w14:textFill>
        </w:rPr>
        <w:t>掌握函数解析、柯西积分定理、柯西积分公式</w:t>
      </w:r>
      <w:r>
        <w:rPr>
          <w:rStyle w:val="6"/>
          <w:rFonts w:cs="Times New Roman" w:asciiTheme="minorEastAsia" w:hAnsiTheme="minorEastAsia"/>
          <w:sz w:val="24"/>
          <w:szCs w:val="21"/>
        </w:rPr>
        <w:t>等基础理论和计算方法</w:t>
      </w:r>
      <w:r>
        <w:rPr>
          <w:rStyle w:val="6"/>
          <w:rFonts w:cs="Times New Roman" w:asciiTheme="minorEastAsia" w:hAnsiTheme="minorEastAsia"/>
          <w:sz w:val="24"/>
        </w:rPr>
        <w:t>，在此过程中培养学生的科学精神。</w:t>
      </w:r>
    </w:p>
    <w:p w14:paraId="3A949BFC">
      <w:pPr>
        <w:spacing w:line="360" w:lineRule="auto"/>
        <w:ind w:firstLine="480" w:firstLineChars="200"/>
        <w:rPr>
          <w:rFonts w:cs="Times New Roman" w:asciiTheme="minorEastAsia" w:hAnsiTheme="minorEastAsia"/>
          <w:bCs/>
          <w:color w:val="000000" w:themeColor="text1"/>
          <w:sz w:val="24"/>
          <w:szCs w:val="21"/>
          <w14:textFill>
            <w14:solidFill>
              <w14:schemeClr w14:val="tx1"/>
            </w14:solidFill>
          </w14:textFill>
        </w:rPr>
      </w:pPr>
      <w:r>
        <w:rPr>
          <w:rFonts w:cs="Times New Roman" w:asciiTheme="minorEastAsia" w:hAnsiTheme="minorEastAsia"/>
          <w:bCs/>
          <w:color w:val="000000" w:themeColor="text1"/>
          <w:sz w:val="24"/>
          <w:szCs w:val="21"/>
          <w14:textFill>
            <w14:solidFill>
              <w14:schemeClr w14:val="tx1"/>
            </w14:solidFill>
          </w14:textFill>
        </w:rPr>
        <w:t>理解解析函数的泰勒展开与洛朗展开以及留数定理等基本原理，能分析相关问题并具有熟练的运算能力和较强的逻辑推理能力，同时为后续专业课程提供所需的相应基础</w:t>
      </w:r>
      <w:r>
        <w:rPr>
          <w:rStyle w:val="6"/>
          <w:rFonts w:cs="Times New Roman" w:asciiTheme="minorEastAsia" w:hAnsiTheme="minorEastAsia"/>
          <w:sz w:val="24"/>
        </w:rPr>
        <w:t>。</w:t>
      </w:r>
    </w:p>
    <w:p w14:paraId="7230E377">
      <w:pPr>
        <w:spacing w:line="360" w:lineRule="auto"/>
        <w:ind w:firstLine="480" w:firstLineChars="200"/>
        <w:rPr>
          <w:rFonts w:cs="Times New Roman" w:asciiTheme="minorEastAsia" w:hAnsiTheme="minorEastAsia"/>
          <w:bCs/>
          <w:color w:val="000000" w:themeColor="text1"/>
          <w:sz w:val="24"/>
          <w:szCs w:val="21"/>
          <w14:textFill>
            <w14:solidFill>
              <w14:schemeClr w14:val="tx1"/>
            </w14:solidFill>
          </w14:textFill>
        </w:rPr>
      </w:pPr>
      <w:r>
        <w:rPr>
          <w:rFonts w:cs="Times New Roman" w:asciiTheme="minorEastAsia" w:hAnsiTheme="minorEastAsia"/>
          <w:bCs/>
          <w:color w:val="000000" w:themeColor="text1"/>
          <w:sz w:val="24"/>
          <w:szCs w:val="21"/>
          <w14:textFill>
            <w14:solidFill>
              <w14:schemeClr w14:val="tx1"/>
            </w14:solidFill>
          </w14:textFill>
        </w:rPr>
        <w:t>能够运用复变函数理论和方法分析、解决和处理实际问题，贯通实数与复数之间的联系予以解决实数难以解决的问题，</w:t>
      </w:r>
      <w:r>
        <w:rPr>
          <w:rFonts w:cs="Times New Roman" w:asciiTheme="minorEastAsia" w:hAnsiTheme="minorEastAsia"/>
          <w:sz w:val="24"/>
        </w:rPr>
        <w:t>为进一步学习其他后续课程以及将来从事实际工作奠定良好基础。</w:t>
      </w:r>
    </w:p>
    <w:p w14:paraId="7D08DDEA">
      <w:pPr>
        <w:pStyle w:val="5"/>
        <w:spacing w:line="360" w:lineRule="auto"/>
        <w:ind w:left="420" w:firstLine="0" w:firstLineChars="0"/>
        <w:rPr>
          <w:rFonts w:ascii="仿宋" w:hAnsi="仿宋" w:eastAsia="仿宋"/>
          <w:sz w:val="28"/>
          <w:szCs w:val="28"/>
        </w:rPr>
      </w:pPr>
    </w:p>
    <w:p w14:paraId="784FDAE5">
      <w:pPr>
        <w:pStyle w:val="5"/>
        <w:spacing w:line="360" w:lineRule="auto"/>
        <w:ind w:left="420" w:firstLine="0" w:firstLineChars="0"/>
        <w:rPr>
          <w:rFonts w:ascii="仿宋" w:hAnsi="仿宋" w:eastAsia="仿宋"/>
          <w:sz w:val="28"/>
          <w:szCs w:val="28"/>
        </w:rPr>
      </w:pPr>
      <w:r>
        <w:rPr>
          <w:rFonts w:ascii="仿宋" w:hAnsi="仿宋" w:eastAsia="仿宋"/>
          <w:sz w:val="28"/>
          <w:szCs w:val="28"/>
        </w:rPr>
        <w:t>数学分析</w:t>
      </w:r>
      <w:r>
        <w:rPr>
          <w:rFonts w:hint="eastAsia" w:ascii="仿宋" w:hAnsi="仿宋" w:eastAsia="仿宋"/>
          <w:sz w:val="28"/>
          <w:szCs w:val="28"/>
        </w:rPr>
        <w:t>（考研）、</w:t>
      </w:r>
    </w:p>
    <w:p w14:paraId="5AC236DF">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学分：3</w:t>
      </w:r>
      <w:r>
        <w:rPr>
          <w:rFonts w:ascii="仿宋" w:hAnsi="仿宋" w:eastAsia="仿宋"/>
          <w:sz w:val="28"/>
          <w:szCs w:val="28"/>
        </w:rPr>
        <w:t xml:space="preserve"> </w:t>
      </w:r>
    </w:p>
    <w:p w14:paraId="6775D846">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学期：大三下</w:t>
      </w:r>
    </w:p>
    <w:p w14:paraId="31571703">
      <w:pPr>
        <w:pStyle w:val="5"/>
        <w:spacing w:line="360" w:lineRule="auto"/>
        <w:ind w:left="420" w:firstLine="0" w:firstLineChars="0"/>
        <w:rPr>
          <w:rFonts w:asciiTheme="minorEastAsia" w:hAnsiTheme="minorEastAsia"/>
          <w:bCs/>
          <w:color w:val="000000" w:themeColor="text1"/>
          <w:sz w:val="24"/>
          <w:szCs w:val="24"/>
          <w14:textFill>
            <w14:solidFill>
              <w14:schemeClr w14:val="tx1"/>
            </w14:solidFill>
          </w14:textFill>
        </w:rPr>
      </w:pPr>
      <w:r>
        <w:rPr>
          <w:rFonts w:hint="eastAsia" w:ascii="仿宋" w:hAnsi="仿宋" w:eastAsia="仿宋"/>
          <w:sz w:val="28"/>
          <w:szCs w:val="28"/>
        </w:rPr>
        <w:t>核心课程内容：</w:t>
      </w:r>
      <w:r>
        <w:rPr>
          <w:rFonts w:hint="eastAsia" w:asciiTheme="minorEastAsia" w:hAnsiTheme="minorEastAsia"/>
          <w:bCs/>
          <w:color w:val="000000" w:themeColor="text1"/>
          <w:sz w:val="24"/>
          <w:szCs w:val="24"/>
          <w14:textFill>
            <w14:solidFill>
              <w14:schemeClr w14:val="tx1"/>
            </w14:solidFill>
          </w14:textFill>
        </w:rPr>
        <w:t>极限理论、一元函数微积分学、多元函数微积分学、常微分方程和无穷级数。</w:t>
      </w:r>
    </w:p>
    <w:p w14:paraId="5F5DC5E1">
      <w:pPr>
        <w:spacing w:line="360" w:lineRule="auto"/>
        <w:ind w:firstLine="482"/>
        <w:rPr>
          <w:rFonts w:ascii="仿宋" w:hAnsi="仿宋" w:eastAsia="仿宋"/>
          <w:sz w:val="28"/>
          <w:szCs w:val="28"/>
        </w:rPr>
      </w:pPr>
      <w:r>
        <w:rPr>
          <w:rFonts w:hint="eastAsia" w:ascii="仿宋" w:hAnsi="仿宋" w:eastAsia="仿宋"/>
          <w:sz w:val="28"/>
          <w:szCs w:val="28"/>
        </w:rPr>
        <w:t>培养目标：</w:t>
      </w:r>
    </w:p>
    <w:p w14:paraId="66300595">
      <w:pPr>
        <w:spacing w:line="360" w:lineRule="auto"/>
        <w:ind w:firstLine="482"/>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掌握极限理论，一元函数微积分学、多元函数微积分学、常微分方程和无穷级数。</w:t>
      </w:r>
    </w:p>
    <w:p w14:paraId="5B53002A">
      <w:pPr>
        <w:spacing w:line="360" w:lineRule="auto"/>
        <w:ind w:firstLine="482"/>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掌握微积分的基本概念，基本理论和基本运算技能，掌握微积分的思想方法在物理学与工程学模型中的运用，培养学生正确的学习意识。</w:t>
      </w:r>
    </w:p>
    <w:p w14:paraId="1A3A3FB3">
      <w:pPr>
        <w:spacing w:line="360" w:lineRule="auto"/>
        <w:ind w:firstLine="482"/>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培养学生通过查找文献，利用微积分知识解决实际问题的能力。</w:t>
      </w:r>
    </w:p>
    <w:p w14:paraId="47AA73D8">
      <w:pPr>
        <w:spacing w:line="360" w:lineRule="auto"/>
        <w:ind w:firstLine="482"/>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14:textFill>
            <w14:solidFill>
              <w14:schemeClr w14:val="tx1"/>
            </w14:solidFill>
          </w14:textFill>
        </w:rPr>
        <w:t>培养学生分析微积分应用问题的能力，激发学生的思辨能力、辩证思想和家国情怀。</w:t>
      </w:r>
    </w:p>
    <w:p w14:paraId="7A338FC5">
      <w:pPr>
        <w:pStyle w:val="5"/>
        <w:spacing w:line="360" w:lineRule="auto"/>
        <w:ind w:firstLine="0" w:firstLineChars="0"/>
        <w:rPr>
          <w:rFonts w:ascii="仿宋" w:hAnsi="仿宋" w:eastAsia="仿宋"/>
          <w:sz w:val="28"/>
          <w:szCs w:val="28"/>
          <w:highlight w:val="yellow"/>
        </w:rPr>
      </w:pPr>
    </w:p>
    <w:p w14:paraId="43F48A0B">
      <w:pPr>
        <w:pStyle w:val="5"/>
        <w:spacing w:line="360" w:lineRule="auto"/>
        <w:ind w:left="420" w:firstLine="0" w:firstLineChars="0"/>
        <w:rPr>
          <w:rFonts w:ascii="仿宋" w:hAnsi="仿宋" w:eastAsia="仿宋"/>
          <w:sz w:val="28"/>
          <w:szCs w:val="28"/>
        </w:rPr>
      </w:pPr>
    </w:p>
    <w:p w14:paraId="56F33090">
      <w:pPr>
        <w:pStyle w:val="5"/>
        <w:spacing w:line="360" w:lineRule="auto"/>
        <w:ind w:left="420" w:firstLine="0" w:firstLineChars="0"/>
        <w:rPr>
          <w:rFonts w:ascii="仿宋" w:hAnsi="仿宋" w:eastAsia="仿宋"/>
          <w:sz w:val="28"/>
          <w:szCs w:val="28"/>
        </w:rPr>
      </w:pPr>
      <w:r>
        <w:rPr>
          <w:rFonts w:ascii="仿宋" w:hAnsi="仿宋" w:eastAsia="仿宋"/>
          <w:sz w:val="28"/>
          <w:szCs w:val="28"/>
          <w:highlight w:val="yellow"/>
        </w:rPr>
        <w:t>电磁场与传输理论</w:t>
      </w:r>
    </w:p>
    <w:p w14:paraId="78602501">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学分：3</w:t>
      </w:r>
    </w:p>
    <w:p w14:paraId="1B789339">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学期：大二下</w:t>
      </w:r>
    </w:p>
    <w:p w14:paraId="7BB4AEEC">
      <w:pPr>
        <w:pStyle w:val="5"/>
        <w:spacing w:line="360" w:lineRule="auto"/>
        <w:ind w:left="420" w:firstLine="0" w:firstLineChars="0"/>
        <w:rPr>
          <w:rFonts w:ascii="仿宋" w:hAnsi="仿宋" w:eastAsia="仿宋"/>
          <w:sz w:val="28"/>
          <w:szCs w:val="28"/>
        </w:rPr>
      </w:pPr>
      <w:r>
        <w:rPr>
          <w:rFonts w:hint="eastAsia" w:ascii="仿宋" w:hAnsi="仿宋" w:eastAsia="仿宋"/>
          <w:sz w:val="28"/>
          <w:szCs w:val="28"/>
        </w:rPr>
        <w:t>核心课程内容：</w:t>
      </w:r>
      <w:r>
        <w:rPr>
          <w:rFonts w:hint="eastAsia" w:asciiTheme="minorEastAsia" w:hAnsiTheme="minorEastAsia"/>
          <w:bCs/>
          <w:color w:val="000000" w:themeColor="text1"/>
          <w:sz w:val="24"/>
          <w:szCs w:val="24"/>
          <w14:textFill>
            <w14:solidFill>
              <w14:schemeClr w14:val="tx1"/>
            </w14:solidFill>
          </w14:textFill>
        </w:rPr>
        <w:t>矢量分析、电磁场的基本规律、静态场分析及其边值问题、时变电磁场、均匀平面波、导行电磁波与电磁辐射</w:t>
      </w:r>
    </w:p>
    <w:p w14:paraId="5DA77CEF">
      <w:pPr>
        <w:spacing w:line="360" w:lineRule="auto"/>
        <w:ind w:firstLine="560" w:firstLineChars="200"/>
        <w:rPr>
          <w:rFonts w:ascii="仿宋" w:hAnsi="仿宋" w:eastAsia="仿宋"/>
          <w:sz w:val="28"/>
          <w:szCs w:val="28"/>
        </w:rPr>
      </w:pPr>
      <w:r>
        <w:rPr>
          <w:rFonts w:hint="eastAsia" w:ascii="仿宋" w:hAnsi="仿宋" w:eastAsia="仿宋"/>
          <w:sz w:val="28"/>
          <w:szCs w:val="28"/>
        </w:rPr>
        <w:t>培养目标：</w:t>
      </w:r>
    </w:p>
    <w:p w14:paraId="2AF82700">
      <w:pPr>
        <w:spacing w:line="360" w:lineRule="auto"/>
        <w:ind w:firstLine="480" w:firstLineChars="200"/>
        <w:rPr>
          <w:rFonts w:ascii="宋体" w:hAnsi="宋体" w:eastAsia="宋体" w:cs="Times New Roman"/>
          <w:b/>
          <w:bCs/>
          <w:sz w:val="24"/>
          <w:szCs w:val="21"/>
        </w:rPr>
      </w:pPr>
      <w:r>
        <w:rPr>
          <w:rFonts w:hint="eastAsia" w:ascii="宋体" w:hAnsi="宋体" w:eastAsia="宋体" w:cs="Times New Roman"/>
          <w:sz w:val="24"/>
          <w:szCs w:val="21"/>
        </w:rPr>
        <w:t>掌握电磁场与电磁波的基本概念与基本规律，学会结合数学、物理方法，掌握电磁领域的基本方程—麦克斯韦方程组；掌握电磁媒质中的本构关系；掌握静电场、恒定电场、恒定磁场和时谐电磁场的基本规律。</w:t>
      </w:r>
    </w:p>
    <w:p w14:paraId="0CFCE55F">
      <w:pPr>
        <w:spacing w:line="360" w:lineRule="auto"/>
        <w:ind w:firstLine="480" w:firstLineChars="200"/>
        <w:rPr>
          <w:rFonts w:ascii="宋体" w:hAnsi="宋体" w:eastAsia="宋体" w:cs="Times New Roman"/>
          <w:b/>
          <w:bCs/>
          <w:sz w:val="24"/>
          <w:szCs w:val="21"/>
        </w:rPr>
      </w:pPr>
      <w:r>
        <w:rPr>
          <w:rFonts w:hint="eastAsia" w:ascii="宋体" w:hAnsi="宋体" w:eastAsia="宋体" w:cs="Times New Roman"/>
          <w:sz w:val="24"/>
          <w:szCs w:val="21"/>
        </w:rPr>
        <w:t>掌握静态电磁场、均匀平面波的基本分析方法，并能够对常见物理模型（电容、电感、电耦合、磁耦合、电磁波的传播和极化、电磁能流）中的电磁场量与电磁波参数进行建模与求解，了解科学研究的基本方法并掌握分析科学问题的基本能力，具备一定的科学思辨能力。</w:t>
      </w:r>
    </w:p>
    <w:p w14:paraId="5CF83418">
      <w:pPr>
        <w:spacing w:line="360" w:lineRule="auto"/>
        <w:ind w:firstLine="480" w:firstLineChars="200"/>
        <w:rPr>
          <w:rFonts w:ascii="宋体" w:hAnsi="宋体" w:eastAsia="宋体" w:cs="Times New Roman"/>
          <w:b/>
          <w:bCs/>
          <w:sz w:val="24"/>
          <w:szCs w:val="21"/>
        </w:rPr>
      </w:pPr>
      <w:r>
        <w:rPr>
          <w:rFonts w:hint="eastAsia" w:ascii="宋体" w:hAnsi="宋体" w:eastAsia="宋体" w:cs="Times New Roman"/>
          <w:sz w:val="24"/>
          <w:szCs w:val="21"/>
        </w:rPr>
        <w:t>能够应用电磁场的基本理论与工程数学方法，设计电容、电感等模拟电路中常见的单元模块，能够对不同的设计方案优劣进行对比。</w:t>
      </w:r>
    </w:p>
    <w:p w14:paraId="38F35A9B">
      <w:pPr>
        <w:spacing w:line="360" w:lineRule="auto"/>
        <w:ind w:firstLine="480" w:firstLineChars="200"/>
        <w:rPr>
          <w:rFonts w:ascii="宋体" w:hAnsi="宋体" w:eastAsia="宋体" w:cs="Times New Roman"/>
          <w:sz w:val="24"/>
          <w:szCs w:val="21"/>
        </w:rPr>
      </w:pPr>
      <w:r>
        <w:rPr>
          <w:rFonts w:hint="eastAsia" w:ascii="宋体" w:hAnsi="宋体" w:eastAsia="宋体" w:cs="Times New Roman"/>
          <w:sz w:val="24"/>
          <w:szCs w:val="21"/>
        </w:rPr>
        <w:t>能够通过阅读文献调研和分析通信工程领域复杂问题的解决方案，了解国内外电磁理论历史上重大发现和发明过程中的物理思想和实验方法，具有一定的家国情怀。</w:t>
      </w:r>
    </w:p>
    <w:p w14:paraId="1FF1BF64">
      <w:pPr>
        <w:spacing w:line="360" w:lineRule="auto"/>
        <w:ind w:firstLine="480" w:firstLineChars="200"/>
        <w:rPr>
          <w:rFonts w:ascii="宋体" w:hAnsi="宋体" w:eastAsia="宋体" w:cs="Times New Roman"/>
          <w:sz w:val="24"/>
          <w:szCs w:val="21"/>
        </w:rPr>
      </w:pPr>
      <w:r>
        <w:rPr>
          <w:rFonts w:hint="eastAsia" w:ascii="宋体" w:hAnsi="宋体" w:eastAsia="宋体" w:cs="Times New Roman"/>
          <w:sz w:val="24"/>
          <w:szCs w:val="21"/>
        </w:rPr>
        <w:t>另外，人工智能正从传统的数据驱动建模迈向对复杂物理过程的深度融合与重构，信息处理正逐步从数字空间延伸至电磁波传播过程本身，使电磁空间从传统的传输媒介演化为兼具调控与计算能力的智能系统。</w:t>
      </w:r>
      <w:r>
        <w:rPr>
          <w:rFonts w:ascii="宋体" w:hAnsi="宋体" w:eastAsia="宋体" w:cs="Times New Roman"/>
          <w:sz w:val="24"/>
          <w:szCs w:val="21"/>
        </w:rPr>
        <w:t>智能电磁空间作为重构信息与物理边界的前沿领域，其发展已进入从被动传输向主动智能演进的关键阶段。在“人工智能+”的时代浪潮下，以新质生产力重构信息处理与物理调控的结合具备相当的新优势，为6G及更远未来的信息体系及新型基础设施建设奠定坚实基础，</w:t>
      </w:r>
      <w:r>
        <w:rPr>
          <w:rFonts w:hint="eastAsia" w:ascii="宋体" w:hAnsi="宋体" w:eastAsia="宋体" w:cs="Times New Roman"/>
          <w:sz w:val="24"/>
          <w:szCs w:val="21"/>
        </w:rPr>
        <w:t>智能电磁空间正在重构信息与物理世界的边界，</w:t>
      </w:r>
      <w:r>
        <w:rPr>
          <w:rFonts w:ascii="宋体" w:hAnsi="宋体" w:eastAsia="宋体" w:cs="Times New Roman"/>
          <w:sz w:val="24"/>
          <w:szCs w:val="21"/>
        </w:rPr>
        <w:t>而这一切均需对电磁场与电磁波的理论理解作为支柱性支撑。</w:t>
      </w:r>
    </w:p>
    <w:p w14:paraId="1EAD88F9">
      <w:pPr>
        <w:spacing w:line="360" w:lineRule="auto"/>
        <w:rPr>
          <w:rFonts w:ascii="宋体" w:hAnsi="宋体" w:eastAsia="宋体" w:cs="Times New Roman"/>
          <w:sz w:val="24"/>
          <w:szCs w:val="21"/>
        </w:rPr>
      </w:pPr>
    </w:p>
    <w:p w14:paraId="3EB0176D">
      <w:pPr>
        <w:spacing w:line="360" w:lineRule="auto"/>
        <w:rPr>
          <w:rFonts w:ascii="宋体" w:hAnsi="宋体" w:eastAsia="宋体" w:cs="Times New Roman"/>
          <w:sz w:val="24"/>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D9BBA3EA-E438-44DF-9F7B-41B4AEDEFC43}"/>
  </w:font>
  <w:font w:name="仿宋">
    <w:panose1 w:val="02010609060101010101"/>
    <w:charset w:val="86"/>
    <w:family w:val="modern"/>
    <w:pitch w:val="default"/>
    <w:sig w:usb0="800002BF" w:usb1="38CF7CFA" w:usb2="00000016" w:usb3="00000000" w:csb0="00040001" w:csb1="00000000"/>
    <w:embedRegular r:id="rId2" w:fontKey="{8A84EE82-6D2E-407D-908A-5A2674C2B03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CF3693"/>
    <w:rsid w:val="000D008F"/>
    <w:rsid w:val="000D6E52"/>
    <w:rsid w:val="001810E0"/>
    <w:rsid w:val="0019295D"/>
    <w:rsid w:val="001B6B1A"/>
    <w:rsid w:val="002B075F"/>
    <w:rsid w:val="002C10A3"/>
    <w:rsid w:val="002D121B"/>
    <w:rsid w:val="003223DD"/>
    <w:rsid w:val="00360295"/>
    <w:rsid w:val="00435332"/>
    <w:rsid w:val="00462818"/>
    <w:rsid w:val="005970F6"/>
    <w:rsid w:val="0065765F"/>
    <w:rsid w:val="006B1463"/>
    <w:rsid w:val="00772ABD"/>
    <w:rsid w:val="00776808"/>
    <w:rsid w:val="007C4B3E"/>
    <w:rsid w:val="00832175"/>
    <w:rsid w:val="008929DE"/>
    <w:rsid w:val="008B30B8"/>
    <w:rsid w:val="008C375A"/>
    <w:rsid w:val="00934913"/>
    <w:rsid w:val="009372EA"/>
    <w:rsid w:val="0096742C"/>
    <w:rsid w:val="00971C80"/>
    <w:rsid w:val="00A20729"/>
    <w:rsid w:val="00A72BF8"/>
    <w:rsid w:val="00AD2157"/>
    <w:rsid w:val="00B35128"/>
    <w:rsid w:val="00B47773"/>
    <w:rsid w:val="00C93E6D"/>
    <w:rsid w:val="00D11A4A"/>
    <w:rsid w:val="00D74B48"/>
    <w:rsid w:val="00DB777E"/>
    <w:rsid w:val="00EC0015"/>
    <w:rsid w:val="0170518E"/>
    <w:rsid w:val="20CF3693"/>
    <w:rsid w:val="352A574A"/>
    <w:rsid w:val="44E23E60"/>
    <w:rsid w:val="5B4669BF"/>
    <w:rsid w:val="67E45233"/>
    <w:rsid w:val="7E827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 w:type="character" w:customStyle="1" w:styleId="6">
    <w:name w:val="ql-font-timesnewroman"/>
    <w:basedOn w:val="4"/>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1310</Words>
  <Characters>1314</Characters>
  <Lines>20</Lines>
  <Paragraphs>5</Paragraphs>
  <TotalTime>1</TotalTime>
  <ScaleCrop>false</ScaleCrop>
  <LinksUpToDate>false</LinksUpToDate>
  <CharactersWithSpaces>1314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2026-06-23T14:44:00Z</dcterms:created>
  <dc:creator>tracy</dc:creator>
  <cp:lastModifiedBy>tracy</cp:lastModifiedBy>
  <dcterms:modified xsi:type="dcterms:W3CDTF">2026-06-29T13:47:13Z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5848FE4A4751417CB1192C29F3DEC6A1_11</vt:lpwstr>
  </property>
  <property fmtid="{D5CDD505-2E9C-101B-9397-08002B2CF9AE}" pid="4" name="KSOTemplateDocerSaveRecord">
    <vt:lpwstr>eyJoZGlkIjoiNDRhM2MwNWMwYjFjZjA3MjVkNGM3NmY3MzgzMjQ0MDUiLCJ1c2VySWQiOiIxMzkyNDU4NjQzIn0=</vt:lpwstr>
  </property>
</Properties>
</file>