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Bank Transaction Fraud Detection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Data Cleaning &amp; EDA — Insights Report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 Cleaning &amp; Exploratory Data Analysis (Group A, Member 2)  |  Week 2 Deliverable  |  Computed directly from the raw CSV</w:t>
      </w:r>
    </w:p>
    <w:p>
      <w:pPr>
        <w:pStyle w:val="Heading1"/>
      </w:pPr>
      <w:r>
        <w:rPr>
          <w:rFonts w:ascii="Arial" w:cs="Arial" w:eastAsia="Arial" w:hAnsi="Arial"/>
        </w:rPr>
        <w:t xml:space="preserve">1. Data Cleaning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6680"/>
      </w:tblGrid>
      <w:tr>
        <w:trPr>
          <w:tblHeader/>
        </w:trP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/ null values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None. df.isnull().sum().sum() = 0 across all 200,000 rows and 24 columns.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None. df.duplicated().sum() = 0.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 columns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Transaction_Currency has a single value (“INR”) across all 200,000 rows — carries no information; recommended for removal.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High-cardinality identifiers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Customer_ID, Transaction_ID, Merchant_ID are 100% unique (200,000/200,000). Customer_Name, Customer_Contact, Customer_Email are direct or near-direct identifiers. All 6 are recommended for removal before modeling (PII + no generalizable signal).</w:t>
            </w:r>
          </w:p>
        </w:tc>
      </w:tr>
      <w:tr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Redundant columns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 directly: Bank_Branch = City + “ Branch” for every single row (145/145 cities map 1:1), and Transaction_Location = City + “, ” + State for every row with zero mismatches across all 200,000 records. These three columns are exact duplicates of information already in City/State and should be dropped.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Conclusion: this dataset required no missing-value imputation or duplicate removal. Cleaning effort is concentrated on column pruning (constant / PII / redundant columns) and feature engineering (splitting date/time), not on repairing the data itself.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2. Outlier Detection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Outliers were assessed on the three numeric columns using the standard IQR method (values below Q1 − 1.5×IQR or above Q3 + 1.5×IQR), with bounds computed directly from the raw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/ Q3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Range (1.5×IQR)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Outliers Found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31.00 / 57.00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-8.00 to 96.00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 (actual range 18–70)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24,851.34 / 74,314.62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-49,343.57 to 148,509.54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 (actual range 10.29–98,999.98)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28,742.40 / 76,147.67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-42,365.52 to 147,255.58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 (actual range 5,000.82–99,999.95)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Zero outliers were found in any of the three numeric columns — every single value in the 200,000-row file falls within its IQR bounds, confirmed by direct calculation (not estimation) and visually in the accompanying boxplots.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Is_Fraud was excluded from this analysis. It is a binary (0/1) flag, not a continuous measurement, so the IQR rule does not give a meaningful “outlier” interpretation for it.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3. Distribution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is close to uniformly distributed between 18 and 70 (mean 44.02, std 15.29) — no concentration around any particular age band.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Gender is split 50.23% Male / 49.77% Female.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Account_Type, Transaction_Type, Merchant_Category, and Device_Type are all close to uniformly distributed across their categories (verified directly via value_counts()).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Transaction_Amount and Account_Balance are both roughly uniform across their full ranges (₹10–₹99,000 and ₹5,000–₹100,000 respectively), with no skew or clustering.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feature checked is uniformly or near-uniformly distributed. This is a strong indicator that the dataset was generated with random/uniform sampling rather than reflecting real, skewed banking behavior (real transaction amounts and account balances are typically right-skewed, for example) — worth keeping in mind when interpreting model results.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4. Fraud Pattern Insights (Key Finding — Statistically Verified)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fraud rate (mean of Is_Fraud) was computed directly within every category of every categorical feature: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Fraud Rate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Female, Male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5.03% – 5.06%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Business, Checking,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4.94% – 5.17%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4.93% – 5.19%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4.82% – 5.20%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ATM, Desktop, Mobile, 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4.99% – 5.10%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category lands within a quarter of a percentage point of the dataset-wide baseline of 5.04%. This was confirmed with Cramer's V — a chi-square based association measure appropriate for categorical data (unlike Pearson correlation on label-encoded categories, which imposes an artificial numeric order on nominal values). Results, computed directly from the raw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Cramer's V vs. Is_Fraud (0 = none, 1 = perfect)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 / State / Device_Type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Pearson correlation between Is_Fraud and each raw numeric feature was also computed directly: Age = −0.0015, Transaction_Amount = −0.0021, Account_Balance = +0.0001 — all negligible. The boxplot comparing Transaction_Amount and Account_Balance for fraud vs. non-fraud transactions is also visually indistinguishable between the two groups.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Implication for the team: none of the raw features, taken individually, separate fraud from legitimate transactions in this dataset — now confirmed with statistically appropriate tests rather than estimated from a third-party chart. This matches the reference notebook's own modeling outcome (ROC-AUC near 0.5, i.e. close to random). We recommend the Feature Engineering and Model Development groups: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rely on simple rule-based or single-feature heuristics — none will work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feature interactions and engineered time features (Transaction_Hour, Transaction_Day, Transaction_Minute) rather than expecting raw fields to carry the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Treat this as a genuinely hard, close-to-random-label classification task, and set realistic expectations for model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Still apply class-imbalance handling (SMOTE / class weighting) since the 94.96%/5.04% split will bias most classifiers toward predicting “legitimate” regardless of feature quality.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5. Handoff Notes for Feature Engineering (Group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Drop: Transaction_Currency (constant), Customer_ID, Customer_Name, Customer_Contact, Customer_Email, Transaction_ID, Merchant_ID (PII / unique identifiers).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Bank_Branch and Transaction_Location — verified exact duplicates of City/State information (0 mismatches across all 200,000 rows).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Engineer Transaction_Day, Transaction_Hour, Transaction_Minute (and optionally Transaction_Second) from Transaction_Date / Transaction_Time, then drop the original date/time strings.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Encode remaining categoricals (Gender, State, City, Account_Type, Transaction_Type, Merchant_Category, Transaction_Device, Device_Type, Transaction_Description).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for SMOTE or class-weighting given the 5.04% positive class rate.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Methodology Note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statistics, tables, and charts in this report and the accompanying visualizations file were computed directly from Bank_Transaction_Fraud_Detection.csv (200,000 rows x 24 columns) using pandas, scipy, matplotlib, and seaborn. None of the figures were estimated, rounded from a third-party chart, or reused from the original reference notebook.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2026-06-27T14:05:07.266Z</dcterms:created>
  <dcterms:modified xsi:type="dcterms:W3CDTF">2026-06-27T14:05:07.266Z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