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AI 홍보콘텐츠 제작툴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30"/>
          <w:szCs w:val="30"/>
        </w:rPr>
        <w:t xml:space="preserve">기획서 및 GitHub 오픈소스 베이스 조사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작성일 2026-09-27  |  작성 로드(긍정하쌤) 전략 실행 파트너</w:t>
      </w:r>
    </w:p>
    <w:p>
      <w:pPr>
        <w:spacing w:after="200" w:before="1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2"/>
          <w:szCs w:val="52"/>
        </w:rPr>
        <w:t xml:space="preserve">AI 홍보콘텐츠 플랫폼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판매용 제품 사업기획서 (회사정보 등록 · API 키 등록형)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작성일 2026-09-28  |  작성 로드(긍정하쌤) 전략 실행 파트너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가칭: 홍보공장 (PromoFactory)  |  근거: PoC 1~4주차 + 실사용 테스트 2건</w:t>
      </w:r>
    </w:p>
    <w:p>
      <w:r>
        <w:br w:type="page"/>
      </w:r>
    </w:p>
    <w:p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0. 핵심 판단 (결론 먼저)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1.</w:t>
      </w:r>
      <w:r>
        <w:rPr>
          <w:rFonts w:ascii="맑은 고딕" w:cs="맑은 고딕" w:eastAsia="맑은 고딕" w:hAnsi="맑은 고딕"/>
          <w:sz w:val="21"/>
          <w:szCs w:val="21"/>
        </w:rPr>
        <w:t xml:space="preserve"> "디자인 툴"이 아니라 "사실이 틀리지 않는 홍보물 자동 생산 라인"으로 판다. 캔바·미리캔버스류는 사람이 편집하는 도구다. 우리 강점은 회사·상품 정보를 한 번 등록하면 카드뉴스·인스타 광고·상세페이지·릴스가 한 번에 나오고, AI가 가격·일시 같은 사실을 절대 바꾸지 못하는 구조다(PoC에서 실제 오류를 잡아낸 장치).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2.</w:t>
      </w:r>
      <w:r>
        <w:rPr>
          <w:rFonts w:ascii="맑은 고딕" w:cs="맑은 고딕" w:eastAsia="맑은 고딕" w:hAnsi="맑은 고딕"/>
          <w:sz w:val="21"/>
          <w:szCs w:val="21"/>
        </w:rPr>
        <w:t xml:space="preserve"> 판매 형태는 웹 SaaS + 고객 API 키 등록(BYOK)으로 시작한다. AI 비용이 고객 부담이라 원가가 낮고, 우리는 소프트웨어 값만 받는다. 단, 소상공인 다수는 API 키 발급이 어렵다 → 3단계에 "API 포함 크레딧 요금제"를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3.</w:t>
      </w:r>
      <w:r>
        <w:rPr>
          <w:rFonts w:ascii="맑은 고딕" w:cs="맑은 고딕" w:eastAsia="맑은 고딕" w:hAnsi="맑은 고딕"/>
          <w:sz w:val="21"/>
          <w:szCs w:val="21"/>
        </w:rPr>
        <w:t xml:space="preserve"> 1차 시장은 교육(강사·교육기관·학원)으로 좁힌다. 실사용 검증 2건이 모두 교육이고, 로드의 강사 관리·기관 교육 네트워크가 곧 판매 채널이며, 강의에서 시연하면 그대로 영업이 된다. 소상공인(상세페이지 중심)은 2차로 확장한다.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 4.</w:t>
      </w:r>
      <w:r>
        <w:rPr>
          <w:rFonts w:ascii="맑은 고딕" w:cs="맑은 고딕" w:eastAsia="맑은 고딕" w:hAnsi="맑은 고딕"/>
          <w:sz w:val="21"/>
          <w:szCs w:val="21"/>
        </w:rPr>
        <w:t xml:space="preserve"> 기술은 PoC 엔진(카피·카드뉴스·릴스·AI 배경·검수)을 재사용하고, 새로 만들 것은 ① 회원·회사정보·API 키 보관 ② 상세페이지·인스타 광고 포맷 ③ 결제다. 12주에 유료 베타까지 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주의.</w:t>
      </w:r>
      <w:r>
        <w:rPr>
          <w:rFonts w:ascii="맑은 고딕" w:cs="맑은 고딕" w:eastAsia="맑은 고딕" w:hAnsi="맑은 고딕"/>
          <w:sz w:val="21"/>
          <w:szCs w:val="21"/>
        </w:rPr>
        <w:t xml:space="preserve"> 판매 전 반드시 처리할 3가지: AI 생성물 표시 의무(인공지능기본법, 2026-01-22 시행), 광고 표현 검수(과장·최상급 표현), GSAP 라이선스 조건 확인. 셋 다 제품 기능으로 녹인다.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1. 배경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PoC(1~4주차)로 "강의 정보 1회 입력 → 카피 3안·카드뉴스 6장·15초 릴스·AI 배경"이 작동함을 확인했다. 실제 강의 2건(인천시민대학 3차시, 동양미래대학교 바이브코딩 2차시)으로 실사용 테스트를 하며 실제 API(Claude·Gemini)로 결과물을 만들었고, 그 과정에서 실제 서비스에서 터졌을 문제 3건을 발견·수정했다.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7"/>
        <w:gridCol w:w="5121"/>
      </w:tblGrid>
      <w:tr>
        <w:trPr>
          <w:tblHeader/>
        </w:trPr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PoC에서 발견한 문제</w:t>
            </w:r>
          </w:p>
        </w:tc>
        <w:tc>
          <w:tcPr>
            <w:tcW w:type="dxa" w:w="5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판매용 제품에 주는 교훈</w:t>
            </w:r>
          </w:p>
        </w:tc>
      </w:tr>
      <w:tr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긴 한국어 문장이 글자 중간에서 줄바꿈 ("구조부 / 터")</w:t>
            </w:r>
          </w:p>
        </w:tc>
        <w:tc>
          <w:tcPr>
            <w:tcW w:type="dxa" w:w="5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한국어 레이아웃 검수는 자동 테스트로 고정해야 한다 → 제품 품질의 기본값</w:t>
            </w:r>
          </w:p>
        </w:tc>
      </w:tr>
      <w:tr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AI가 캡션의 "일시 확인 필요"를 "별도 안내 예정"으로 바꿔 씀</w:t>
            </w:r>
          </w:p>
        </w:tc>
        <w:tc>
          <w:tcPr>
            <w:tcW w:type="dxa" w:w="5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AI는 사실을 바꾼다. 사실은 프로그램이 채우는 구조(자리표시자)여야 판매할 수 있다</w:t>
            </w:r>
          </w:p>
        </w:tc>
      </w:tr>
      <w:tr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이미지에 노트북 로고가 들어감, 추상 스타일에 사람이 등장</w:t>
            </w:r>
          </w:p>
        </w:tc>
        <w:tc>
          <w:tcPr>
            <w:tcW w:type="dxa" w:w="5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이미지 프롬프트는 스타일별로 통제하고, 생성 후 사람이 고르는 단계가 필요하다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세 가지는 범용 제품에서 업종과 고객이 늘수록 더 자주 발생한다. 즉, PoC의 검수 장치 자체가 판매용 제품의 핵심 가치다.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2. 필요성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2.1 고객의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3815"/>
        <w:gridCol w:w="3816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지금 하는 방식</w:t>
            </w:r>
          </w:p>
        </w:tc>
        <w:tc>
          <w:tcPr>
            <w:tcW w:type="dxa" w:w="3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문제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강사·교육기관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강의마다 캔바·챗GPT를 오가며 카드뉴스·포스터 수작업</w:t>
            </w:r>
          </w:p>
        </w:tc>
        <w:tc>
          <w:tcPr>
            <w:tcW w:type="dxa" w:w="3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같은 정보를 매체별로 재입력, 1세트 2~3시간 [추정]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학원·교습소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원장이 직접 제작하거나 외주</w:t>
            </w:r>
          </w:p>
        </w:tc>
        <w:tc>
          <w:tcPr>
            <w:tcW w:type="dxa" w:w="3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비용·시간 부담, 톤 불일치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소상공인·스마트스토어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상세페이지 외주(건당 수십만 원 [추정]), 인스타 광고는 즉흥 제작</w:t>
            </w:r>
          </w:p>
        </w:tc>
        <w:tc>
          <w:tcPr>
            <w:tcW w:type="dxa" w:w="3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외주비, 광고 소재 교체 주기를 못 따라감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공공·기관 담당자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행사마다 홍보물 요청 → 디자이너 대기</w:t>
            </w:r>
          </w:p>
        </w:tc>
        <w:tc>
          <w:tcPr>
            <w:tcW w:type="dxa" w:w="3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일정 지연, 사실 정보 오기 위험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2.2 경쟁 구도와 우리 자리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2610"/>
        <w:gridCol w:w="2007"/>
        <w:gridCol w:w="3214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예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강점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우리가 이기는 지점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디자인 편집 툴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캔바, 미리캔버스, 망고보드 [확인 필요]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템플릿 수, 자유 편집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 1회 입력 → 여러 포맷 일괄 생성, 편집 없이 완성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범용 생성형 AI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ChatGPT, Gemini, Claude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무엇이든 생성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 고정, 사실 고정, 한국어 레이아웃·광고 표현 검수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 대행·외주</w:t>
            </w:r>
          </w:p>
        </w:tc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크몽 등 프리랜서 [확인 필요]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맞춤 품질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5분·저비용, 무제한 변형</w:t>
            </w:r>
          </w:p>
        </w:tc>
      </w:tr>
    </w:tbl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경쟁사 기능·가격은 출시 전 재조사 필요. 위 표는 포지셔닝 구분용.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3. 목표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3.1 제품 정의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회사가 자기 정보(브랜드·상품·연락처)와 AI API 키를 등록하면, 상품·행사 1건의 정보만 넣어 카드뉴스·인스타 광고·스토리/릴스·상세페이지·광고 문구를 한 번에 만들고, 사실 정보·한국어 레이아웃·광고 표현을 자동 검수한 뒤 ZIP으로 내려받는 웹 서비스.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3.2 대상 고객 (진입 순서)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2208"/>
        <w:gridCol w:w="4216"/>
        <w:gridCol w:w="2411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고객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먼저인가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포맷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1차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강사·교육기관·학원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실사용 검증 완료 업종, 로드의 네트워크가 판매 채널, 강의 시연 = 영업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카드뉴스, 릴스, 인스타 광고, 모집 포스터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2차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소상공인·스마트스토어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상세페이지 수요가 크고 외주 대체 효과가 명확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상세페이지, 인스타 광고, 썸네일</w:t>
            </w:r>
          </w:p>
        </w:tc>
      </w:tr>
      <w:t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3차</w:t>
            </w:r>
          </w:p>
        </w:tc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공공·기관(설치형·다중 브랜드)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단가가 크고 반복 수요</w:t>
            </w:r>
          </w:p>
        </w:tc>
        <w:tc>
          <w:tcPr>
            <w:tcW w:type="dxa" w:w="2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행사 홍보물, 포스터 PDF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3.3 콘텐츠 유형 (포맷)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980"/>
        <w:gridCol w:w="2095"/>
        <w:gridCol w:w="1468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포맷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규격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렌더 엔진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1080×1350, 6~10장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 (보유)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 피드 광고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1:1 1080×1080 · 4:5 1080×1350 [확인 필요]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스토리·릴스 광고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9:16 1080×1920, 이미지 + 15초 영상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 + HyperFrames (보유)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 문구 세트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주 텍스트·헤드라인·설명 3안 + 캡션·해시태그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(보유)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상세페이지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가로 860px, 6블록(문제공감→가치→특징→근거→FAQ→CTA), 블록별 분할 이미지 + HTML [기준: 2026-09 / 확인 필요]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Playwright(Chromium)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블로그 글 초안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제목 5안·목차·본문·FAQ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배너·썸네일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유튜브 1280×720 등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포스터·전단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A4 인쇄용 PDF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3단계</w:t>
            </w:r>
          </w:p>
        </w:tc>
      </w:tr>
    </w:tbl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상세페이지 6블록은 로드의 인천시민대학 3차시 강의 "긴 콘텐츠 6블록" 프레임워크를 그대로 제품화한 것 — 강의와 제품이 같은 방법론을 공유한다.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4. 제품 설계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4.1 핵심 개념 5가지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5019"/>
        <w:gridCol w:w="2812"/>
      </w:tblGrid>
      <w:tr>
        <w:trPr>
          <w:tblHeader/>
        </w:trP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개념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PoC 대응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 프로필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회사명, 로고, 사업자 정보, 연락처, 홈페이지·SNS, 소개문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handle·강사명 → 확장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 킷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색상 5종, 폰트, 로고 위치, 톤(말투), 금지 표현, 필수 문구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brand.json → 회사별 저장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팩트 시트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상품·행사 1건의 사실 정보(가격·기간·장소·옵션·신청처). AI가 절대 수정 못 함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brief.json + applyCopy + {{사실정보}}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포맷 플러그인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포맷마다 규격·슬롯·글자 한도·템플릿·렌더 엔진·검수 규칙을 묶은 단위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카드뉴스·릴스 → 포맷 추가 방식으로 일반화</w:t>
            </w:r>
          </w:p>
        </w:tc>
      </w:tr>
      <w:tr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검수기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사실 일치, 글자 넘침·줄바꿈, 명도 대비, 광고 표현, AI 생성 표시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 38건의 검사 로직을 실행 시점 검수로 전환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4.2 사용자 흐름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① 가입 → 회사 프로필·브랜드 킷 등록(로고 올리면 색상 자동 추출)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② API 키 등록: Claude·Gemini(선택: OpenAI) 키 입력 → "연결 테스트" 통과해야 저장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③ 새 캠페인: 업종 템플릿 선택 → 팩트 시트 입력(또는 PDF·PPT·URL 올리면 AI가 초안 작성, 사람이 확인)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④ 만들 포맷 체크(카드뉴스·인스타 광고·릴스·상세페이지…) → 카피 3안 비교·선택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⑤ 배경: 사진 업로드 또는 AI 배경(스타일 선택) → 미리보기에서 템플릿 전환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⑥ 검수 결과 확인(경고는 수정하거나 사유 입력 후 진행) → ZIP 다운로드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⑦ 캠페인 보관: 다음에 "변형"(대상·기관·시즌만 바꿔 재생성)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③의 "자료 올리면 초안 작성"은 이번 실사용 테스트에서 수작업으로 한 단계(PPT·PDF → 브리프)를 자동화한 것.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4.3 API 키 등록·보관 (BYOK)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5"/>
        <w:gridCol w:w="8233"/>
      </w:tblGrid>
      <w:tr>
        <w:trPr>
          <w:tblHeader/>
        </w:trP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설계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저장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AES-256-GCM 봉투 암호화, 마스터 키는 KMS. DB에는 암호문만 저장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렌더 워커에서만 복호화해 서버→AI사 호출. 브라우저로 키를 다시 내려보내지 않음(끝 4자리만 표시)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전송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키는 URL이 아닌 헤더로 전송(PoC에서 이미 적용), 로그·오류 메시지에 키 미기록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검증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등록 시 "연결 테스트"(모델 목록 조회)로 유효성·사용 가능 모델 확인 — PoC에서 Imagen 권한 없음을 이 방식으로 발견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통제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회사별 월 사용 한도, 호출 기록(건수·추정 비용), 키 교체·삭제, 팀원별 권한</w:t>
            </w:r>
          </w:p>
        </w:tc>
      </w:tr>
      <w:tr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대체</w:t>
            </w:r>
          </w:p>
        </w:tc>
        <w:tc>
          <w:tcPr>
            <w:tcW w:type="dxa" w:w="82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키가 없거나 한도 초과 시: 카피는 입력 문구로, 이미지는 업로드·기본 배경으로 진행(PoC의 오프라인 대체 구조)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4.4 사실 고정 엔진 (차별점)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원칙:</w:t>
      </w:r>
      <w:r>
        <w:rPr>
          <w:rFonts w:ascii="맑은 고딕" w:cs="맑은 고딕" w:eastAsia="맑은 고딕" w:hAnsi="맑은 고딕"/>
          <w:sz w:val="21"/>
          <w:szCs w:val="21"/>
        </w:rPr>
        <w:t xml:space="preserve"> 팩트 시트의 값만 결과물에 들어간다. AI는 카피 문장만 쓰고, 사실이 들어갈 자리는 {{자리표시자}}로 비워 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검사: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자리표시자 누락, 사실 라벨 직접 작성, 팩트 시트에 없는 숫자(할인율·수강생 수·순위 등) → 해당 문장만 입력 문구로 대체하고 경고.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효과:</w:t>
      </w:r>
      <w:r>
        <w:rPr>
          <w:rFonts w:ascii="맑은 고딕" w:cs="맑은 고딕" w:eastAsia="맑은 고딕" w:hAnsi="맑은 고딕"/>
          <w:sz w:val="21"/>
          <w:szCs w:val="21"/>
        </w:rPr>
        <w:t xml:space="preserve"> "95% 만족", "업계 1위"처럼 근거 없는 수치·순위는 AI가 만들 수 없다. 광고 분쟁 위험을 제품 차원에서 줄인다.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4.5 광고 표현 검수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최상급·단정 표현("최고", "1위", "유일", "100%", "무조건"), 효능 보장 표현을 사전 기반으로 찾아 경고한다. 식품·건강기능식품·의료·금융 업종은 업종별 금지어 사전을 추가한다. 검수는 "차단"이 아니라 "경고 + 사용자 확인"이며, 최종 책임은 이용약관에 광고주(고객)로 명시한다. [기준: 2026-09 / 확인 필요 — 표시광고법·의료법·건강기능식품법 등 업종별 규정은 법률 자문으로 사전 확정]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4.6 AI 생성물 표시 (법적 의무)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인공지능기본법(2026-01-22 시행)은 생성형 AI 제품·서비스를 제공하는 사업자에게 결과물이 AI로 생성되었다는 사실의 표시를 요구한다. 표시는 사람이 인식하는 방식(문구·로고) 또는 기계가 판독하는 방식(워터마크·메타데이터)이 가능하고, 미이행 시 3천만 원 이하 과태료가 규정되어 있다. [기준: 2026-09 / 확인 필요 — 시행령·고시의 세부 기준과 우리 서비스가 해당하는 사업자 유형은 법률 자문으로 확정]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기본:</w:t>
      </w:r>
      <w:r>
        <w:rPr>
          <w:rFonts w:ascii="맑은 고딕" w:cs="맑은 고딕" w:eastAsia="맑은 고딕" w:hAnsi="맑은 고딕"/>
          <w:sz w:val="21"/>
          <w:szCs w:val="21"/>
        </w:rPr>
        <w:t xml:space="preserve"> 모든 PNG·MP4에 AI 생성 메타데이터를 기본 삽입(끌 수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선택:</w:t>
      </w:r>
      <w:r>
        <w:rPr>
          <w:rFonts w:ascii="맑은 고딕" w:cs="맑은 고딕" w:eastAsia="맑은 고딕" w:hAnsi="맑은 고딕"/>
          <w:sz w:val="21"/>
          <w:szCs w:val="21"/>
        </w:rPr>
        <w:t xml:space="preserve"> 화면 표시 문구("AI 활용 제작") 배지를 템플릿에 기본 포함, 위치 선택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인물:</w:t>
      </w:r>
      <w:r>
        <w:rPr>
          <w:rFonts w:ascii="맑은 고딕" w:cs="맑은 고딕" w:eastAsia="맑은 고딕" w:hAnsi="맑은 고딕"/>
          <w:sz w:val="21"/>
          <w:szCs w:val="21"/>
        </w:rPr>
        <w:t xml:space="preserve"> AI 생성 인물 이미지는 실제 인물로 오인되지 않도록 경고 후 사용(PoC에서 제기한 이슈)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5. 기술 구조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5.1 시스템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818"/>
        <w:gridCol w:w="3214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앱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Next.js + React (회원·회사정보·캠페인·미리보기)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PoC 웹 화면을 이식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DB·인증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Postgres(Supabase 등) + 이메일/소셜 로그인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회사(테넌트)별 데이터 분리, 행 단위 권한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파일 저장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S3 호환 스토리지(로고·사진·결과물), 보관 기간 정책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국내 리전 우선 검토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작업 큐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릴스·상세페이지 렌더를 순서대로 처리(PoC의 직렬 큐 확장)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렌더 워커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Node + Chromium + ffmpeg 컨테이너 (Satori·Playwright·HyperFrames)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서버리스 시간 제한 때문에 별도 서버, 수요에 따라 증설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어댑터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텍스트: Claude(기본)·GPT·Gemini / 이미지: Gemini(기본)·GPT Image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공급자 교체형(PoC imagegen 구조)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결제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국내 PG 정기결제 [확인 필요]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요금제·크레딧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5.2 PoC 재사용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1405"/>
        <w:gridCol w:w="5222"/>
      </w:tblGrid>
      <w:tr>
        <w:trPr>
          <w:tblHeader/>
        </w:trP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재사용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카피 생성·검증 (ai.js)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포맷별 스키마·글자 한도를 플러그인에서 받도록 일반화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 렌더 (cards.js)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브랜드 킷 필드 확장, 비율(1:1·4:5·9:16) 파라미터화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 렌더 (reel.js)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장면 구성을 포맷 플러그인으로 분리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사진·AI 배경 (images.js, imagegen.js)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공급자 추가(GPT Image), 스타일을 업종별로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템플릿·대비 계산 (templates.js)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 색상 입력 시 대비 자동 보정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서버 (server.js)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구조 참고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Next.js API + 인증 + 테넌트 분리로 재작성</w:t>
            </w:r>
          </w:p>
        </w:tc>
      </w:tr>
      <w:tr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테스트 38건</w:t>
            </w:r>
          </w:p>
        </w:tc>
        <w:tc>
          <w:tcPr>
            <w:tcW w:type="dxa" w:w="14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그대로</w:t>
            </w:r>
          </w:p>
        </w:tc>
        <w:tc>
          <w:tcPr>
            <w:tcW w:type="dxa" w:w="5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실행 시점 검수기로도 재사용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5.3 판매 전 라이선스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2007"/>
        <w:gridCol w:w="5423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판매 시 판단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HyperFrames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Apache-2.0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가능. 고지문 포함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Satori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MPL-2.0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수정 없이 사용 시 판매 가능. 수정하면 수정 파일 공개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GSAP (릴스 애니메이션)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GSAP Standard No-Charge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상업 사용 무료. 단 "코드 없이 시각적으로 애니메이션을 만드는 도구"로 Webflow와 경쟁하는 제품에는 사용 금지 조항 → 사용자가 애니메이션을 직접 편집하는 기능은 넣지 않거나, 넣을 경우 CSS 애니메이션 등으로 교체 [확인 필요 — 법률 검토]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Pretendard 폰트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SIL OFL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번들·결과물 삽입 가능, 폰트 단독 판매 금지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Anthropic SDK · fflate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MIT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가능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결과물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각 AI사 이용약관</w:t>
            </w:r>
          </w:p>
        </w:tc>
        <w:tc>
          <w:tcPr>
            <w:tcW w:type="dxa" w:w="5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BYOK는 고객이 AI사 약관의 당사자 — 이용약관에 명시 [확인 필요]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6. 사업 모델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6.1 판매 형태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2811"/>
        <w:gridCol w:w="2811"/>
        <w:gridCol w:w="1808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장점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단점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판단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SaaS + BYOK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원가 0, 업데이트 즉시 반영, 템플릿 추가가 곧 가치 상승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고객이 API 키를 발급해야 함(진입 장벽)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★ 1차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SaaS + 크레딧(API 포함)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가장 쉬움, 소상공인 적합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원가·결제·환불 관리 부담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3단계 추가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설치형(기관 서버·PC)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기관 보안 요건 충족, 큰 계약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설치·지원 비용, 버전 파편화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3차 시장 견적 대응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제작 대행(서비스)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즉시 매출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확장성 낮음</w:t>
            </w:r>
          </w:p>
        </w:tc>
        <w:tc>
          <w:tcPr>
            <w:tcW w:type="dxa" w:w="1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초기 사례 확보용으로만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6.2 요금제 (안)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2409"/>
        <w:gridCol w:w="5021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요금제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가격 [추정]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포함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무료 체험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14일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캠페인 3건, 결과물에 체험판 표시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스타터 (BYOK)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29,000원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 1, 월 캠페인 20건, 카드뉴스·인스타 광고·캡션, 릴스 월 10편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 (BYOK)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59,000원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 3, 팀원 3, 상세페이지, 릴스 월 50편, 변형 생성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기관·에이전시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150,000원~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회사 무제한, 팀원 10, 우선 렌더, 전용 템플릿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크레딧 (3단계)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캠페인 1건당 [추정] 1,000~1,500원</w:t>
            </w:r>
          </w:p>
        </w:tc>
        <w:tc>
          <w:tcPr>
            <w:tcW w:type="dxa" w:w="5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API 키 없이 사용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6.3 원가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8"/>
        <w:gridCol w:w="3212"/>
        <w:gridCol w:w="4218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배경 이미지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장당 약 $0.07 (약 95원 [추정])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Gemini 3.1 Flash Image 공개 가격 [기준: 2026-09 / 확인 필요]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카피 3안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호출 1회 [추정] 수십~수백 원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호출 1회 20~23초(실측). 토큰 단가는 출시 전 실측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 렌더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편당 약 25~40초 CPU(실측)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 vCPU 서버로 시간당 약 100편 [추정]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 렌더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세트당 1초 미만(실측)</w:t>
            </w:r>
          </w:p>
        </w:tc>
        <w:tc>
          <w:tcPr>
            <w:tcW w:type="dxa" w:w="42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무시 가능</w:t>
            </w:r>
          </w:p>
        </w:tc>
      </w:tr>
    </w:tbl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BYOK 요금제에서는 AI 비용이 고객 부담이므로 우리 원가는 서버·스토리지·결제 수수료뿐. 크레딧 요금제 가격은 실측 원가의 3배 이상으로 책정 [추정].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7. 추진계획 (12주)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1807"/>
        <w:gridCol w:w="4819"/>
        <w:gridCol w:w="2009"/>
      </w:tblGrid>
      <w:tr>
        <w:trPr>
          <w:tblHeader/>
        </w:trP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마일스톤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통과 조건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0주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결정·자문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형태·1차 시장·제품명 확정, 법률 자문 요청(AI 표시·광고 표현·GSAP·약관)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결정 4건 완료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1~4주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멀티 테넌트 기반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회원·회사 프로필·브랜드 킷·팩트 시트, API 키 암호화 보관·연결 테스트, PoC 엔진 이식(카드뉴스·릴스·카피·AI 배경)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로드 회사 계정으로 기존 키트 재현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5~8주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포맷 확장·검수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 광고(1:1·4:5·9:16 + 광고 문구), 상세페이지(860px 6블록), 자료(PDF·PPT) → 팩트 시트 초안, 광고 표현 검수, AI 생성 표시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포맷 4종 × 업종 2개 샘플 통과</w:t>
            </w:r>
          </w:p>
        </w:tc>
      </w:tr>
      <w:tr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9~12주</w:t>
            </w:r>
          </w:p>
        </w:tc>
        <w:tc>
          <w:tcPr>
            <w:tcW w:type="dxa" w:w="18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준비·베타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요금제·결제, 이용약관·개인정보처리방침, 온보딩(API 키 발급 안내), 베타 10곳 운영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10곳 중 유료 전환 3곳</w:t>
            </w:r>
          </w:p>
        </w:tc>
      </w:tr>
    </w:tbl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실사용 테스트 3건째(남은 1건)는 1~4주차에 멀티 테넌트 구조로 수행해 PoC와 결과 동일성을 확인한다.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8. 성과지표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3"/>
        <w:gridCol w:w="2811"/>
        <w:gridCol w:w="3414"/>
      </w:tblGrid>
      <w:tr>
        <w:trPr>
          <w:tblHeader/>
        </w:trP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(베타 종료 시)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캠페인 1건 완성 시간(입력 포함)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5분 이내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작업 로그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결과물 다운로드 전환율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60% 이상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생성 대비 ZIP 다운로드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사실 오류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0건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팩트 검수기 + 베타 고객 신고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수정 없이 사용한 비율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 이상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다운로드 전 편집 여부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유료 전환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10곳 중 3곳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결제</w:t>
            </w:r>
          </w:p>
        </w:tc>
      </w:tr>
      <w:tr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해지율</w:t>
            </w:r>
          </w:p>
        </w:tc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5% 미만</w:t>
            </w:r>
          </w:p>
        </w:tc>
        <w:tc>
          <w:tcPr>
            <w:tcW w:type="dxa" w:w="3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결제 데이터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9. 리스크와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1"/>
        <w:gridCol w:w="1606"/>
        <w:gridCol w:w="5221"/>
      </w:tblGrid>
      <w:tr>
        <w:trPr>
          <w:tblHeader/>
        </w:trP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고객이 API 키를 못 만든다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가입 이탈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화면 녹화 발급 가이드, 연결 테스트, 3단계 크레딧 요금제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AI사 가격·모델 변경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품질·원가 변동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공급자 교체형 어댑터, 모델명 설정화(PoC 구조), 대체 경로 유지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광고 표현·사실 오류 분쟁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법적·평판 위험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사실 고정 엔진, 광고 표현 검수, 약관상 광고주 책임 명시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생성물 표시 의무 미이행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과태료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메타데이터 기본 삽입(해제 불가) + 표시 배지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GSAP 라이선스 조건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릴스 기능 제약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애니메이션 편집 UI 미제공 또는 CSS 애니메이션으로 교체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템플릿 품질이 디자인 툴보다 낮아 보임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전환율 저하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업종별 템플릿을 적게·완성도 높게, 실사용 사례를 샘플로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렌더 서버 비용 증가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마진 감소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요금제별 릴스 한도, 렌더 큐 우선순위, 수요 기반 증설</w:t>
            </w:r>
          </w:p>
        </w:tc>
      </w:tr>
      <w:tr>
        <w:tc>
          <w:tcPr>
            <w:tcW w:type="dxa" w:w="28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 데이터·로고 유출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신뢰 상실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테넌트 분리, 키 암호화, 결과물 보관 기간 정책, 접근 로그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10. 기대효과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고객:</w:t>
      </w:r>
      <w:r>
        <w:rPr>
          <w:rFonts w:ascii="맑은 고딕" w:cs="맑은 고딕" w:eastAsia="맑은 고딕" w:hAnsi="맑은 고딕"/>
          <w:sz w:val="21"/>
          <w:szCs w:val="21"/>
        </w:rPr>
        <w:t xml:space="preserve"> 고객당 홍보물 1세트 2~3시간 → 5분 [추정], 외주 상세페이지 비용 대체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매출:</w:t>
      </w:r>
      <w:r>
        <w:rPr>
          <w:rFonts w:ascii="맑은 고딕" w:cs="맑은 고딕" w:eastAsia="맑은 고딕" w:hAnsi="맑은 고딕"/>
          <w:sz w:val="21"/>
          <w:szCs w:val="21"/>
        </w:rPr>
        <w:t xml:space="preserve"> 구독형 반복 매출. 1차 시장은 로드의 강사·기관 네트워크로 영업 비용 최소화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교육 사업: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"AI 홍보 자동화" 강의 → 도구 판매 → 기관 도입의 선순환. 강의 방법론(6블록 등)이 제품 기능이 되어 차별화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포지셔닝: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사실 고정·광고 검수·AI 표시를 갖춘 "안심하고 쓰는 AI 홍보 도구"로 공공·기관 시장 진입 근거 확보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11. 로드가 결정할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3011"/>
        <w:gridCol w:w="4620"/>
      </w:tblGrid>
      <w:tr>
        <w:trPr>
          <w:tblHeader/>
        </w:trP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추천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판매 형태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 SaaS + BYOK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원가 0, 빠른 업데이트. 크레딧은 3단계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1차 시장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교육(강사·기관·학원)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검증 완료 업종 + 기존 네트워크 = 영업 채널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1단계 포맷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카드뉴스·인스타 광고·릴스·광고 문구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보유 엔진 재사용으로 4주 내 가능. 상세페이지는 2단계</w:t>
            </w:r>
          </w:p>
        </w:tc>
      </w:tr>
      <w:tr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제품명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가칭 홍보공장 유지 또는 신규</w:t>
            </w:r>
          </w:p>
        </w:tc>
        <w:tc>
          <w:tcPr>
            <w:tcW w:type="dxa" w:w="4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상표 검색 후 확정 [확인 필요]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</w:rPr>
        <w:t xml:space="preserve">다음 실행 체크리스트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위 결정 4건 회신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법률 자문 범위 확정 (AI 생성물 표시, 광고 표현, 약관·개인정보, GSAP)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베타 후보 10곳 명단 (강사·교육기관·학원)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실사용 테스트 마지막 1건 자료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착수 지시 → 1~4주차(멀티 테넌트 기반) 개발 시작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</w:rPr>
        <w:t xml:space="preserve">참고 자료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인공지능기본법 시행 — 대한민국 정책브리핑 (korea.kr/news/policyNewsView.do?newsId=148958380)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GSAP Standard License — gsap.com/community/standard-license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스마트스토어 상세페이지 권장 가로 860px — 1minutesangse.com/guides/smartstore-detail-page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Gemini API 가격 — ai.google.dev/gemini-api/docs/pricing</w:t>
      </w:r>
    </w:p>
    <w:p>
      <w:pPr>
        <w:spacing w:after="100"/>
        <w:rPr>
          <w:color w:val="595959"/>
          <w:sz w:val="18"/>
          <w:szCs w:val="18"/>
        </w:rPr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PoC 코드·검증 기록 — 저장소 poc/README.md, PR #4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2026-09-28T23:04:32.728Z</dcterms:created>
  <dcterms:modified xsi:type="dcterms:W3CDTF">2026-09-28T23:04:32.728Z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