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D3557"/>
          <w:sz w:val="56"/>
          <w:szCs w:val="56"/>
        </w:rPr>
        <w:t xml:space="preserve">DentTime</w:t>
      </w:r>
    </w:p>
    <w:p>
      <w:pPr>
        <w:spacing w:after="200" w:before="0"/>
        <w:jc w:val="center"/>
      </w:pPr>
      <w:r>
        <w:rPr>
          <w:rFonts w:ascii="Arial" w:cs="Arial" w:eastAsia="Arial" w:hAnsi="Arial"/>
          <w:color w:val="457B9D"/>
          <w:sz w:val="36"/>
          <w:szCs w:val="36"/>
        </w:rPr>
        <w:t xml:space="preserve">ML Pipeline Deployment Model</w:t>
      </w:r>
    </w:p>
    <w:p>
      <w:pPr>
        <w:pBdr>
          <w:bottom w:val="single" w:color="457B9D" w:sz="6" w:space="1"/>
        </w:pBdr>
        <w:spacing w:after="160" w:before="160"/>
      </w:pPr>
      <w:r>
        <w:t xml:space="preserve"/>
      </w:r>
    </w:p>
    <w:p>
      <w:pPr>
        <w:spacing w:after="0" w:before="80"/>
      </w:pPr>
      <w:r>
        <w:t xml:space="preserve"/>
      </w:r>
    </w:p>
    <w:p>
      <w:pPr>
        <w:spacing w:after="80" w:before="0"/>
        <w:jc w:val="center"/>
      </w:pPr>
      <w:r>
        <w:rPr>
          <w:rFonts w:ascii="Arial" w:cs="Arial" w:eastAsia="Arial" w:hAnsi="Arial"/>
          <w:color w:val="6B7280"/>
          <w:sz w:val="22"/>
          <w:szCs w:val="22"/>
        </w:rPr>
        <w:t xml:space="preserve">Architecture Rationale  ·  Current State  ·  Future Roadmap  ·  Optimization Strategy</w:t>
      </w:r>
    </w:p>
    <w:p>
      <w:pPr>
        <w:spacing w:after="0" w:before="80"/>
      </w:pPr>
      <w:r>
        <w:t xml:space="preserve"/>
      </w:r>
    </w:p>
    <w:p>
      <w:pPr>
        <w:spacing w:after="40" w:before="0"/>
        <w:jc w:val="center"/>
      </w:pPr>
      <w:r>
        <w:rPr>
          <w:rFonts w:ascii="Arial" w:cs="Arial" w:eastAsia="Arial" w:hAnsi="Arial"/>
          <w:color w:val="1F2937"/>
          <w:sz w:val="20"/>
          <w:szCs w:val="20"/>
        </w:rPr>
        <w:t xml:space="preserve">Software Engineering for Machine Learning Systems</w:t>
      </w:r>
    </w:p>
    <w:p>
      <w:pPr>
        <w:spacing w:after="40" w:before="0"/>
        <w:jc w:val="center"/>
      </w:pPr>
      <w:r>
        <w:rPr>
          <w:rFonts w:ascii="Arial" w:cs="Arial" w:eastAsia="Arial" w:hAnsi="Arial"/>
          <w:color w:val="1F2937"/>
          <w:sz w:val="20"/>
          <w:szCs w:val="20"/>
        </w:rPr>
        <w:t xml:space="preserve">Term Project  —  April 2026</w:t>
      </w:r>
    </w:p>
    <w:p>
      <w:pPr>
        <w:spacing w:after="0" w:before="600"/>
      </w:pPr>
      <w:r>
        <w:t xml:space="preserve"/>
      </w:r>
    </w:p>
    <w:p>
      <w:r>
        <w:br w:type="page"/>
      </w:r>
    </w:p>
    <w:p>
      <w:pPr>
        <w:pStyle w:val="Heading1"/>
        <w:spacing w:after="160" w:before="320"/>
      </w:pPr>
      <w:r>
        <w:rPr>
          <w:rFonts w:ascii="Arial" w:cs="Arial" w:eastAsia="Arial" w:hAnsi="Arial"/>
          <w:b/>
          <w:bCs/>
          <w:color w:val="1D3557"/>
          <w:sz w:val="32"/>
          <w:szCs w:val="32"/>
        </w:rPr>
        <w:t xml:space="preserve">Table of Contents</w:t>
      </w:r>
    </w:p>
    <w:p>
      <w:pPr>
        <w:pBdr>
          <w:bottom w:val="single" w:color="457B9D" w:sz="6" w:space="1"/>
        </w:pBdr>
        <w:spacing w:after="160" w:before="16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D3557"/>
          <w:sz w:val="32"/>
          <w:szCs w:val="32"/>
        </w:rPr>
        <w:t xml:space="preserve">1. Executive Summary</w:t>
      </w:r>
    </w:p>
    <w:p>
      <w:pPr>
        <w:pBdr>
          <w:bottom w:val="single" w:color="457B9D" w:sz="6" w:space="1"/>
        </w:pBdr>
        <w:spacing w:after="160" w:before="160"/>
      </w:pPr>
      <w:r>
        <w:t xml:space="preserve"/>
      </w:r>
    </w:p>
    <w:p>
      <w:pPr>
        <w:spacing w:after="80" w:before="80"/>
      </w:pPr>
      <w:r>
        <w:rPr>
          <w:rFonts w:ascii="Arial" w:cs="Arial" w:eastAsia="Arial" w:hAnsi="Arial"/>
          <w:color w:val="1F2937"/>
          <w:sz w:val="22"/>
          <w:szCs w:val="22"/>
        </w:rPr>
        <w:t xml:space="preserve">DentTime is an end-to-end ML-enabled system designed to predict dental treatment durations across five time-slot classes (15, 30, 45, 60, and 90+ minutes). This document explains the </w:t>
      </w:r>
      <w:r>
        <w:rPr>
          <w:rFonts w:ascii="Arial" w:cs="Arial" w:eastAsia="Arial" w:hAnsi="Arial"/>
          <w:b/>
          <w:bCs/>
          <w:color w:val="1F2937"/>
          <w:sz w:val="22"/>
          <w:szCs w:val="22"/>
        </w:rPr>
        <w:t xml:space="preserve">deployment architecture</w:t>
      </w:r>
      <w:r>
        <w:rPr>
          <w:rFonts w:ascii="Arial" w:cs="Arial" w:eastAsia="Arial" w:hAnsi="Arial"/>
          <w:color w:val="1F2937"/>
          <w:sz w:val="22"/>
          <w:szCs w:val="22"/>
        </w:rPr>
        <w:t xml:space="preserve"> captured in the DentTime ML Pipeline Flowchart — covering what the model is, how it was designed, why specific design choices were made, and how the system will evolve from its current </w:t>
      </w:r>
      <w:r>
        <w:rPr>
          <w:rFonts w:ascii="Arial" w:cs="Arial" w:eastAsia="Arial" w:hAnsi="Arial"/>
          <w:b/>
          <w:bCs/>
          <w:color w:val="1F2937"/>
          <w:sz w:val="22"/>
          <w:szCs w:val="22"/>
        </w:rPr>
        <w:t xml:space="preserve">v1 Direct-Deploy</w:t>
      </w:r>
      <w:r>
        <w:rPr>
          <w:rFonts w:ascii="Arial" w:cs="Arial" w:eastAsia="Arial" w:hAnsi="Arial"/>
          <w:color w:val="1F2937"/>
          <w:sz w:val="22"/>
          <w:szCs w:val="22"/>
        </w:rPr>
        <w:t xml:space="preserve"> baseline toward a fully automated, production-grade MLOps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1"/>
              <w:left w:val="single" w:color="1D3557" w:sz="12"/>
              <w:bottom w:val="single" w:color="1D3557" w:sz="1"/>
              <w:right w:val="single" w:color="1D3557" w:sz="1"/>
            </w:tcBorders>
            <w:shd w:fill="EEF4FB" w:val="clear"/>
            <w:tcMar>
              <w:top w:type="dxa" w:w="120"/>
              <w:left w:type="dxa" w:w="200"/>
              <w:bottom w:type="dxa" w:w="120"/>
              <w:right w:type="dxa" w:w="160"/>
            </w:tcMar>
          </w:tcPr>
          <w:p>
            <w:pPr>
              <w:spacing w:after="80" w:before="40"/>
            </w:pPr>
            <w:r>
              <w:rPr>
                <w:rFonts w:ascii="Arial" w:cs="Arial" w:eastAsia="Arial" w:hAnsi="Arial"/>
                <w:b/>
                <w:bCs/>
                <w:color w:val="1D3557"/>
                <w:sz w:val="22"/>
                <w:szCs w:val="22"/>
              </w:rPr>
              <w:t xml:space="preserve">Key Design Philosophy</w:t>
            </w:r>
          </w:p>
          <w:p>
            <w:pPr>
              <w:spacing w:after="40" w:before="0"/>
            </w:pPr>
            <w:r>
              <w:rPr>
                <w:rFonts w:ascii="Arial" w:cs="Arial" w:eastAsia="Arial" w:hAnsi="Arial"/>
                <w:color w:val="1F2937"/>
                <w:sz w:val="20"/>
                <w:szCs w:val="20"/>
              </w:rPr>
              <w:t xml:space="preserve">DentTime follows a "crawl-walk-run" MLOps maturity model. The current v1 implementation establishes a reliable baseline with manual checkpoints, while future phases progressively automate safety gates (shadow mode, canary rollout) and observability (drift detection, automated retraining).</w:t>
            </w:r>
          </w:p>
        </w:tc>
      </w:tr>
    </w:tbl>
    <w:p>
      <w:pPr>
        <w:spacing w:after="0" w:before="120"/>
      </w:pPr>
      <w:r>
        <w:t xml:space="preserve"/>
      </w:r>
    </w:p>
    <w:p>
      <w:pPr>
        <w:pStyle w:val="Heading1"/>
        <w:spacing w:after="160" w:before="320"/>
      </w:pPr>
      <w:r>
        <w:rPr>
          <w:rFonts w:ascii="Arial" w:cs="Arial" w:eastAsia="Arial" w:hAnsi="Arial"/>
          <w:b/>
          <w:bCs/>
          <w:color w:val="1D3557"/>
          <w:sz w:val="32"/>
          <w:szCs w:val="32"/>
        </w:rPr>
        <w:t xml:space="preserve">2. Automation Level Legend</w:t>
      </w:r>
    </w:p>
    <w:p>
      <w:pPr>
        <w:pBdr>
          <w:bottom w:val="single" w:color="457B9D" w:sz="6" w:space="1"/>
        </w:pBdr>
        <w:spacing w:after="160" w:before="160"/>
      </w:pPr>
      <w:r>
        <w:t xml:space="preserve"/>
      </w:r>
    </w:p>
    <w:p>
      <w:pPr>
        <w:spacing w:after="80" w:before="80"/>
      </w:pPr>
      <w:r>
        <w:rPr>
          <w:rFonts w:ascii="Arial" w:cs="Arial" w:eastAsia="Arial" w:hAnsi="Arial"/>
          <w:color w:val="1F2937"/>
          <w:sz w:val="22"/>
          <w:szCs w:val="22"/>
        </w:rPr>
        <w:t xml:space="preserve">The flowchart uses a four-tier automation coding system to communicate the human involvement required at each pipeline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7060"/>
      </w:tblGrid>
      <w:tr>
        <w:tc>
          <w:tcPr>
            <w:tcW w:type="dxa" w:w="3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dxa" w:w="16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706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&amp; Examples in DentTime</w:t>
            </w:r>
          </w:p>
        </w:tc>
      </w:tr>
      <w:tr>
        <w:tc>
          <w:tcPr>
            <w:tcW w:type="dxa" w:w="300"/>
            <w:tcBorders>
              <w:top w:val="none" w:color="FFFFFF" w:sz="0"/>
              <w:left w:val="none" w:color="FFFFFF" w:sz="0"/>
              <w:bottom w:val="none" w:color="FFFFFF" w:sz="0"/>
              <w:right w:val="none" w:color="FFFFFF" w:sz="0"/>
            </w:tcBorders>
            <w:shd w:fill="16A34A"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16A34A"/>
                <w:sz w:val="20"/>
                <w:szCs w:val="20"/>
              </w:rPr>
              <w:t xml:space="preserve">Automatic</w:t>
            </w:r>
          </w:p>
        </w:tc>
        <w:tc>
          <w:tcPr>
            <w:tcW w:type="dxa" w:w="70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color w:val="1F2937"/>
                <w:sz w:val="20"/>
                <w:szCs w:val="20"/>
              </w:rPr>
              <w:t xml:space="preserve">No human trigger required. Runs on a schedule or event. Examples: CMS database ingestion, MLflow experiment logging, Prometheus metric collection.</w:t>
            </w:r>
          </w:p>
        </w:tc>
      </w:tr>
      <w:tr>
        <w:tc>
          <w:tcPr>
            <w:tcW w:type="dxa" w:w="300"/>
            <w:tcBorders>
              <w:top w:val="none" w:color="FFFFFF" w:sz="0"/>
              <w:left w:val="none" w:color="FFFFFF" w:sz="0"/>
              <w:bottom w:val="none" w:color="FFFFFF" w:sz="0"/>
              <w:right w:val="none" w:color="FFFFFF" w:sz="0"/>
            </w:tcBorders>
            <w:shd w:fill="2563EB"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563EB"/>
                <w:sz w:val="20"/>
                <w:szCs w:val="20"/>
              </w:rPr>
              <w:t xml:space="preserve">Semi-Auto</w:t>
            </w:r>
          </w:p>
        </w:tc>
        <w:tc>
          <w:tcPr>
            <w:tcW w:type="dxa" w:w="70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color w:val="1F2937"/>
                <w:sz w:val="20"/>
                <w:szCs w:val="20"/>
              </w:rPr>
              <w:t xml:space="preserve">Airflow-managed steps that may need one-time manual configuration or parameter tuning. Examples: data anonymization, feature engineering, model registry promotion.</w:t>
            </w:r>
          </w:p>
        </w:tc>
      </w:tr>
      <w:tr>
        <w:tc>
          <w:tcPr>
            <w:tcW w:type="dxa" w:w="300"/>
            <w:tcBorders>
              <w:top w:val="none" w:color="FFFFFF" w:sz="0"/>
              <w:left w:val="none" w:color="FFFFFF" w:sz="0"/>
              <w:bottom w:val="none" w:color="FFFFFF" w:sz="0"/>
              <w:right w:val="none" w:color="FFFFFF" w:sz="0"/>
            </w:tcBorders>
            <w:shd w:fill="EA580C"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EA580C"/>
                <w:sz w:val="20"/>
                <w:szCs w:val="20"/>
              </w:rPr>
              <w:t xml:space="preserve">Manual</w:t>
            </w:r>
          </w:p>
        </w:tc>
        <w:tc>
          <w:tcPr>
            <w:tcW w:type="dxa" w:w="70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color w:val="1F2937"/>
                <w:sz w:val="20"/>
                <w:szCs w:val="20"/>
              </w:rPr>
              <w:t xml:space="preserve">A human must initiate or decide each time. Examples: the initial SQL query connection setup, swapping the active model in FastAPI/Docker.</w:t>
            </w:r>
          </w:p>
        </w:tc>
      </w:tr>
      <w:tr>
        <w:tc>
          <w:tcPr>
            <w:tcW w:type="dxa" w:w="300"/>
            <w:tcBorders>
              <w:top w:val="none" w:color="FFFFFF" w:sz="0"/>
              <w:left w:val="none" w:color="FFFFFF" w:sz="0"/>
              <w:bottom w:val="none" w:color="FFFFFF" w:sz="0"/>
              <w:right w:val="none" w:color="FFFFFF" w:sz="0"/>
            </w:tcBorders>
            <w:shd w:fill="6B7280"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6B7280"/>
                <w:sz w:val="20"/>
                <w:szCs w:val="20"/>
              </w:rPr>
              <w:t xml:space="preserve">Future</w:t>
            </w:r>
          </w:p>
        </w:tc>
        <w:tc>
          <w:tcPr>
            <w:tcW w:type="dxa" w:w="70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color w:val="1F2937"/>
                <w:sz w:val="20"/>
                <w:szCs w:val="20"/>
              </w:rPr>
              <w:t xml:space="preserve">Planned but not yet implemented. Represents the next MLOps maturity milestone. Examples: shadow deployment, canary release, drift detection.</w:t>
            </w:r>
          </w:p>
        </w:tc>
      </w:tr>
      <w:tr>
        <w:tc>
          <w:tcPr>
            <w:tcW w:type="dxa" w:w="300"/>
            <w:tcBorders>
              <w:top w:val="none" w:color="FFFFFF" w:sz="0"/>
              <w:left w:val="none" w:color="FFFFFF" w:sz="0"/>
              <w:bottom w:val="none" w:color="FFFFFF" w:sz="0"/>
              <w:right w:val="none" w:color="FFFFFF" w:sz="0"/>
            </w:tcBorders>
            <w:shd w:fill="7C3AED"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7C3AED"/>
                <w:sz w:val="20"/>
                <w:szCs w:val="20"/>
              </w:rPr>
              <w:t xml:space="preserve">Decision</w:t>
            </w:r>
          </w:p>
        </w:tc>
        <w:tc>
          <w:tcPr>
            <w:tcW w:type="dxa" w:w="70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color w:val="1F2937"/>
                <w:sz w:val="20"/>
                <w:szCs w:val="20"/>
              </w:rPr>
              <w:t xml:space="preserve">A branching gate that determines pipeline flow. Examples: Champion vs. Challenger comparison, shadow evaluation pass/fail, retrain trigger.</w:t>
            </w:r>
          </w:p>
        </w:tc>
      </w:tr>
    </w:tbl>
    <w:p>
      <w:pPr>
        <w:spacing w:after="0" w:before="120"/>
      </w:pPr>
      <w:r>
        <w:t xml:space="preserve"/>
      </w:r>
    </w:p>
    <w:p>
      <w:pPr>
        <w:pStyle w:val="Heading1"/>
        <w:spacing w:after="160" w:before="320"/>
      </w:pPr>
      <w:r>
        <w:rPr>
          <w:rFonts w:ascii="Arial" w:cs="Arial" w:eastAsia="Arial" w:hAnsi="Arial"/>
          <w:b/>
          <w:bCs/>
          <w:color w:val="1D3557"/>
          <w:sz w:val="32"/>
          <w:szCs w:val="32"/>
        </w:rPr>
        <w:t xml:space="preserve">3. The Five-Phase ML Pipeline</w:t>
      </w:r>
    </w:p>
    <w:p>
      <w:pPr>
        <w:pBdr>
          <w:bottom w:val="single" w:color="457B9D" w:sz="6" w:space="1"/>
        </w:pBdr>
        <w:spacing w:after="160" w:before="160"/>
      </w:pPr>
      <w:r>
        <w:t xml:space="preserve"/>
      </w:r>
    </w:p>
    <w:p>
      <w:pPr>
        <w:spacing w:after="80" w:before="80"/>
      </w:pPr>
      <w:r>
        <w:rPr>
          <w:rFonts w:ascii="Arial" w:cs="Arial" w:eastAsia="Arial" w:hAnsi="Arial"/>
          <w:color w:val="1F2937"/>
          <w:sz w:val="22"/>
          <w:szCs w:val="22"/>
        </w:rPr>
        <w:t xml:space="preserve">The DentTime pipeline is organized into five sequential phases. Each phase has a defined scope, toolchain, and automation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2100"/>
        <w:gridCol w:w="1200"/>
      </w:tblGrid>
      <w:tr>
        <w:tc>
          <w:tcPr>
            <w:tcW w:type="dxa" w:w="600"/>
            <w:tcBorders>
              <w:top w:val="none" w:color="FFFFFF" w:sz="0"/>
              <w:left w:val="none" w:color="FFFFFF" w:sz="0"/>
              <w:bottom w:val="none" w:color="FFFFFF" w:sz="0"/>
              <w:right w:val="none" w:color="FFFFFF" w:sz="0"/>
            </w:tcBorders>
            <w:shd w:fill="1D355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①</w:t>
            </w:r>
          </w:p>
        </w:tc>
        <w:tc>
          <w:tcPr>
            <w:tcW w:type="dxa" w:w="5460"/>
            <w:tcBorders>
              <w:top w:val="none" w:color="FFFFFF" w:sz="0"/>
              <w:left w:val="none" w:color="FFFFFF" w:sz="0"/>
              <w:bottom w:val="none" w:color="FFFFFF" w:sz="0"/>
              <w:right w:val="none" w:color="FFFFFF" w:sz="0"/>
            </w:tcBorders>
            <w:shd w:fill="EEF4FB" w:val="clear"/>
            <w:tcMar>
              <w:top w:type="dxa" w:w="100"/>
              <w:left w:type="dxa" w:w="160"/>
              <w:bottom w:type="dxa" w:w="100"/>
              <w:right w:type="dxa" w:w="120"/>
            </w:tcMar>
            <w:vAlign w:val="center"/>
          </w:tcPr>
          <w:p>
            <w:r>
              <w:rPr>
                <w:rFonts w:ascii="Arial" w:cs="Arial" w:eastAsia="Arial" w:hAnsi="Arial"/>
                <w:b/>
                <w:bCs/>
                <w:color w:val="1D3557"/>
                <w:sz w:val="22"/>
                <w:szCs w:val="22"/>
              </w:rPr>
              <w:t xml:space="preserve">DATA — Ingestion, Cleaning &amp; Feature Engineering</w:t>
            </w:r>
          </w:p>
        </w:tc>
        <w:tc>
          <w:tcPr>
            <w:tcW w:type="dxa" w:w="2100"/>
            <w:tcBorders>
              <w:top w:val="none" w:color="FFFFFF" w:sz="0"/>
              <w:left w:val="none" w:color="FFFFFF" w:sz="0"/>
              <w:bottom w:val="none" w:color="FFFFFF" w:sz="0"/>
              <w:right w:val="none" w:color="FFFFFF" w:sz="0"/>
            </w:tcBorders>
            <w:shd w:fill="EEF4FB" w:val="clear"/>
            <w:tcMar>
              <w:top w:type="dxa" w:w="100"/>
              <w:left w:type="dxa" w:w="60"/>
              <w:bottom w:type="dxa" w:w="100"/>
              <w:right w:type="dxa" w:w="60"/>
            </w:tcMar>
            <w:vAlign w:val="center"/>
          </w:tcPr>
          <w:p>
            <w:pPr>
              <w:jc w:val="center"/>
            </w:pPr>
            <w:r>
              <w:rPr>
                <w:rFonts w:ascii="Arial" w:cs="Arial" w:eastAsia="Arial" w:hAnsi="Arial"/>
                <w:color w:val="457B9D"/>
                <w:sz w:val="18"/>
                <w:szCs w:val="18"/>
              </w:rPr>
              <w:t xml:space="preserve">Airflow · DVC · Parquet</w:t>
            </w:r>
          </w:p>
        </w:tc>
        <w:tc>
          <w:tcPr>
            <w:tcW w:type="dxa" w:w="1200"/>
            <w:tcBorders>
              <w:top w:val="none" w:color="FFFFFF" w:sz="0"/>
              <w:left w:val="none" w:color="FFFFFF" w:sz="0"/>
              <w:bottom w:val="none" w:color="FFFFFF" w:sz="0"/>
              <w:right w:val="none" w:color="FFFFFF" w:sz="0"/>
            </w:tcBorders>
            <w:shd w:fill="16A34A"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Current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2100"/>
        <w:gridCol w:w="1200"/>
      </w:tblGrid>
      <w:tr>
        <w:tc>
          <w:tcPr>
            <w:tcW w:type="dxa" w:w="600"/>
            <w:tcBorders>
              <w:top w:val="none" w:color="FFFFFF" w:sz="0"/>
              <w:left w:val="none" w:color="FFFFFF" w:sz="0"/>
              <w:bottom w:val="none" w:color="FFFFFF" w:sz="0"/>
              <w:right w:val="none" w:color="FFFFFF" w:sz="0"/>
            </w:tcBorders>
            <w:shd w:fill="1D355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②</w:t>
            </w:r>
          </w:p>
        </w:tc>
        <w:tc>
          <w:tcPr>
            <w:tcW w:type="dxa" w:w="5460"/>
            <w:tcBorders>
              <w:top w:val="none" w:color="FFFFFF" w:sz="0"/>
              <w:left w:val="none" w:color="FFFFFF" w:sz="0"/>
              <w:bottom w:val="none" w:color="FFFFFF" w:sz="0"/>
              <w:right w:val="none" w:color="FFFFFF" w:sz="0"/>
            </w:tcBorders>
            <w:shd w:fill="EEF4FB" w:val="clear"/>
            <w:tcMar>
              <w:top w:type="dxa" w:w="100"/>
              <w:left w:type="dxa" w:w="160"/>
              <w:bottom w:type="dxa" w:w="100"/>
              <w:right w:type="dxa" w:w="120"/>
            </w:tcMar>
            <w:vAlign w:val="center"/>
          </w:tcPr>
          <w:p>
            <w:r>
              <w:rPr>
                <w:rFonts w:ascii="Arial" w:cs="Arial" w:eastAsia="Arial" w:hAnsi="Arial"/>
                <w:b/>
                <w:bCs/>
                <w:color w:val="1D3557"/>
                <w:sz w:val="22"/>
                <w:szCs w:val="22"/>
              </w:rPr>
              <w:t xml:space="preserve">TRAINING — Chronological Split &amp; XGBoost Modelling</w:t>
            </w:r>
          </w:p>
        </w:tc>
        <w:tc>
          <w:tcPr>
            <w:tcW w:type="dxa" w:w="2100"/>
            <w:tcBorders>
              <w:top w:val="none" w:color="FFFFFF" w:sz="0"/>
              <w:left w:val="none" w:color="FFFFFF" w:sz="0"/>
              <w:bottom w:val="none" w:color="FFFFFF" w:sz="0"/>
              <w:right w:val="none" w:color="FFFFFF" w:sz="0"/>
            </w:tcBorders>
            <w:shd w:fill="EEF4FB" w:val="clear"/>
            <w:tcMar>
              <w:top w:type="dxa" w:w="100"/>
              <w:left w:type="dxa" w:w="60"/>
              <w:bottom w:type="dxa" w:w="100"/>
              <w:right w:type="dxa" w:w="60"/>
            </w:tcMar>
            <w:vAlign w:val="center"/>
          </w:tcPr>
          <w:p>
            <w:pPr>
              <w:jc w:val="center"/>
            </w:pPr>
            <w:r>
              <w:rPr>
                <w:rFonts w:ascii="Arial" w:cs="Arial" w:eastAsia="Arial" w:hAnsi="Arial"/>
                <w:color w:val="457B9D"/>
                <w:sz w:val="18"/>
                <w:szCs w:val="18"/>
              </w:rPr>
              <w:t xml:space="preserve">MLflow · XGBoost · Pandas</w:t>
            </w:r>
          </w:p>
        </w:tc>
        <w:tc>
          <w:tcPr>
            <w:tcW w:type="dxa" w:w="1200"/>
            <w:tcBorders>
              <w:top w:val="none" w:color="FFFFFF" w:sz="0"/>
              <w:left w:val="none" w:color="FFFFFF" w:sz="0"/>
              <w:bottom w:val="none" w:color="FFFFFF" w:sz="0"/>
              <w:right w:val="none" w:color="FFFFFF" w:sz="0"/>
            </w:tcBorders>
            <w:shd w:fill="16A34A"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Current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2100"/>
        <w:gridCol w:w="1200"/>
      </w:tblGrid>
      <w:tr>
        <w:tc>
          <w:tcPr>
            <w:tcW w:type="dxa" w:w="600"/>
            <w:tcBorders>
              <w:top w:val="none" w:color="FFFFFF" w:sz="0"/>
              <w:left w:val="none" w:color="FFFFFF" w:sz="0"/>
              <w:bottom w:val="none" w:color="FFFFFF" w:sz="0"/>
              <w:right w:val="none" w:color="FFFFFF" w:sz="0"/>
            </w:tcBorders>
            <w:shd w:fill="1D355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③</w:t>
            </w:r>
          </w:p>
        </w:tc>
        <w:tc>
          <w:tcPr>
            <w:tcW w:type="dxa" w:w="5460"/>
            <w:tcBorders>
              <w:top w:val="none" w:color="FFFFFF" w:sz="0"/>
              <w:left w:val="none" w:color="FFFFFF" w:sz="0"/>
              <w:bottom w:val="none" w:color="FFFFFF" w:sz="0"/>
              <w:right w:val="none" w:color="FFFFFF" w:sz="0"/>
            </w:tcBorders>
            <w:shd w:fill="EEF4FB" w:val="clear"/>
            <w:tcMar>
              <w:top w:type="dxa" w:w="100"/>
              <w:left w:type="dxa" w:w="160"/>
              <w:bottom w:type="dxa" w:w="100"/>
              <w:right w:type="dxa" w:w="120"/>
            </w:tcMar>
            <w:vAlign w:val="center"/>
          </w:tcPr>
          <w:p>
            <w:r>
              <w:rPr>
                <w:rFonts w:ascii="Arial" w:cs="Arial" w:eastAsia="Arial" w:hAnsi="Arial"/>
                <w:b/>
                <w:bCs/>
                <w:color w:val="1D3557"/>
                <w:sz w:val="22"/>
                <w:szCs w:val="22"/>
              </w:rPr>
              <w:t xml:space="preserve">EVALUATION — Offline Metrics &amp; Model Promotion</w:t>
            </w:r>
          </w:p>
        </w:tc>
        <w:tc>
          <w:tcPr>
            <w:tcW w:type="dxa" w:w="2100"/>
            <w:tcBorders>
              <w:top w:val="none" w:color="FFFFFF" w:sz="0"/>
              <w:left w:val="none" w:color="FFFFFF" w:sz="0"/>
              <w:bottom w:val="none" w:color="FFFFFF" w:sz="0"/>
              <w:right w:val="none" w:color="FFFFFF" w:sz="0"/>
            </w:tcBorders>
            <w:shd w:fill="EEF4FB" w:val="clear"/>
            <w:tcMar>
              <w:top w:type="dxa" w:w="100"/>
              <w:left w:type="dxa" w:w="60"/>
              <w:bottom w:type="dxa" w:w="100"/>
              <w:right w:type="dxa" w:w="60"/>
            </w:tcMar>
            <w:vAlign w:val="center"/>
          </w:tcPr>
          <w:p>
            <w:pPr>
              <w:jc w:val="center"/>
            </w:pPr>
            <w:r>
              <w:rPr>
                <w:rFonts w:ascii="Arial" w:cs="Arial" w:eastAsia="Arial" w:hAnsi="Arial"/>
                <w:color w:val="457B9D"/>
                <w:sz w:val="18"/>
                <w:szCs w:val="18"/>
              </w:rPr>
              <w:t xml:space="preserve">MLflow Model Registry · ONNX</w:t>
            </w:r>
          </w:p>
        </w:tc>
        <w:tc>
          <w:tcPr>
            <w:tcW w:type="dxa" w:w="1200"/>
            <w:tcBorders>
              <w:top w:val="none" w:color="FFFFFF" w:sz="0"/>
              <w:left w:val="none" w:color="FFFFFF" w:sz="0"/>
              <w:bottom w:val="none" w:color="FFFFFF" w:sz="0"/>
              <w:right w:val="none" w:color="FFFFFF" w:sz="0"/>
            </w:tcBorders>
            <w:shd w:fill="16A34A"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Current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2100"/>
        <w:gridCol w:w="1200"/>
      </w:tblGrid>
      <w:tr>
        <w:tc>
          <w:tcPr>
            <w:tcW w:type="dxa" w:w="600"/>
            <w:tcBorders>
              <w:top w:val="none" w:color="FFFFFF" w:sz="0"/>
              <w:left w:val="none" w:color="FFFFFF" w:sz="0"/>
              <w:bottom w:val="none" w:color="FFFFFF" w:sz="0"/>
              <w:right w:val="none" w:color="FFFFFF" w:sz="0"/>
            </w:tcBorders>
            <w:shd w:fill="1D355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④</w:t>
            </w:r>
          </w:p>
        </w:tc>
        <w:tc>
          <w:tcPr>
            <w:tcW w:type="dxa" w:w="5460"/>
            <w:tcBorders>
              <w:top w:val="none" w:color="FFFFFF" w:sz="0"/>
              <w:left w:val="none" w:color="FFFFFF" w:sz="0"/>
              <w:bottom w:val="none" w:color="FFFFFF" w:sz="0"/>
              <w:right w:val="none" w:color="FFFFFF" w:sz="0"/>
            </w:tcBorders>
            <w:shd w:fill="EEF4FB" w:val="clear"/>
            <w:tcMar>
              <w:top w:type="dxa" w:w="100"/>
              <w:left w:type="dxa" w:w="160"/>
              <w:bottom w:type="dxa" w:w="100"/>
              <w:right w:type="dxa" w:w="120"/>
            </w:tcMar>
            <w:vAlign w:val="center"/>
          </w:tcPr>
          <w:p>
            <w:r>
              <w:rPr>
                <w:rFonts w:ascii="Arial" w:cs="Arial" w:eastAsia="Arial" w:hAnsi="Arial"/>
                <w:b/>
                <w:bCs/>
                <w:color w:val="1D3557"/>
                <w:sz w:val="22"/>
                <w:szCs w:val="22"/>
              </w:rPr>
              <w:t xml:space="preserve">DEPLOYMENT — Serving &amp; Traffic Management</w:t>
            </w:r>
          </w:p>
        </w:tc>
        <w:tc>
          <w:tcPr>
            <w:tcW w:type="dxa" w:w="2100"/>
            <w:tcBorders>
              <w:top w:val="none" w:color="FFFFFF" w:sz="0"/>
              <w:left w:val="none" w:color="FFFFFF" w:sz="0"/>
              <w:bottom w:val="none" w:color="FFFFFF" w:sz="0"/>
              <w:right w:val="none" w:color="FFFFFF" w:sz="0"/>
            </w:tcBorders>
            <w:shd w:fill="EEF4FB" w:val="clear"/>
            <w:tcMar>
              <w:top w:type="dxa" w:w="100"/>
              <w:left w:type="dxa" w:w="60"/>
              <w:bottom w:type="dxa" w:w="100"/>
              <w:right w:type="dxa" w:w="60"/>
            </w:tcMar>
            <w:vAlign w:val="center"/>
          </w:tcPr>
          <w:p>
            <w:pPr>
              <w:jc w:val="center"/>
            </w:pPr>
            <w:r>
              <w:rPr>
                <w:rFonts w:ascii="Arial" w:cs="Arial" w:eastAsia="Arial" w:hAnsi="Arial"/>
                <w:color w:val="457B9D"/>
                <w:sz w:val="18"/>
                <w:szCs w:val="18"/>
              </w:rPr>
              <w:t xml:space="preserve">FastAPI · Docker · KServe</w:t>
            </w:r>
          </w:p>
        </w:tc>
        <w:tc>
          <w:tcPr>
            <w:tcW w:type="dxa" w:w="1200"/>
            <w:tcBorders>
              <w:top w:val="none" w:color="FFFFFF" w:sz="0"/>
              <w:left w:val="none" w:color="FFFFFF" w:sz="0"/>
              <w:bottom w:val="none" w:color="FFFFFF" w:sz="0"/>
              <w:right w:val="none" w:color="FFFFFF" w:sz="0"/>
            </w:tcBorders>
            <w:shd w:fill="6B7280"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Current + Future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2100"/>
        <w:gridCol w:w="1200"/>
      </w:tblGrid>
      <w:tr>
        <w:tc>
          <w:tcPr>
            <w:tcW w:type="dxa" w:w="600"/>
            <w:tcBorders>
              <w:top w:val="none" w:color="FFFFFF" w:sz="0"/>
              <w:left w:val="none" w:color="FFFFFF" w:sz="0"/>
              <w:bottom w:val="none" w:color="FFFFFF" w:sz="0"/>
              <w:right w:val="none" w:color="FFFFFF" w:sz="0"/>
            </w:tcBorders>
            <w:shd w:fill="1D355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⑤</w:t>
            </w:r>
          </w:p>
        </w:tc>
        <w:tc>
          <w:tcPr>
            <w:tcW w:type="dxa" w:w="5460"/>
            <w:tcBorders>
              <w:top w:val="none" w:color="FFFFFF" w:sz="0"/>
              <w:left w:val="none" w:color="FFFFFF" w:sz="0"/>
              <w:bottom w:val="none" w:color="FFFFFF" w:sz="0"/>
              <w:right w:val="none" w:color="FFFFFF" w:sz="0"/>
            </w:tcBorders>
            <w:shd w:fill="EEF4FB" w:val="clear"/>
            <w:tcMar>
              <w:top w:type="dxa" w:w="100"/>
              <w:left w:type="dxa" w:w="160"/>
              <w:bottom w:type="dxa" w:w="100"/>
              <w:right w:type="dxa" w:w="120"/>
            </w:tcMar>
            <w:vAlign w:val="center"/>
          </w:tcPr>
          <w:p>
            <w:r>
              <w:rPr>
                <w:rFonts w:ascii="Arial" w:cs="Arial" w:eastAsia="Arial" w:hAnsi="Arial"/>
                <w:b/>
                <w:bCs/>
                <w:color w:val="1D3557"/>
                <w:sz w:val="22"/>
                <w:szCs w:val="22"/>
              </w:rPr>
              <w:t xml:space="preserve">MONITORING — Drift Detection &amp; Retraining Signals</w:t>
            </w:r>
          </w:p>
        </w:tc>
        <w:tc>
          <w:tcPr>
            <w:tcW w:type="dxa" w:w="2100"/>
            <w:tcBorders>
              <w:top w:val="none" w:color="FFFFFF" w:sz="0"/>
              <w:left w:val="none" w:color="FFFFFF" w:sz="0"/>
              <w:bottom w:val="none" w:color="FFFFFF" w:sz="0"/>
              <w:right w:val="none" w:color="FFFFFF" w:sz="0"/>
            </w:tcBorders>
            <w:shd w:fill="EEF4FB" w:val="clear"/>
            <w:tcMar>
              <w:top w:type="dxa" w:w="100"/>
              <w:left w:type="dxa" w:w="60"/>
              <w:bottom w:type="dxa" w:w="100"/>
              <w:right w:type="dxa" w:w="60"/>
            </w:tcMar>
            <w:vAlign w:val="center"/>
          </w:tcPr>
          <w:p>
            <w:pPr>
              <w:jc w:val="center"/>
            </w:pPr>
            <w:r>
              <w:rPr>
                <w:rFonts w:ascii="Arial" w:cs="Arial" w:eastAsia="Arial" w:hAnsi="Arial"/>
                <w:color w:val="457B9D"/>
                <w:sz w:val="18"/>
                <w:szCs w:val="18"/>
              </w:rPr>
              <w:t xml:space="preserve">Prometheus · Grafana · Evidently</w:t>
            </w:r>
          </w:p>
        </w:tc>
        <w:tc>
          <w:tcPr>
            <w:tcW w:type="dxa" w:w="1200"/>
            <w:tcBorders>
              <w:top w:val="none" w:color="FFFFFF" w:sz="0"/>
              <w:left w:val="none" w:color="FFFFFF" w:sz="0"/>
              <w:bottom w:val="none" w:color="FFFFFF" w:sz="0"/>
              <w:right w:val="none" w:color="FFFFFF" w:sz="0"/>
            </w:tcBorders>
            <w:shd w:fill="6B7280"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Future</w:t>
            </w:r>
          </w:p>
        </w:tc>
      </w:tr>
    </w:tbl>
    <w:p>
      <w:pPr>
        <w:spacing w:after="0" w:before="120"/>
      </w:pPr>
      <w:r>
        <w:t xml:space="preserve"/>
      </w:r>
    </w:p>
    <w:p>
      <w:pPr>
        <w:pStyle w:val="Heading2"/>
        <w:spacing w:after="120" w:before="260"/>
      </w:pPr>
      <w:r>
        <w:rPr>
          <w:rFonts w:ascii="Arial" w:cs="Arial" w:eastAsia="Arial" w:hAnsi="Arial"/>
          <w:b/>
          <w:bCs/>
          <w:color w:val="457B9D"/>
          <w:sz w:val="26"/>
          <w:szCs w:val="26"/>
        </w:rPr>
        <w:t xml:space="preserve">3.1  Phase ① — Data Management</w:t>
      </w:r>
    </w:p>
    <w:p>
      <w:pPr>
        <w:spacing w:after="80" w:before="80"/>
      </w:pPr>
      <w:r>
        <w:rPr>
          <w:rFonts w:ascii="Arial" w:cs="Arial" w:eastAsia="Arial" w:hAnsi="Arial"/>
          <w:color w:val="1F2937"/>
          <w:sz w:val="22"/>
          <w:szCs w:val="22"/>
        </w:rPr>
        <w:t xml:space="preserve">The data phase begins with the </w:t>
      </w:r>
      <w:r>
        <w:rPr>
          <w:rFonts w:ascii="Arial" w:cs="Arial" w:eastAsia="Arial" w:hAnsi="Arial"/>
          <w:b/>
          <w:bCs/>
          <w:color w:val="1F2937"/>
          <w:sz w:val="22"/>
          <w:szCs w:val="22"/>
        </w:rPr>
        <w:t xml:space="preserve">CMS Database</w:t>
      </w:r>
      <w:r>
        <w:rPr>
          <w:rFonts w:ascii="Arial" w:cs="Arial" w:eastAsia="Arial" w:hAnsi="Arial"/>
          <w:color w:val="1F2937"/>
          <w:sz w:val="22"/>
          <w:szCs w:val="22"/>
        </w:rPr>
        <w:t xml:space="preserve"> (MySQL/PostgreSQL), holding approximately 1 million historical appointment records per year. An Airflow DAG uses a </w:t>
      </w:r>
      <w:r>
        <w:rPr>
          <w:rFonts w:ascii="Arial" w:cs="Arial" w:eastAsia="Arial" w:hAnsi="Arial"/>
          <w:b/>
          <w:bCs/>
          <w:color w:val="1F2937"/>
          <w:sz w:val="22"/>
          <w:szCs w:val="22"/>
        </w:rPr>
        <w:t xml:space="preserve">PostgresOperator / SQLAlchemy Connector</w:t>
      </w:r>
      <w:r>
        <w:rPr>
          <w:rFonts w:ascii="Arial" w:cs="Arial" w:eastAsia="Arial" w:hAnsi="Arial"/>
          <w:color w:val="1F2937"/>
          <w:sz w:val="22"/>
          <w:szCs w:val="22"/>
        </w:rPr>
        <w:t xml:space="preserve"> against a read replica to avoid impacting production queries (currently </w:t>
      </w:r>
      <w:r>
        <w:rPr>
          <w:rFonts w:ascii="Arial" w:cs="Arial" w:eastAsia="Arial" w:hAnsi="Arial"/>
          <w:b/>
          <w:bCs/>
          <w:color w:val="EA580C"/>
          <w:sz w:val="22"/>
          <w:szCs w:val="22"/>
        </w:rPr>
        <w:t xml:space="preserve">Manual</w:t>
      </w:r>
      <w:r>
        <w:rPr>
          <w:rFonts w:ascii="Arial" w:cs="Arial" w:eastAsia="Arial" w:hAnsi="Arial"/>
          <w:color w:val="1F2937"/>
          <w:sz w:val="22"/>
          <w:szCs w:val="22"/>
        </w:rPr>
        <w:t xml:space="preserve"> — the connection requires per-run human initiation in v1).</w:t>
      </w:r>
    </w:p>
    <w:p>
      <w:pPr>
        <w:spacing w:after="0" w:before="60"/>
      </w:pPr>
      <w:r>
        <w:t xml:space="preserve"/>
      </w:r>
    </w:p>
    <w:p>
      <w:pPr>
        <w:spacing w:after="80" w:before="80"/>
      </w:pPr>
      <w:r>
        <w:rPr>
          <w:rFonts w:ascii="Arial" w:cs="Arial" w:eastAsia="Arial" w:hAnsi="Arial"/>
          <w:color w:val="1F2937"/>
          <w:sz w:val="22"/>
          <w:szCs w:val="22"/>
        </w:rPr>
        <w:t xml:space="preserve">The subsequent steps are Semi-Automatic Airflow tasks:</w:t>
      </w:r>
    </w:p>
    <w:p>
      <w:pPr>
        <w:pStyle w:val="ListParagraph"/>
        <w:numPr>
          <w:ilvl w:val="0"/>
          <w:numId w:val="2"/>
        </w:numPr>
        <w:spacing w:after="40" w:before="40"/>
      </w:pPr>
      <w:r>
        <w:rPr>
          <w:rFonts w:ascii="Arial" w:cs="Arial" w:eastAsia="Arial" w:hAnsi="Arial"/>
          <w:color w:val="1F2937"/>
          <w:sz w:val="22"/>
          <w:szCs w:val="22"/>
        </w:rPr>
        <w:t xml:space="preserve">SHA-256 hashing of doctor_license_no for PDPA anonymization compliance</w:t>
      </w:r>
    </w:p>
    <w:p>
      <w:pPr>
        <w:pStyle w:val="ListParagraph"/>
        <w:numPr>
          <w:ilvl w:val="0"/>
          <w:numId w:val="2"/>
        </w:numPr>
        <w:spacing w:after="40" w:before="40"/>
      </w:pPr>
      <w:r>
        <w:rPr>
          <w:rFonts w:ascii="Arial" w:cs="Arial" w:eastAsia="Arial" w:hAnsi="Arial"/>
          <w:color w:val="1F2937"/>
          <w:sz w:val="22"/>
          <w:szCs w:val="22"/>
        </w:rPr>
        <w:t xml:space="preserve">Schema validation, missing-rate checks, and distribution checks via Great Expectations (Future in v1 — planned as the first automation upgrade)</w:t>
      </w:r>
    </w:p>
    <w:p>
      <w:pPr>
        <w:pStyle w:val="ListParagraph"/>
        <w:numPr>
          <w:ilvl w:val="0"/>
          <w:numId w:val="2"/>
        </w:numPr>
        <w:spacing w:after="40" w:before="40"/>
      </w:pPr>
      <w:r>
        <w:rPr>
          <w:rFonts w:ascii="Arial" w:cs="Arial" w:eastAsia="Arial" w:hAnsi="Arial"/>
          <w:color w:val="1F2937"/>
          <w:sz w:val="22"/>
          <w:szCs w:val="22"/>
        </w:rPr>
        <w:t xml:space="preserve">Missing data imputation, fuzzy-match dictionary mapping for treatment names, and outlier removal via RapidFuzz + Pandas</w:t>
      </w:r>
    </w:p>
    <w:p>
      <w:pPr>
        <w:pStyle w:val="ListParagraph"/>
        <w:numPr>
          <w:ilvl w:val="0"/>
          <w:numId w:val="2"/>
        </w:numPr>
        <w:spacing w:after="40" w:before="40"/>
      </w:pPr>
      <w:r>
        <w:rPr>
          <w:rFonts w:ascii="Arial" w:cs="Arial" w:eastAsia="Arial" w:hAnsi="Arial"/>
          <w:color w:val="1F2937"/>
          <w:sz w:val="22"/>
          <w:szCs w:val="22"/>
        </w:rPr>
        <w:t xml:space="preserve">Feature engineering: Treatment Class encoding, Tooth Count, Time-of-Day, Is-First-Case flag, and Doctor Profile Statistics (calculated only from the training fold to prevent leakage)</w:t>
      </w:r>
    </w:p>
    <w:p>
      <w:pPr>
        <w:spacing w:after="0" w:before="60"/>
      </w:pPr>
      <w:r>
        <w:t xml:space="preserve"/>
      </w:r>
    </w:p>
    <w:p>
      <w:pPr>
        <w:spacing w:after="80" w:before="80"/>
      </w:pPr>
      <w:r>
        <w:rPr>
          <w:rFonts w:ascii="Arial" w:cs="Arial" w:eastAsia="Arial" w:hAnsi="Arial"/>
          <w:color w:val="1F2937"/>
          <w:sz w:val="22"/>
          <w:szCs w:val="22"/>
        </w:rPr>
        <w:t xml:space="preserve">The final output is a versioned </w:t>
      </w:r>
      <w:r>
        <w:rPr>
          <w:rFonts w:ascii="Arial" w:cs="Arial" w:eastAsia="Arial" w:hAnsi="Arial"/>
          <w:b/>
          <w:bCs/>
          <w:color w:val="1F2937"/>
          <w:sz w:val="22"/>
          <w:szCs w:val="22"/>
        </w:rPr>
        <w:t xml:space="preserve">Apache Parquet Feature Store</w:t>
      </w:r>
      <w:r>
        <w:rPr>
          <w:rFonts w:ascii="Arial" w:cs="Arial" w:eastAsia="Arial" w:hAnsi="Arial"/>
          <w:color w:val="1F2937"/>
          <w:sz w:val="22"/>
          <w:szCs w:val="22"/>
        </w:rPr>
        <w:t xml:space="preserve"> tracked by </w:t>
      </w:r>
      <w:r>
        <w:rPr>
          <w:rFonts w:ascii="Arial" w:cs="Arial" w:eastAsia="Arial" w:hAnsi="Arial"/>
          <w:b/>
          <w:bCs/>
          <w:color w:val="1F2937"/>
          <w:sz w:val="22"/>
          <w:szCs w:val="22"/>
        </w:rPr>
        <w:t xml:space="preserve">DVC</w:t>
      </w:r>
      <w:r>
        <w:rPr>
          <w:rFonts w:ascii="Arial" w:cs="Arial" w:eastAsia="Arial" w:hAnsi="Arial"/>
          <w:color w:val="1F2937"/>
          <w:sz w:val="22"/>
          <w:szCs w:val="22"/>
        </w:rPr>
        <w:t xml:space="preserve">, ensuring complete dataset reproducibility across experiments — directly addressing the instructor's requirement for reproducible datasets.</w:t>
      </w:r>
    </w:p>
    <w:p>
      <w:pPr>
        <w:spacing w:after="0" w:before="100"/>
      </w:pPr>
      <w:r>
        <w:t xml:space="preserve"/>
      </w:r>
    </w:p>
    <w:p>
      <w:pPr>
        <w:pStyle w:val="Heading2"/>
        <w:spacing w:after="120" w:before="260"/>
      </w:pPr>
      <w:r>
        <w:rPr>
          <w:rFonts w:ascii="Arial" w:cs="Arial" w:eastAsia="Arial" w:hAnsi="Arial"/>
          <w:b/>
          <w:bCs/>
          <w:color w:val="457B9D"/>
          <w:sz w:val="26"/>
          <w:szCs w:val="26"/>
        </w:rPr>
        <w:t xml:space="preserve">3.2  Phase ② — Model Training</w:t>
      </w:r>
    </w:p>
    <w:p>
      <w:pPr>
        <w:spacing w:after="80" w:before="80"/>
      </w:pPr>
      <w:r>
        <w:rPr>
          <w:rFonts w:ascii="Arial" w:cs="Arial" w:eastAsia="Arial" w:hAnsi="Arial"/>
          <w:color w:val="1F2937"/>
          <w:sz w:val="22"/>
          <w:szCs w:val="22"/>
        </w:rPr>
        <w:t xml:space="preserve">Training uses a </w:t>
      </w:r>
      <w:r>
        <w:rPr>
          <w:rFonts w:ascii="Arial" w:cs="Arial" w:eastAsia="Arial" w:hAnsi="Arial"/>
          <w:b/>
          <w:bCs/>
          <w:color w:val="1F2937"/>
          <w:sz w:val="22"/>
          <w:szCs w:val="22"/>
        </w:rPr>
        <w:t xml:space="preserve">strict chronological split</w:t>
      </w:r>
      <w:r>
        <w:rPr>
          <w:rFonts w:ascii="Arial" w:cs="Arial" w:eastAsia="Arial" w:hAnsi="Arial"/>
          <w:color w:val="1F2937"/>
          <w:sz w:val="22"/>
          <w:szCs w:val="22"/>
        </w:rPr>
        <w:t xml:space="preserve"> (months 1–10 train, month 11 validation, month 12 test) rather than random shuffling. This design choice prevents temporal data leakage — a critical concern for clinic-scheduling models where recent patterns (e.g., post-COVID procedure shifts) must not be seen during training.</w:t>
      </w:r>
    </w:p>
    <w:p>
      <w:pPr>
        <w:spacing w:after="0" w:before="60"/>
      </w:pPr>
      <w:r>
        <w:t xml:space="preserve"/>
      </w:r>
    </w:p>
    <w:p>
      <w:pPr>
        <w:spacing w:after="80" w:before="80"/>
      </w:pPr>
      <w:r>
        <w:rPr>
          <w:rFonts w:ascii="Arial" w:cs="Arial" w:eastAsia="Arial" w:hAnsi="Arial"/>
          <w:color w:val="1F2937"/>
          <w:sz w:val="22"/>
          <w:szCs w:val="22"/>
        </w:rPr>
        <w:t xml:space="preserve">The model architecture is XGBoost with class-weight balancing, addressing the class imbalance inherent in treatment duration distributions (short procedures are far more common than complex long ones).</w:t>
      </w:r>
    </w:p>
    <w:p>
      <w:pPr>
        <w:spacing w:after="0" w:before="60"/>
      </w:pPr>
      <w:r>
        <w:t xml:space="preserve"/>
      </w:r>
    </w:p>
    <w:p>
      <w:pPr>
        <w:spacing w:after="80" w:before="80"/>
      </w:pPr>
      <w:r>
        <w:rPr>
          <w:rFonts w:ascii="Arial" w:cs="Arial" w:eastAsia="Arial" w:hAnsi="Arial"/>
          <w:color w:val="1F2937"/>
          <w:sz w:val="22"/>
          <w:szCs w:val="22"/>
        </w:rPr>
        <w:t xml:space="preserve">Hyperparameter tuning uses Grid/Random Search on the validation set, and all runs are tracked in </w:t>
      </w:r>
      <w:r>
        <w:rPr>
          <w:rFonts w:ascii="Arial" w:cs="Arial" w:eastAsia="Arial" w:hAnsi="Arial"/>
          <w:b/>
          <w:bCs/>
          <w:color w:val="1F2937"/>
          <w:sz w:val="22"/>
          <w:szCs w:val="22"/>
        </w:rPr>
        <w:t xml:space="preserve">MLflow</w:t>
      </w:r>
      <w:r>
        <w:rPr>
          <w:rFonts w:ascii="Arial" w:cs="Arial" w:eastAsia="Arial" w:hAnsi="Arial"/>
          <w:color w:val="1F2937"/>
          <w:sz w:val="22"/>
          <w:szCs w:val="22"/>
        </w:rPr>
        <w:t xml:space="preserve"> — capturing metrics, confusion matrices, feature importance scores, and hyperparameter logs. This is Automatic once the DAG is triggered.</w:t>
      </w:r>
    </w:p>
    <w:p>
      <w:pPr>
        <w:spacing w:after="0" w:before="100"/>
      </w:pPr>
      <w:r>
        <w:t xml:space="preserve"/>
      </w:r>
    </w:p>
    <w:p>
      <w:pPr>
        <w:pStyle w:val="Heading2"/>
        <w:spacing w:after="120" w:before="260"/>
      </w:pPr>
      <w:r>
        <w:rPr>
          <w:rFonts w:ascii="Arial" w:cs="Arial" w:eastAsia="Arial" w:hAnsi="Arial"/>
          <w:b/>
          <w:bCs/>
          <w:color w:val="457B9D"/>
          <w:sz w:val="26"/>
          <w:szCs w:val="26"/>
        </w:rPr>
        <w:t xml:space="preserve">3.3  Phase ③ — Evaluation &amp; Model Promotion</w:t>
      </w:r>
    </w:p>
    <w:p>
      <w:pPr>
        <w:spacing w:after="80" w:before="80"/>
      </w:pPr>
      <w:r>
        <w:rPr>
          <w:rFonts w:ascii="Arial" w:cs="Arial" w:eastAsia="Arial" w:hAnsi="Arial"/>
          <w:color w:val="1F2937"/>
          <w:sz w:val="22"/>
          <w:szCs w:val="22"/>
        </w:rPr>
        <w:t xml:space="preserve">Offline evaluation on the held-out test set measures three metrics in priority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160"/>
        <w:gridCol w:w="3100"/>
      </w:tblGrid>
      <w:tr>
        <w:tc>
          <w:tcPr>
            <w:tcW w:type="dxa" w:w="3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6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c>
          <w:tcPr>
            <w:tcW w:type="dxa" w:w="31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Impact</w:t>
            </w:r>
          </w:p>
        </w:tc>
      </w:tr>
      <w:tr>
        <w:tc>
          <w:tcPr>
            <w:tcW w:type="dxa" w:w="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1</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Macro F1-Score</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Equal weight across all 5 duration classes</w:t>
            </w:r>
          </w:p>
        </w:tc>
        <w:tc>
          <w:tcPr>
            <w:tcW w:type="dxa" w:w="31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Balanced scheduling performance</w:t>
            </w:r>
          </w:p>
        </w:tc>
      </w:tr>
      <w:tr>
        <w:tc>
          <w:tcPr>
            <w:tcW w:type="dxa" w:w="3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2</w:t>
            </w:r>
          </w:p>
        </w:tc>
        <w:tc>
          <w:tcPr>
            <w:tcW w:type="dxa" w:w="28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r>
              <w:rPr>
                <w:rFonts w:ascii="Arial" w:cs="Arial" w:eastAsia="Arial" w:hAnsi="Arial"/>
                <w:b/>
                <w:bCs/>
                <w:color w:val="C05621"/>
                <w:sz w:val="22"/>
                <w:szCs w:val="22"/>
              </w:rPr>
              <w:t xml:space="preserve">Under-Estimation Rate</w:t>
            </w:r>
          </w:p>
        </w:tc>
        <w:tc>
          <w:tcPr>
            <w:tcW w:type="dxa" w:w="316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 of predictions shorter than actual duration</w:t>
            </w:r>
          </w:p>
        </w:tc>
        <w:tc>
          <w:tcPr>
            <w:tcW w:type="dxa" w:w="31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Prevents patient wait overruns and doctor overruns — highest business risk</w:t>
            </w:r>
          </w:p>
        </w:tc>
      </w:tr>
      <w:tr>
        <w:tc>
          <w:tcPr>
            <w:tcW w:type="dxa" w:w="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3</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MAE (minutes)</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Mean absolute error of predicted duration</w:t>
            </w:r>
          </w:p>
        </w:tc>
        <w:tc>
          <w:tcPr>
            <w:tcW w:type="dxa" w:w="31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Operational efficiency of the time-slot recommendation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1"/>
              <w:left w:val="single" w:color="C05621" w:sz="12"/>
              <w:bottom w:val="single" w:color="C05621" w:sz="1"/>
              <w:right w:val="single" w:color="C05621" w:sz="1"/>
            </w:tcBorders>
            <w:shd w:fill="FFFBEB" w:val="clear"/>
            <w:tcMar>
              <w:top w:type="dxa" w:w="120"/>
              <w:left w:type="dxa" w:w="200"/>
              <w:bottom w:type="dxa" w:w="120"/>
              <w:right w:type="dxa" w:w="160"/>
            </w:tcMar>
          </w:tcPr>
          <w:p>
            <w:pPr>
              <w:spacing w:after="80" w:before="40"/>
            </w:pPr>
            <w:r>
              <w:rPr>
                <w:rFonts w:ascii="Arial" w:cs="Arial" w:eastAsia="Arial" w:hAnsi="Arial"/>
                <w:b/>
                <w:bCs/>
                <w:color w:val="C05621"/>
                <w:sz w:val="22"/>
                <w:szCs w:val="22"/>
              </w:rPr>
              <w:t xml:space="preserve">Why Under-Estimation Rate is Priority #2</w:t>
            </w:r>
          </w:p>
          <w:p>
            <w:pPr>
              <w:spacing w:after="40" w:before="0"/>
            </w:pPr>
            <w:r>
              <w:rPr>
                <w:rFonts w:ascii="Arial" w:cs="Arial" w:eastAsia="Arial" w:hAnsi="Arial"/>
                <w:color w:val="1F2937"/>
                <w:sz w:val="20"/>
                <w:szCs w:val="20"/>
              </w:rPr>
              <w:t xml:space="preserve">An under-estimated procedure (predicting 30 min when the actual is 60 min) causes the next patient to be called too early, creating waiting room congestion and doctor overrun. This asymmetric cost means the system should be calibrated to lean toward over-estimation rather than under-estimation for long procedures.</w:t>
            </w:r>
          </w:p>
        </w:tc>
      </w:tr>
    </w:tbl>
    <w:p>
      <w:pPr>
        <w:spacing w:after="0" w:before="80"/>
      </w:pPr>
      <w:r>
        <w:t xml:space="preserve"/>
      </w:r>
    </w:p>
    <w:p>
      <w:pPr>
        <w:spacing w:after="80" w:before="80"/>
      </w:pPr>
      <w:r>
        <w:rPr>
          <w:rFonts w:ascii="Arial" w:cs="Arial" w:eastAsia="Arial" w:hAnsi="Arial"/>
          <w:color w:val="1F2937"/>
          <w:sz w:val="22"/>
          <w:szCs w:val="22"/>
        </w:rPr>
        <w:t xml:space="preserve">The </w:t>
      </w:r>
      <w:r>
        <w:rPr>
          <w:rFonts w:ascii="Arial" w:cs="Arial" w:eastAsia="Arial" w:hAnsi="Arial"/>
          <w:b/>
          <w:bCs/>
          <w:color w:val="1F2937"/>
          <w:sz w:val="22"/>
          <w:szCs w:val="22"/>
        </w:rPr>
        <w:t xml:space="preserve">Champion vs. Challenger</w:t>
      </w:r>
      <w:r>
        <w:rPr>
          <w:rFonts w:ascii="Arial" w:cs="Arial" w:eastAsia="Arial" w:hAnsi="Arial"/>
          <w:color w:val="1F2937"/>
          <w:sz w:val="22"/>
          <w:szCs w:val="22"/>
        </w:rPr>
        <w:t xml:space="preserve"> gate compares the newly trained model against the currently deployed model. If the new model wins, it is promoted to the MLflow Model Registry in Joblib/ONNX format with versioned metadata. The previous two model versions are archived as fallback options.</w:t>
      </w:r>
    </w:p>
    <w:p>
      <w:pPr>
        <w:spacing w:after="0" w:before="100"/>
      </w:pPr>
      <w:r>
        <w:t xml:space="preserve"/>
      </w:r>
    </w:p>
    <w:p>
      <w:r>
        <w:br w:type="page"/>
      </w:r>
    </w:p>
    <w:p>
      <w:pPr>
        <w:pStyle w:val="Heading1"/>
        <w:spacing w:after="160" w:before="320"/>
      </w:pPr>
      <w:r>
        <w:rPr>
          <w:rFonts w:ascii="Arial" w:cs="Arial" w:eastAsia="Arial" w:hAnsi="Arial"/>
          <w:b/>
          <w:bCs/>
          <w:color w:val="1D3557"/>
          <w:sz w:val="32"/>
          <w:szCs w:val="32"/>
        </w:rPr>
        <w:t xml:space="preserve">4. The Deployment Model — Current vs. Future</w:t>
      </w:r>
    </w:p>
    <w:p>
      <w:pPr>
        <w:pBdr>
          <w:bottom w:val="single" w:color="457B9D" w:sz="6" w:space="1"/>
        </w:pBdr>
        <w:spacing w:after="160" w:before="160"/>
      </w:pPr>
      <w:r>
        <w:t xml:space="preserve"/>
      </w:r>
    </w:p>
    <w:p>
      <w:pPr>
        <w:pStyle w:val="Heading2"/>
        <w:spacing w:after="120" w:before="260"/>
      </w:pPr>
      <w:r>
        <w:rPr>
          <w:rFonts w:ascii="Arial" w:cs="Arial" w:eastAsia="Arial" w:hAnsi="Arial"/>
          <w:b/>
          <w:bCs/>
          <w:color w:val="457B9D"/>
          <w:sz w:val="26"/>
          <w:szCs w:val="26"/>
        </w:rPr>
        <w:t xml:space="preserve">4.1  Current State: v1 Direct Deploy</w:t>
      </w:r>
    </w:p>
    <w:p>
      <w:pPr>
        <w:spacing w:after="80" w:before="80"/>
      </w:pPr>
      <w:r>
        <w:rPr>
          <w:rFonts w:ascii="Arial" w:cs="Arial" w:eastAsia="Arial" w:hAnsi="Arial"/>
          <w:color w:val="1F2937"/>
          <w:sz w:val="22"/>
          <w:szCs w:val="22"/>
        </w:rPr>
        <w:t xml:space="preserve">In the current implementation, once a model passes the Champion vs. Challenger gate, it is </w:t>
      </w:r>
      <w:r>
        <w:rPr>
          <w:rFonts w:ascii="Arial" w:cs="Arial" w:eastAsia="Arial" w:hAnsi="Arial"/>
          <w:b/>
          <w:bCs/>
          <w:color w:val="1F2937"/>
          <w:sz w:val="22"/>
          <w:szCs w:val="22"/>
        </w:rPr>
        <w:t xml:space="preserve">directly deployed</w:t>
      </w:r>
      <w:r>
        <w:rPr>
          <w:rFonts w:ascii="Arial" w:cs="Arial" w:eastAsia="Arial" w:hAnsi="Arial"/>
          <w:color w:val="1F2937"/>
          <w:sz w:val="22"/>
          <w:szCs w:val="22"/>
        </w:rPr>
        <w:t xml:space="preserve"> to a </w:t>
      </w:r>
      <w:r>
        <w:rPr>
          <w:rFonts w:ascii="Arial" w:cs="Arial" w:eastAsia="Arial" w:hAnsi="Arial"/>
          <w:b/>
          <w:bCs/>
          <w:color w:val="1F2937"/>
          <w:sz w:val="22"/>
          <w:szCs w:val="22"/>
        </w:rPr>
        <w:t xml:space="preserve">FastAPI + Docker</w:t>
      </w:r>
      <w:r>
        <w:rPr>
          <w:rFonts w:ascii="Arial" w:cs="Arial" w:eastAsia="Arial" w:hAnsi="Arial"/>
          <w:color w:val="1F2937"/>
          <w:sz w:val="22"/>
          <w:szCs w:val="22"/>
        </w:rPr>
        <w:t xml:space="preserve"> container. Model swapping is a </w:t>
      </w:r>
      <w:r>
        <w:rPr>
          <w:rFonts w:ascii="Arial" w:cs="Arial" w:eastAsia="Arial" w:hAnsi="Arial"/>
          <w:b/>
          <w:bCs/>
          <w:color w:val="EA580C"/>
          <w:sz w:val="22"/>
          <w:szCs w:val="22"/>
        </w:rPr>
        <w:t xml:space="preserve">Manual</w:t>
      </w:r>
      <w:r>
        <w:rPr>
          <w:rFonts w:ascii="Arial" w:cs="Arial" w:eastAsia="Arial" w:hAnsi="Arial"/>
          <w:color w:val="1F2937"/>
          <w:sz w:val="22"/>
          <w:szCs w:val="22"/>
        </w:rPr>
        <w:t xml:space="preserve"> step — a human engineer replaces the model file and restarts the container. The inference service targets p99 latency &lt; 1 second for online predictions.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1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1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Inference Service</w:t>
            </w:r>
          </w:p>
        </w:tc>
        <w:tc>
          <w:tcPr>
            <w:tcW w:type="dxa" w:w="31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FastAPI + Docker</w:t>
            </w:r>
          </w:p>
        </w:tc>
        <w:tc>
          <w:tcPr>
            <w:tcW w:type="dxa" w:w="31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Online prediction, REST API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Model Format</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Joblib → ONNX</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Portable format for future KServe</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Deployment Trigger</w:t>
            </w:r>
          </w:p>
        </w:tc>
        <w:tc>
          <w:tcPr>
            <w:tcW w:type="dxa" w:w="31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Manual model swap</w:t>
            </w:r>
          </w:p>
        </w:tc>
        <w:tc>
          <w:tcPr>
            <w:tcW w:type="dxa" w:w="31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Engineer replaces file, restarts container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Rollback</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MLflow archived versions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2 previous versions kept as fallback</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Frontend</w:t>
            </w:r>
          </w:p>
        </w:tc>
        <w:tc>
          <w:tcPr>
            <w:tcW w:type="dxa" w:w="31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React Web App</w:t>
            </w:r>
          </w:p>
        </w:tc>
        <w:tc>
          <w:tcPr>
            <w:tcW w:type="dxa" w:w="31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Clinic staff input → suggested time window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Operational Monitoring</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Prometheus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Latency, RPS, error rate, CPU/memory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160"/>
            </w:tcMar>
          </w:tcPr>
          <w:p>
            <w:pPr>
              <w:spacing w:after="80" w:before="40"/>
            </w:pPr>
            <w:r>
              <w:rPr>
                <w:rFonts w:ascii="Arial" w:cs="Arial" w:eastAsia="Arial" w:hAnsi="Arial"/>
                <w:b/>
                <w:bCs/>
                <w:color w:val="16A34A"/>
                <w:sz w:val="22"/>
                <w:szCs w:val="22"/>
              </w:rPr>
              <w:t xml:space="preserve">Why Direct Deploy for v1?</w:t>
            </w:r>
          </w:p>
          <w:p>
            <w:pPr>
              <w:spacing w:after="40" w:before="0"/>
            </w:pPr>
            <w:r>
              <w:rPr>
                <w:rFonts w:ascii="Arial" w:cs="Arial" w:eastAsia="Arial" w:hAnsi="Arial"/>
                <w:color w:val="1F2937"/>
                <w:sz w:val="20"/>
                <w:szCs w:val="20"/>
              </w:rPr>
              <w:t xml:space="preserve">Starting with a manual deployment step is a deliberate risk-management decision. For a safety-sensitive clinical application, a human in the loop for model promotion ensures that any unexpected model behavior can be caught before it reaches production. This is a common pattern in regulated ML systems where audit trails matter.</w:t>
            </w:r>
          </w:p>
        </w:tc>
      </w:tr>
    </w:tbl>
    <w:p>
      <w:pPr>
        <w:spacing w:after="0" w:before="120"/>
      </w:pPr>
      <w:r>
        <w:t xml:space="preserve"/>
      </w:r>
    </w:p>
    <w:p>
      <w:pPr>
        <w:pStyle w:val="Heading2"/>
        <w:spacing w:after="120" w:before="260"/>
      </w:pPr>
      <w:r>
        <w:rPr>
          <w:rFonts w:ascii="Arial" w:cs="Arial" w:eastAsia="Arial" w:hAnsi="Arial"/>
          <w:b/>
          <w:bCs/>
          <w:color w:val="457B9D"/>
          <w:sz w:val="26"/>
          <w:szCs w:val="26"/>
        </w:rPr>
        <w:t xml:space="preserve">4.2  Future State: Progressive Safe Deployment</w:t>
      </w:r>
    </w:p>
    <w:p>
      <w:pPr>
        <w:spacing w:after="80" w:before="80"/>
      </w:pPr>
      <w:r>
        <w:rPr>
          <w:rFonts w:ascii="Arial" w:cs="Arial" w:eastAsia="Arial" w:hAnsi="Arial"/>
          <w:color w:val="1F2937"/>
          <w:sz w:val="22"/>
          <w:szCs w:val="22"/>
        </w:rPr>
        <w:t xml:space="preserve">The future deployment path introduces two additional safety layers before production traffic reaches the new model:</w:t>
      </w:r>
    </w:p>
    <w:p>
      <w:pPr>
        <w:spacing w:after="0" w:before="80"/>
      </w:pPr>
      <w:r>
        <w:t xml:space="preserve"/>
      </w:r>
    </w:p>
    <w:p>
      <w:pPr>
        <w:pStyle w:val="Heading3"/>
        <w:spacing w:after="80" w:before="200"/>
      </w:pPr>
      <w:r>
        <w:rPr>
          <w:rFonts w:ascii="Arial" w:cs="Arial" w:eastAsia="Arial" w:hAnsi="Arial"/>
          <w:b/>
          <w:bCs/>
          <w:color w:val="1F2937"/>
          <w:sz w:val="22"/>
          <w:szCs w:val="22"/>
        </w:rPr>
        <w:t xml:space="preserve">Step 1 — Shadow Deployment (KServe Shadow Mode)</w:t>
      </w:r>
    </w:p>
    <w:p>
      <w:pPr>
        <w:spacing w:after="80" w:before="80"/>
      </w:pPr>
      <w:r>
        <w:rPr>
          <w:rFonts w:ascii="Arial" w:cs="Arial" w:eastAsia="Arial" w:hAnsi="Arial"/>
          <w:color w:val="1F2937"/>
          <w:sz w:val="22"/>
          <w:szCs w:val="22"/>
        </w:rPr>
        <w:t xml:space="preserve">The new model runs in </w:t>
      </w:r>
      <w:r>
        <w:rPr>
          <w:rFonts w:ascii="Arial" w:cs="Arial" w:eastAsia="Arial" w:hAnsi="Arial"/>
          <w:b/>
          <w:bCs/>
          <w:color w:val="1F2937"/>
          <w:sz w:val="22"/>
          <w:szCs w:val="22"/>
        </w:rPr>
        <w:t xml:space="preserve">parallel with the production model</w:t>
      </w:r>
      <w:r>
        <w:rPr>
          <w:rFonts w:ascii="Arial" w:cs="Arial" w:eastAsia="Arial" w:hAnsi="Arial"/>
          <w:color w:val="1F2937"/>
          <w:sz w:val="22"/>
          <w:szCs w:val="22"/>
        </w:rPr>
        <w:t xml:space="preserve"> on mirrored real traffic. Crucially, its predictions are </w:t>
      </w:r>
      <w:r>
        <w:rPr>
          <w:rFonts w:ascii="Arial" w:cs="Arial" w:eastAsia="Arial" w:hAnsi="Arial"/>
          <w:b/>
          <w:bCs/>
          <w:color w:val="1F2937"/>
          <w:sz w:val="22"/>
          <w:szCs w:val="22"/>
        </w:rPr>
        <w:t xml:space="preserve">not returned to users</w:t>
      </w:r>
      <w:r>
        <w:rPr>
          <w:rFonts w:ascii="Arial" w:cs="Arial" w:eastAsia="Arial" w:hAnsi="Arial"/>
          <w:color w:val="1F2937"/>
          <w:sz w:val="22"/>
          <w:szCs w:val="22"/>
        </w:rPr>
        <w:t xml:space="preserve"> — only logged internally. This allows engineers to measure real-world performance (latency, accuracy, resource usage) with zero user risk.</w:t>
      </w:r>
    </w:p>
    <w:p>
      <w:pPr>
        <w:spacing w:after="0" w:before="60"/>
      </w:pPr>
      <w:r>
        <w:t xml:space="preserve"/>
      </w:r>
    </w:p>
    <w:p>
      <w:pPr>
        <w:pStyle w:val="ListParagraph"/>
        <w:numPr>
          <w:ilvl w:val="0"/>
          <w:numId w:val="2"/>
        </w:numPr>
        <w:spacing w:after="40" w:before="40"/>
      </w:pPr>
      <w:r>
        <w:rPr>
          <w:rFonts w:ascii="Arial" w:cs="Arial" w:eastAsia="Arial" w:hAnsi="Arial"/>
          <w:color w:val="1F2937"/>
          <w:sz w:val="22"/>
          <w:szCs w:val="22"/>
        </w:rPr>
        <w:t xml:space="preserve">Shadow eval metrics: Macro F1, Under-Estimation Rate, p99 latency</w:t>
      </w:r>
    </w:p>
    <w:p>
      <w:pPr>
        <w:pStyle w:val="ListParagraph"/>
        <w:numPr>
          <w:ilvl w:val="0"/>
          <w:numId w:val="2"/>
        </w:numPr>
        <w:spacing w:after="40" w:before="40"/>
      </w:pPr>
      <w:r>
        <w:rPr>
          <w:rFonts w:ascii="Arial" w:cs="Arial" w:eastAsia="Arial" w:hAnsi="Arial"/>
          <w:color w:val="1F2937"/>
          <w:sz w:val="22"/>
          <w:szCs w:val="22"/>
        </w:rPr>
        <w:t xml:space="preserve">Pass threshold triggers automatic canary promotion</w:t>
      </w:r>
    </w:p>
    <w:p>
      <w:pPr>
        <w:pStyle w:val="ListParagraph"/>
        <w:numPr>
          <w:ilvl w:val="0"/>
          <w:numId w:val="2"/>
        </w:numPr>
        <w:spacing w:after="40" w:before="40"/>
      </w:pPr>
      <w:r>
        <w:rPr>
          <w:rFonts w:ascii="Arial" w:cs="Arial" w:eastAsia="Arial" w:hAnsi="Arial"/>
          <w:color w:val="1F2937"/>
          <w:sz w:val="22"/>
          <w:szCs w:val="22"/>
        </w:rPr>
        <w:t xml:space="preserve">Fail triggers automatic rollback — no production disruption</w:t>
      </w:r>
    </w:p>
    <w:p>
      <w:pPr>
        <w:spacing w:after="0" w:before="80"/>
      </w:pPr>
      <w:r>
        <w:t xml:space="preserve"/>
      </w:r>
    </w:p>
    <w:p>
      <w:pPr>
        <w:pStyle w:val="Heading3"/>
        <w:spacing w:after="80" w:before="200"/>
      </w:pPr>
      <w:r>
        <w:rPr>
          <w:rFonts w:ascii="Arial" w:cs="Arial" w:eastAsia="Arial" w:hAnsi="Arial"/>
          <w:b/>
          <w:bCs/>
          <w:color w:val="1F2937"/>
          <w:sz w:val="22"/>
          <w:szCs w:val="22"/>
        </w:rPr>
        <w:t xml:space="preserve">Step 2 — Canary Release (KServe Traffic Routing)</w:t>
      </w:r>
    </w:p>
    <w:p>
      <w:pPr>
        <w:spacing w:after="80" w:before="80"/>
      </w:pPr>
      <w:r>
        <w:rPr>
          <w:rFonts w:ascii="Arial" w:cs="Arial" w:eastAsia="Arial" w:hAnsi="Arial"/>
          <w:color w:val="1F2937"/>
          <w:sz w:val="22"/>
          <w:szCs w:val="22"/>
        </w:rPr>
        <w:t xml:space="preserve">A passing shadow evaluation automatically triggers a </w:t>
      </w:r>
      <w:r>
        <w:rPr>
          <w:rFonts w:ascii="Arial" w:cs="Arial" w:eastAsia="Arial" w:hAnsi="Arial"/>
          <w:b/>
          <w:bCs/>
          <w:color w:val="1F2937"/>
          <w:sz w:val="22"/>
          <w:szCs w:val="22"/>
        </w:rPr>
        <w:t xml:space="preserve">Canary Release</w:t>
      </w:r>
      <w:r>
        <w:rPr>
          <w:rFonts w:ascii="Arial" w:cs="Arial" w:eastAsia="Arial" w:hAnsi="Arial"/>
          <w:color w:val="1F2937"/>
          <w:sz w:val="22"/>
          <w:szCs w:val="22"/>
        </w:rPr>
        <w:t xml:space="preserve">, routing 10% of live traffic to the new model while 90% continues on the current champion. Traffic shifts gradually to 100% only if performance metrics remain stable.</w:t>
      </w:r>
    </w:p>
    <w:p>
      <w:pPr>
        <w:spacing w:after="0" w:before="60"/>
      </w:pPr>
      <w:r>
        <w:t xml:space="preserve"/>
      </w:r>
    </w:p>
    <w:p>
      <w:pPr>
        <w:pStyle w:val="ListParagraph"/>
        <w:numPr>
          <w:ilvl w:val="0"/>
          <w:numId w:val="2"/>
        </w:numPr>
        <w:spacing w:after="40" w:before="40"/>
      </w:pPr>
      <w:r>
        <w:rPr>
          <w:rFonts w:ascii="Arial" w:cs="Arial" w:eastAsia="Arial" w:hAnsi="Arial"/>
          <w:color w:val="1F2937"/>
          <w:sz w:val="22"/>
          <w:szCs w:val="22"/>
        </w:rPr>
        <w:t xml:space="preserve">Gradual rollout: 10% → 25% → 50% → 100%</w:t>
      </w:r>
    </w:p>
    <w:p>
      <w:pPr>
        <w:pStyle w:val="ListParagraph"/>
        <w:numPr>
          <w:ilvl w:val="0"/>
          <w:numId w:val="2"/>
        </w:numPr>
        <w:spacing w:after="40" w:before="40"/>
      </w:pPr>
      <w:r>
        <w:rPr>
          <w:rFonts w:ascii="Arial" w:cs="Arial" w:eastAsia="Arial" w:hAnsi="Arial"/>
          <w:color w:val="1F2937"/>
          <w:sz w:val="22"/>
          <w:szCs w:val="22"/>
        </w:rPr>
        <w:t xml:space="preserve">Each traffic step monitored against Under-Estimation Rate thresholds</w:t>
      </w:r>
    </w:p>
    <w:p>
      <w:pPr>
        <w:pStyle w:val="ListParagraph"/>
        <w:numPr>
          <w:ilvl w:val="0"/>
          <w:numId w:val="2"/>
        </w:numPr>
        <w:spacing w:after="40" w:before="40"/>
      </w:pPr>
      <w:r>
        <w:rPr>
          <w:rFonts w:ascii="Arial" w:cs="Arial" w:eastAsia="Arial" w:hAnsi="Arial"/>
          <w:color w:val="1F2937"/>
          <w:sz w:val="22"/>
          <w:szCs w:val="22"/>
        </w:rPr>
        <w:t xml:space="preserve">Automatic rollback if metrics degrade at any step</w:t>
      </w:r>
    </w:p>
    <w:p>
      <w:pPr>
        <w:spacing w:after="0" w:before="80"/>
      </w:pPr>
      <w:r>
        <w:t xml:space="preserve"/>
      </w:r>
    </w:p>
    <w:p>
      <w:pPr>
        <w:pStyle w:val="Heading3"/>
        <w:spacing w:after="80" w:before="200"/>
      </w:pPr>
      <w:r>
        <w:rPr>
          <w:rFonts w:ascii="Arial" w:cs="Arial" w:eastAsia="Arial" w:hAnsi="Arial"/>
          <w:b/>
          <w:bCs/>
          <w:color w:val="1F2937"/>
          <w:sz w:val="22"/>
          <w:szCs w:val="22"/>
        </w:rPr>
        <w:t xml:space="preserve">Step 3 — Production Scale (KServe + Triton + GKE Autopilot)</w:t>
      </w:r>
    </w:p>
    <w:p>
      <w:pPr>
        <w:spacing w:after="80" w:before="80"/>
      </w:pPr>
      <w:r>
        <w:rPr>
          <w:rFonts w:ascii="Arial" w:cs="Arial" w:eastAsia="Arial" w:hAnsi="Arial"/>
          <w:color w:val="1F2937"/>
          <w:sz w:val="22"/>
          <w:szCs w:val="22"/>
        </w:rPr>
        <w:t xml:space="preserve">For high-volume clinic deployments, the inference service migrates from a single Docker container to </w:t>
      </w:r>
      <w:r>
        <w:rPr>
          <w:rFonts w:ascii="Arial" w:cs="Arial" w:eastAsia="Arial" w:hAnsi="Arial"/>
          <w:b/>
          <w:bCs/>
          <w:color w:val="1F2937"/>
          <w:sz w:val="22"/>
          <w:szCs w:val="22"/>
        </w:rPr>
        <w:t xml:space="preserve">KServe + Triton Inference Server</w:t>
      </w:r>
      <w:r>
        <w:rPr>
          <w:rFonts w:ascii="Arial" w:cs="Arial" w:eastAsia="Arial" w:hAnsi="Arial"/>
          <w:color w:val="1F2937"/>
          <w:sz w:val="22"/>
          <w:szCs w:val="22"/>
        </w:rPr>
        <w:t xml:space="preserve"> on </w:t>
      </w:r>
      <w:r>
        <w:rPr>
          <w:rFonts w:ascii="Arial" w:cs="Arial" w:eastAsia="Arial" w:hAnsi="Arial"/>
          <w:b/>
          <w:bCs/>
          <w:color w:val="1F2937"/>
          <w:sz w:val="22"/>
          <w:szCs w:val="22"/>
        </w:rPr>
        <w:t xml:space="preserve">GKE Autopilot</w:t>
      </w:r>
      <w:r>
        <w:rPr>
          <w:rFonts w:ascii="Arial" w:cs="Arial" w:eastAsia="Arial" w:hAnsi="Arial"/>
          <w:color w:val="1F2937"/>
          <w:sz w:val="22"/>
          <w:szCs w:val="22"/>
        </w:rPr>
        <w:t xml:space="preserve"> with Horizontal and Vertical Pod Autoscaling (HPA/VPA). This eliminates manual capacity planning.</w:t>
      </w:r>
    </w:p>
    <w:p>
      <w:pPr>
        <w:spacing w:after="0" w:before="60"/>
      </w:pPr>
      <w:r>
        <w:t xml:space="preserve"/>
      </w:r>
    </w:p>
    <w:p>
      <w:pPr>
        <w:pStyle w:val="ListParagraph"/>
        <w:numPr>
          <w:ilvl w:val="0"/>
          <w:numId w:val="2"/>
        </w:numPr>
        <w:spacing w:after="40" w:before="40"/>
      </w:pPr>
      <w:r>
        <w:rPr>
          <w:rFonts w:ascii="Arial" w:cs="Arial" w:eastAsia="Arial" w:hAnsi="Arial"/>
          <w:color w:val="1F2937"/>
          <w:sz w:val="22"/>
          <w:szCs w:val="22"/>
        </w:rPr>
        <w:t xml:space="preserve">HPA: scales inference replicas based on RPS</w:t>
      </w:r>
    </w:p>
    <w:p>
      <w:pPr>
        <w:pStyle w:val="ListParagraph"/>
        <w:numPr>
          <w:ilvl w:val="0"/>
          <w:numId w:val="2"/>
        </w:numPr>
        <w:spacing w:after="40" w:before="40"/>
      </w:pPr>
      <w:r>
        <w:rPr>
          <w:rFonts w:ascii="Arial" w:cs="Arial" w:eastAsia="Arial" w:hAnsi="Arial"/>
          <w:color w:val="1F2937"/>
          <w:sz w:val="22"/>
          <w:szCs w:val="22"/>
        </w:rPr>
        <w:t xml:space="preserve">VPA: adjusts CPU/memory allocation per pod based on utilization</w:t>
      </w:r>
    </w:p>
    <w:p>
      <w:pPr>
        <w:pStyle w:val="ListParagraph"/>
        <w:numPr>
          <w:ilvl w:val="0"/>
          <w:numId w:val="2"/>
        </w:numPr>
        <w:spacing w:after="40" w:before="40"/>
      </w:pPr>
      <w:r>
        <w:rPr>
          <w:rFonts w:ascii="Arial" w:cs="Arial" w:eastAsia="Arial" w:hAnsi="Arial"/>
          <w:color w:val="1F2937"/>
          <w:sz w:val="22"/>
          <w:szCs w:val="22"/>
        </w:rPr>
        <w:t xml:space="preserve">GKE Autopilot: manages node provisioning automatically</w:t>
      </w:r>
    </w:p>
    <w:p>
      <w:pPr>
        <w:spacing w:after="0" w:before="100"/>
      </w:pPr>
      <w:r>
        <w:t xml:space="preserve"/>
      </w:r>
    </w:p>
    <w:p>
      <w:pPr>
        <w:pStyle w:val="Heading2"/>
        <w:spacing w:after="120" w:before="260"/>
      </w:pPr>
      <w:r>
        <w:rPr>
          <w:rFonts w:ascii="Arial" w:cs="Arial" w:eastAsia="Arial" w:hAnsi="Arial"/>
          <w:b/>
          <w:bCs/>
          <w:color w:val="457B9D"/>
          <w:sz w:val="26"/>
          <w:szCs w:val="26"/>
        </w:rPr>
        <w:t xml:space="preserve">4.3  Current vs. Future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3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(v1)</w:t>
            </w:r>
          </w:p>
        </w:tc>
        <w:tc>
          <w:tcPr>
            <w:tcW w:type="dxa" w:w="33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Future (Target)</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Deployment Trigger</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Manual model swap</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Automated (post-shadow pass)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Traffic Safety</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None — full traffic immediately</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Shadow → 10% Canary → gradual rollout</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Rollback Speed</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Manual container restart</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Automatic (KServe traffic routing)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Scalability</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Single Docker container</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GKE Autopilot with HPA/VPA</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Model Format</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Joblib (.pkl)</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ONNX (Triton-compatible)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Drift Monitoring</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Not implemented</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PSI + MMD via Prometheus/Grafana</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Retraining</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Scheduled / manual</w:t>
            </w:r>
          </w:p>
        </w:tc>
        <w:tc>
          <w:tcPr>
            <w:tcW w:type="dxa" w:w="3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Automated trigger (drift/perf/event)</w:t>
            </w:r>
          </w:p>
        </w:tc>
      </w:tr>
    </w:tbl>
    <w:p>
      <w:pPr>
        <w:spacing w:after="0" w:before="120"/>
      </w:pPr>
      <w:r>
        <w:t xml:space="preserve"/>
      </w:r>
    </w:p>
    <w:p>
      <w:r>
        <w:br w:type="page"/>
      </w:r>
    </w:p>
    <w:p>
      <w:pPr>
        <w:pStyle w:val="Heading1"/>
        <w:spacing w:after="160" w:before="320"/>
      </w:pPr>
      <w:r>
        <w:rPr>
          <w:rFonts w:ascii="Arial" w:cs="Arial" w:eastAsia="Arial" w:hAnsi="Arial"/>
          <w:b/>
          <w:bCs/>
          <w:color w:val="1D3557"/>
          <w:sz w:val="32"/>
          <w:szCs w:val="32"/>
        </w:rPr>
        <w:t xml:space="preserve">5. Monitoring Architecture &amp; Retraining Strategy</w:t>
      </w:r>
    </w:p>
    <w:p>
      <w:pPr>
        <w:pBdr>
          <w:bottom w:val="single" w:color="457B9D" w:sz="6" w:space="1"/>
        </w:pBdr>
        <w:spacing w:after="160" w:before="160"/>
      </w:pPr>
      <w:r>
        <w:t xml:space="preserve"/>
      </w:r>
    </w:p>
    <w:p>
      <w:pPr>
        <w:pStyle w:val="Heading2"/>
        <w:spacing w:after="120" w:before="260"/>
      </w:pPr>
      <w:r>
        <w:rPr>
          <w:rFonts w:ascii="Arial" w:cs="Arial" w:eastAsia="Arial" w:hAnsi="Arial"/>
          <w:b/>
          <w:bCs/>
          <w:color w:val="457B9D"/>
          <w:sz w:val="26"/>
          <w:szCs w:val="26"/>
        </w:rPr>
        <w:t xml:space="preserve">5.1  Operational Metrics (Current — Automatic)</w:t>
      </w:r>
    </w:p>
    <w:p>
      <w:pPr>
        <w:spacing w:after="80" w:before="80"/>
      </w:pPr>
      <w:r>
        <w:rPr>
          <w:rFonts w:ascii="Arial" w:cs="Arial" w:eastAsia="Arial" w:hAnsi="Arial"/>
          <w:color w:val="1F2937"/>
          <w:sz w:val="22"/>
          <w:szCs w:val="22"/>
        </w:rPr>
        <w:t xml:space="preserve">Prometheus collects the following operational signals in real time from the FastAPI/Docker inference container:</w:t>
      </w:r>
    </w:p>
    <w:p>
      <w:pPr>
        <w:pStyle w:val="ListParagraph"/>
        <w:numPr>
          <w:ilvl w:val="0"/>
          <w:numId w:val="2"/>
        </w:numPr>
        <w:spacing w:after="40" w:before="40"/>
      </w:pPr>
      <w:r>
        <w:rPr>
          <w:rFonts w:ascii="Arial" w:cs="Arial" w:eastAsia="Arial" w:hAnsi="Arial"/>
          <w:color w:val="1F2937"/>
          <w:sz w:val="22"/>
          <w:szCs w:val="22"/>
        </w:rPr>
        <w:t xml:space="preserve">Inference latency (p50, p95, p99)</w:t>
      </w:r>
    </w:p>
    <w:p>
      <w:pPr>
        <w:pStyle w:val="ListParagraph"/>
        <w:numPr>
          <w:ilvl w:val="0"/>
          <w:numId w:val="2"/>
        </w:numPr>
        <w:spacing w:after="40" w:before="40"/>
      </w:pPr>
      <w:r>
        <w:rPr>
          <w:rFonts w:ascii="Arial" w:cs="Arial" w:eastAsia="Arial" w:hAnsi="Arial"/>
          <w:color w:val="1F2937"/>
          <w:sz w:val="22"/>
          <w:szCs w:val="22"/>
        </w:rPr>
        <w:t xml:space="preserve">Request throughput (RPS)</w:t>
      </w:r>
    </w:p>
    <w:p>
      <w:pPr>
        <w:pStyle w:val="ListParagraph"/>
        <w:numPr>
          <w:ilvl w:val="0"/>
          <w:numId w:val="2"/>
        </w:numPr>
        <w:spacing w:after="40" w:before="40"/>
      </w:pPr>
      <w:r>
        <w:rPr>
          <w:rFonts w:ascii="Arial" w:cs="Arial" w:eastAsia="Arial" w:hAnsi="Arial"/>
          <w:color w:val="1F2937"/>
          <w:sz w:val="22"/>
          <w:szCs w:val="22"/>
        </w:rPr>
        <w:t xml:space="preserve">API error rate</w:t>
      </w:r>
    </w:p>
    <w:p>
      <w:pPr>
        <w:pStyle w:val="ListParagraph"/>
        <w:numPr>
          <w:ilvl w:val="0"/>
          <w:numId w:val="2"/>
        </w:numPr>
        <w:spacing w:after="40" w:before="40"/>
      </w:pPr>
      <w:r>
        <w:rPr>
          <w:rFonts w:ascii="Arial" w:cs="Arial" w:eastAsia="Arial" w:hAnsi="Arial"/>
          <w:color w:val="1F2937"/>
          <w:sz w:val="22"/>
          <w:szCs w:val="22"/>
        </w:rPr>
        <w:t xml:space="preserve">CPU and memory utilization</w:t>
      </w:r>
    </w:p>
    <w:p>
      <w:pPr>
        <w:pStyle w:val="ListParagraph"/>
        <w:numPr>
          <w:ilvl w:val="0"/>
          <w:numId w:val="2"/>
        </w:numPr>
        <w:spacing w:after="40" w:before="40"/>
      </w:pPr>
      <w:r>
        <w:rPr>
          <w:rFonts w:ascii="Arial" w:cs="Arial" w:eastAsia="Arial" w:hAnsi="Arial"/>
          <w:color w:val="1F2937"/>
          <w:sz w:val="22"/>
          <w:szCs w:val="22"/>
        </w:rPr>
        <w:t xml:space="preserve">Model staleness indicator (days since last model promotion)</w:t>
      </w:r>
    </w:p>
    <w:p>
      <w:pPr>
        <w:spacing w:after="0" w:before="80"/>
      </w:pPr>
      <w:r>
        <w:t xml:space="preserve"/>
      </w:r>
    </w:p>
    <w:p>
      <w:pPr>
        <w:pStyle w:val="Heading2"/>
        <w:spacing w:after="120" w:before="260"/>
      </w:pPr>
      <w:r>
        <w:rPr>
          <w:rFonts w:ascii="Arial" w:cs="Arial" w:eastAsia="Arial" w:hAnsi="Arial"/>
          <w:b/>
          <w:bCs/>
          <w:color w:val="457B9D"/>
          <w:sz w:val="26"/>
          <w:szCs w:val="26"/>
        </w:rPr>
        <w:t xml:space="preserve">5.2  Performance Metrics (Semi-Auto — Weekly Airflow DAG)</w:t>
      </w:r>
    </w:p>
    <w:p>
      <w:pPr>
        <w:spacing w:after="80" w:before="80"/>
      </w:pPr>
      <w:r>
        <w:rPr>
          <w:rFonts w:ascii="Arial" w:cs="Arial" w:eastAsia="Arial" w:hAnsi="Arial"/>
          <w:color w:val="1F2937"/>
          <w:sz w:val="22"/>
          <w:szCs w:val="22"/>
        </w:rPr>
        <w:t xml:space="preserve">A weekly Airflow DAG performs a </w:t>
      </w:r>
      <w:r>
        <w:rPr>
          <w:rFonts w:ascii="Arial" w:cs="Arial" w:eastAsia="Arial" w:hAnsi="Arial"/>
          <w:b/>
          <w:bCs/>
          <w:color w:val="1F2937"/>
          <w:sz w:val="22"/>
          <w:szCs w:val="22"/>
        </w:rPr>
        <w:t xml:space="preserve">JOIN</w:t>
      </w:r>
      <w:r>
        <w:rPr>
          <w:rFonts w:ascii="Arial" w:cs="Arial" w:eastAsia="Arial" w:hAnsi="Arial"/>
          <w:color w:val="1F2937"/>
          <w:sz w:val="22"/>
          <w:szCs w:val="22"/>
        </w:rPr>
        <w:t xml:space="preserve"> between the prediction log (appointment_id + predicted_slot) and CMS actuals (receipt_time - check_in_time) to compute ground-truth performance metrics. Results are pushed as </w:t>
      </w:r>
      <w:r>
        <w:rPr>
          <w:rFonts w:ascii="Arial" w:cs="Arial" w:eastAsia="Arial" w:hAnsi="Arial"/>
          <w:b/>
          <w:bCs/>
          <w:color w:val="1F2937"/>
          <w:sz w:val="22"/>
          <w:szCs w:val="22"/>
        </w:rPr>
        <w:t xml:space="preserve">Prometheus gauges</w:t>
      </w:r>
      <w:r>
        <w:rPr>
          <w:rFonts w:ascii="Arial" w:cs="Arial" w:eastAsia="Arial" w:hAnsi="Arial"/>
          <w:color w:val="1F2937"/>
          <w:sz w:val="22"/>
          <w:szCs w:val="22"/>
        </w:rPr>
        <w:t xml:space="preserve">, enabling Grafana alerting when Macro F1 or Under-Estimation Rate degrades below threshold.</w:t>
      </w:r>
    </w:p>
    <w:p>
      <w:pPr>
        <w:spacing w:after="0" w:before="80"/>
      </w:pPr>
      <w:r>
        <w:t xml:space="preserve"/>
      </w:r>
    </w:p>
    <w:p>
      <w:pPr>
        <w:pStyle w:val="Heading2"/>
        <w:spacing w:after="120" w:before="260"/>
      </w:pPr>
      <w:r>
        <w:rPr>
          <w:rFonts w:ascii="Arial" w:cs="Arial" w:eastAsia="Arial" w:hAnsi="Arial"/>
          <w:b/>
          <w:bCs/>
          <w:color w:val="457B9D"/>
          <w:sz w:val="26"/>
          <w:szCs w:val="26"/>
        </w:rPr>
        <w:t xml:space="preserve">5.3  Drift Detection (Future)</w:t>
      </w:r>
    </w:p>
    <w:p>
      <w:pPr>
        <w:spacing w:after="80" w:before="80"/>
      </w:pPr>
      <w:r>
        <w:rPr>
          <w:rFonts w:ascii="Arial" w:cs="Arial" w:eastAsia="Arial" w:hAnsi="Arial"/>
          <w:color w:val="1F2937"/>
          <w:sz w:val="22"/>
          <w:szCs w:val="22"/>
        </w:rPr>
        <w:t xml:space="preserve">Two drift detection strategies are planned: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240"/>
        <w:gridCol w:w="2240"/>
      </w:tblGrid>
      <w:tr>
        <w:tc>
          <w:tcPr>
            <w:tcW w:type="dxa" w:w="24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Detects</w:t>
            </w:r>
          </w:p>
        </w:tc>
        <w:tc>
          <w:tcPr>
            <w:tcW w:type="dxa" w:w="224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224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Window</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PSI (Pop. Stability Index)</w:t>
            </w:r>
          </w:p>
        </w:tc>
        <w:tc>
          <w:tcPr>
            <w:tcW w:type="dxa" w:w="24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Feature distribution shift</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&gt; 0.25</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Rolling 7-day + monthly cumulative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MMD (Maximum Mean Discrepancy)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Multivariate drift across all features</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Configurable</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Monthly batch</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Output Distribution Shift</w:t>
            </w:r>
          </w:p>
        </w:tc>
        <w:tc>
          <w:tcPr>
            <w:tcW w:type="dxa" w:w="24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Class proportion change (15–90 min)</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Statistical test</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Weekly</w:t>
            </w:r>
          </w:p>
        </w:tc>
      </w:tr>
    </w:tbl>
    <w:p>
      <w:pPr>
        <w:spacing w:after="0" w:before="80"/>
      </w:pPr>
      <w:r>
        <w:t xml:space="preserve"/>
      </w:r>
    </w:p>
    <w:p>
      <w:pPr>
        <w:pStyle w:val="Heading2"/>
        <w:spacing w:after="120" w:before="260"/>
      </w:pPr>
      <w:r>
        <w:rPr>
          <w:rFonts w:ascii="Arial" w:cs="Arial" w:eastAsia="Arial" w:hAnsi="Arial"/>
          <w:b/>
          <w:bCs/>
          <w:color w:val="457B9D"/>
          <w:sz w:val="26"/>
          <w:szCs w:val="26"/>
        </w:rPr>
        <w:t xml:space="preserve">5.4  Retraining Triggers (Future)</w:t>
      </w:r>
    </w:p>
    <w:p>
      <w:pPr>
        <w:spacing w:after="80" w:before="80"/>
      </w:pPr>
      <w:r>
        <w:rPr>
          <w:rFonts w:ascii="Arial" w:cs="Arial" w:eastAsia="Arial" w:hAnsi="Arial"/>
          <w:color w:val="1F2937"/>
          <w:sz w:val="22"/>
          <w:szCs w:val="22"/>
        </w:rPr>
        <w:t xml:space="preserve">The automated Retrain Trigger evaluates four signal types:</w:t>
      </w:r>
    </w:p>
    <w:p>
      <w:pPr>
        <w:pStyle w:val="ListParagraph"/>
        <w:numPr>
          <w:ilvl w:val="0"/>
          <w:numId w:val="2"/>
        </w:numPr>
        <w:spacing w:after="40" w:before="40"/>
      </w:pPr>
      <w:r>
        <w:rPr>
          <w:rFonts w:ascii="Arial" w:cs="Arial" w:eastAsia="Arial" w:hAnsi="Arial"/>
          <w:color w:val="1F2937"/>
          <w:sz w:val="22"/>
          <w:szCs w:val="22"/>
        </w:rPr>
        <w:t xml:space="preserve">Time-based: Scheduled retraining regardless of performance (e.g., monthly)</w:t>
      </w:r>
    </w:p>
    <w:p>
      <w:pPr>
        <w:pStyle w:val="ListParagraph"/>
        <w:numPr>
          <w:ilvl w:val="0"/>
          <w:numId w:val="2"/>
        </w:numPr>
        <w:spacing w:after="40" w:before="40"/>
      </w:pPr>
      <w:r>
        <w:rPr>
          <w:rFonts w:ascii="Arial" w:cs="Arial" w:eastAsia="Arial" w:hAnsi="Arial"/>
          <w:color w:val="1F2937"/>
          <w:sz w:val="22"/>
          <w:szCs w:val="22"/>
        </w:rPr>
        <w:t xml:space="preserve">Performance-based: Macro F1 or Under-Estimation Rate falls below baseline threshold</w:t>
      </w:r>
    </w:p>
    <w:p>
      <w:pPr>
        <w:pStyle w:val="ListParagraph"/>
        <w:numPr>
          <w:ilvl w:val="0"/>
          <w:numId w:val="2"/>
        </w:numPr>
        <w:spacing w:after="40" w:before="40"/>
      </w:pPr>
      <w:r>
        <w:rPr>
          <w:rFonts w:ascii="Arial" w:cs="Arial" w:eastAsia="Arial" w:hAnsi="Arial"/>
          <w:color w:val="1F2937"/>
          <w:sz w:val="22"/>
          <w:szCs w:val="22"/>
        </w:rPr>
        <w:t xml:space="preserve">Drift-based: PSI or MMD exceeds the configured threshold</w:t>
      </w:r>
    </w:p>
    <w:p>
      <w:pPr>
        <w:pStyle w:val="ListParagraph"/>
        <w:numPr>
          <w:ilvl w:val="0"/>
          <w:numId w:val="2"/>
        </w:numPr>
        <w:spacing w:after="40" w:before="40"/>
      </w:pPr>
      <w:r>
        <w:rPr>
          <w:rFonts w:ascii="Arial" w:cs="Arial" w:eastAsia="Arial" w:hAnsi="Arial"/>
          <w:color w:val="1F2937"/>
          <w:sz w:val="22"/>
          <w:szCs w:val="22"/>
        </w:rPr>
        <w:t xml:space="preserve">Event-based: Clinic adds a new procedure type, or a major CMS schema change occurs</w:t>
      </w:r>
    </w:p>
    <w:p>
      <w:pPr>
        <w:spacing w:after="0" w:before="60"/>
      </w:pPr>
      <w:r>
        <w:t xml:space="preserve"/>
      </w:r>
    </w:p>
    <w:p>
      <w:pPr>
        <w:spacing w:after="80" w:before="80"/>
      </w:pPr>
      <w:r>
        <w:rPr>
          <w:rFonts w:ascii="Arial" w:cs="Arial" w:eastAsia="Arial" w:hAnsi="Arial"/>
          <w:color w:val="1F2937"/>
          <w:sz w:val="22"/>
          <w:szCs w:val="22"/>
        </w:rPr>
        <w:t xml:space="preserve">Early Warning Signals (user override frequency, doctor complaints, patient wait anomalies) feed as indirect soft signals into the retrain decision, but do not trigger retraining automatically.</w:t>
      </w:r>
    </w:p>
    <w:p>
      <w:pPr>
        <w:spacing w:after="0" w:before="120"/>
      </w:pPr>
      <w:r>
        <w:t xml:space="preserve"/>
      </w:r>
    </w:p>
    <w:p>
      <w:r>
        <w:br w:type="page"/>
      </w:r>
    </w:p>
    <w:p>
      <w:pPr>
        <w:pStyle w:val="Heading1"/>
        <w:spacing w:after="160" w:before="320"/>
      </w:pPr>
      <w:r>
        <w:rPr>
          <w:rFonts w:ascii="Arial" w:cs="Arial" w:eastAsia="Arial" w:hAnsi="Arial"/>
          <w:b/>
          <w:bCs/>
          <w:color w:val="1D3557"/>
          <w:sz w:val="32"/>
          <w:szCs w:val="32"/>
        </w:rPr>
        <w:t xml:space="preserve">6. Why This Deployment Model?</w:t>
      </w:r>
    </w:p>
    <w:p>
      <w:pPr>
        <w:pBdr>
          <w:bottom w:val="single" w:color="457B9D" w:sz="6" w:space="1"/>
        </w:pBdr>
        <w:spacing w:after="160" w:before="160"/>
      </w:pPr>
      <w:r>
        <w:t xml:space="preserve"/>
      </w:r>
    </w:p>
    <w:p>
      <w:pPr>
        <w:spacing w:after="80" w:before="80"/>
      </w:pPr>
      <w:r>
        <w:rPr>
          <w:rFonts w:ascii="Arial" w:cs="Arial" w:eastAsia="Arial" w:hAnsi="Arial"/>
          <w:color w:val="1F2937"/>
          <w:sz w:val="22"/>
          <w:szCs w:val="22"/>
        </w:rPr>
        <w:t xml:space="preserve">This section explains the key architectural decisions and the trade-offs considered.</w:t>
      </w:r>
    </w:p>
    <w:p>
      <w:pPr>
        <w:spacing w:after="0" w:before="80"/>
      </w:pPr>
      <w:r>
        <w:t xml:space="preserve"/>
      </w:r>
    </w:p>
    <w:p>
      <w:pPr>
        <w:pStyle w:val="Heading2"/>
        <w:spacing w:after="120" w:before="260"/>
      </w:pPr>
      <w:r>
        <w:rPr>
          <w:rFonts w:ascii="Arial" w:cs="Arial" w:eastAsia="Arial" w:hAnsi="Arial"/>
          <w:b/>
          <w:bCs/>
          <w:color w:val="457B9D"/>
          <w:sz w:val="26"/>
          <w:szCs w:val="26"/>
        </w:rPr>
        <w:t xml:space="preserve">6.1  Batch Retraining over Online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Batch Retraining (Chosen)</w:t>
            </w:r>
          </w:p>
        </w:tc>
        <w:tc>
          <w:tcPr>
            <w:tcW w:type="dxa" w:w="46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Online Learning (Not Chosen)</w:t>
            </w:r>
          </w:p>
        </w:tc>
      </w:tr>
      <w:tr>
        <w:tc>
          <w:tcPr>
            <w:tcW w:type="dxa" w:w="468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Stable, reproducible training with full historical context</w:t>
            </w:r>
          </w:p>
        </w:tc>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Continuously updates on each new appointment</w:t>
            </w:r>
          </w:p>
        </w:tc>
      </w:tr>
      <w:tr>
        <w:tc>
          <w:tcPr>
            <w:tcW w:type="dxa" w:w="468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Easy to audit, debug, and roll back</w:t>
            </w:r>
          </w:p>
        </w:tc>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Difficult to reproduce a specific model state</w:t>
            </w:r>
          </w:p>
        </w:tc>
      </w:tr>
      <w:tr>
        <w:tc>
          <w:tcPr>
            <w:tcW w:type="dxa" w:w="468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Appropriate for low-velocity dental scheduling data</w:t>
            </w:r>
          </w:p>
        </w:tc>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Better for high-velocity streaming data</w:t>
            </w:r>
          </w:p>
        </w:tc>
      </w:tr>
      <w:tr>
        <w:tc>
          <w:tcPr>
            <w:tcW w:type="dxa" w:w="468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Aligned with clinic's monthly operational cycles</w:t>
            </w:r>
          </w:p>
        </w:tc>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Adds engineering complexity without clear benefit here</w:t>
            </w:r>
          </w:p>
        </w:tc>
      </w:tr>
    </w:tbl>
    <w:p>
      <w:pPr>
        <w:spacing w:after="0" w:before="80"/>
      </w:pPr>
      <w:r>
        <w:t xml:space="preserve"/>
      </w:r>
    </w:p>
    <w:p>
      <w:pPr>
        <w:pStyle w:val="Heading2"/>
        <w:spacing w:after="120" w:before="260"/>
      </w:pPr>
      <w:r>
        <w:rPr>
          <w:rFonts w:ascii="Arial" w:cs="Arial" w:eastAsia="Arial" w:hAnsi="Arial"/>
          <w:b/>
          <w:bCs/>
          <w:color w:val="457B9D"/>
          <w:sz w:val="26"/>
          <w:szCs w:val="26"/>
        </w:rPr>
        <w:t xml:space="preserve">6.2  XGBoost over Deep Learning</w:t>
      </w:r>
    </w:p>
    <w:p>
      <w:pPr>
        <w:pStyle w:val="ListParagraph"/>
        <w:numPr>
          <w:ilvl w:val="0"/>
          <w:numId w:val="2"/>
        </w:numPr>
        <w:spacing w:after="40" w:before="40"/>
      </w:pPr>
      <w:r>
        <w:rPr>
          <w:rFonts w:ascii="Arial" w:cs="Arial" w:eastAsia="Arial" w:hAnsi="Arial"/>
          <w:color w:val="1F2937"/>
          <w:sz w:val="22"/>
          <w:szCs w:val="22"/>
        </w:rPr>
        <w:t xml:space="preserve">Dental scheduling data is tabular and structured — tree-based models consistently outperform neural networks on tabular data</w:t>
      </w:r>
    </w:p>
    <w:p>
      <w:pPr>
        <w:pStyle w:val="ListParagraph"/>
        <w:numPr>
          <w:ilvl w:val="0"/>
          <w:numId w:val="2"/>
        </w:numPr>
        <w:spacing w:after="40" w:before="40"/>
      </w:pPr>
      <w:r>
        <w:rPr>
          <w:rFonts w:ascii="Arial" w:cs="Arial" w:eastAsia="Arial" w:hAnsi="Arial"/>
          <w:color w:val="1F2937"/>
          <w:sz w:val="22"/>
          <w:szCs w:val="22"/>
        </w:rPr>
        <w:t xml:space="preserve">Interpretable feature importance supports trust-building with clinical staff</w:t>
      </w:r>
    </w:p>
    <w:p>
      <w:pPr>
        <w:pStyle w:val="ListParagraph"/>
        <w:numPr>
          <w:ilvl w:val="0"/>
          <w:numId w:val="2"/>
        </w:numPr>
        <w:spacing w:after="40" w:before="40"/>
      </w:pPr>
      <w:r>
        <w:rPr>
          <w:rFonts w:ascii="Arial" w:cs="Arial" w:eastAsia="Arial" w:hAnsi="Arial"/>
          <w:color w:val="1F2937"/>
          <w:sz w:val="22"/>
          <w:szCs w:val="22"/>
        </w:rPr>
        <w:t xml:space="preserve">Faster training and inference — no GPU required, reducing infrastructure cost</w:t>
      </w:r>
    </w:p>
    <w:p>
      <w:pPr>
        <w:pStyle w:val="ListParagraph"/>
        <w:numPr>
          <w:ilvl w:val="0"/>
          <w:numId w:val="2"/>
        </w:numPr>
        <w:spacing w:after="40" w:before="40"/>
      </w:pPr>
      <w:r>
        <w:rPr>
          <w:rFonts w:ascii="Arial" w:cs="Arial" w:eastAsia="Arial" w:hAnsi="Arial"/>
          <w:color w:val="1F2937"/>
          <w:sz w:val="22"/>
          <w:szCs w:val="22"/>
        </w:rPr>
        <w:t xml:space="preserve">Class-weight support natively handles imbalanced treatment duration distribution</w:t>
      </w:r>
    </w:p>
    <w:p>
      <w:pPr>
        <w:spacing w:after="0" w:before="80"/>
      </w:pPr>
      <w:r>
        <w:t xml:space="preserve"/>
      </w:r>
    </w:p>
    <w:p>
      <w:pPr>
        <w:pStyle w:val="Heading2"/>
        <w:spacing w:after="120" w:before="260"/>
      </w:pPr>
      <w:r>
        <w:rPr>
          <w:rFonts w:ascii="Arial" w:cs="Arial" w:eastAsia="Arial" w:hAnsi="Arial"/>
          <w:b/>
          <w:bCs/>
          <w:color w:val="457B9D"/>
          <w:sz w:val="26"/>
          <w:szCs w:val="26"/>
        </w:rPr>
        <w:t xml:space="preserve">6.3  Chronological Split over Random Split</w:t>
      </w:r>
    </w:p>
    <w:p>
      <w:pPr>
        <w:pStyle w:val="ListParagraph"/>
        <w:numPr>
          <w:ilvl w:val="0"/>
          <w:numId w:val="2"/>
        </w:numPr>
        <w:spacing w:after="40" w:before="40"/>
      </w:pPr>
      <w:r>
        <w:rPr>
          <w:rFonts w:ascii="Arial" w:cs="Arial" w:eastAsia="Arial" w:hAnsi="Arial"/>
          <w:color w:val="1F2937"/>
          <w:sz w:val="22"/>
          <w:szCs w:val="22"/>
        </w:rPr>
        <w:t xml:space="preserve">Random splits would allow future data to leak into training, inflating metrics</w:t>
      </w:r>
    </w:p>
    <w:p>
      <w:pPr>
        <w:pStyle w:val="ListParagraph"/>
        <w:numPr>
          <w:ilvl w:val="0"/>
          <w:numId w:val="2"/>
        </w:numPr>
        <w:spacing w:after="40" w:before="40"/>
      </w:pPr>
      <w:r>
        <w:rPr>
          <w:rFonts w:ascii="Arial" w:cs="Arial" w:eastAsia="Arial" w:hAnsi="Arial"/>
          <w:color w:val="1F2937"/>
          <w:sz w:val="22"/>
          <w:szCs w:val="22"/>
        </w:rPr>
        <w:t xml:space="preserve">Dental procedures have temporal patterns (seasonal, equipment-driven, post-COVID shifts)</w:t>
      </w:r>
    </w:p>
    <w:p>
      <w:pPr>
        <w:pStyle w:val="ListParagraph"/>
        <w:numPr>
          <w:ilvl w:val="0"/>
          <w:numId w:val="2"/>
        </w:numPr>
        <w:spacing w:after="40" w:before="40"/>
      </w:pPr>
      <w:r>
        <w:rPr>
          <w:rFonts w:ascii="Arial" w:cs="Arial" w:eastAsia="Arial" w:hAnsi="Arial"/>
          <w:color w:val="1F2937"/>
          <w:sz w:val="22"/>
          <w:szCs w:val="22"/>
        </w:rPr>
        <w:t xml:space="preserve">Test set = most recent 12th month is the strongest proxy for real-world deployment performance</w:t>
      </w:r>
    </w:p>
    <w:p>
      <w:pPr>
        <w:spacing w:after="0" w:before="80"/>
      </w:pPr>
      <w:r>
        <w:t xml:space="preserve"/>
      </w:r>
    </w:p>
    <w:p>
      <w:pPr>
        <w:pStyle w:val="Heading2"/>
        <w:spacing w:after="120" w:before="260"/>
      </w:pPr>
      <w:r>
        <w:rPr>
          <w:rFonts w:ascii="Arial" w:cs="Arial" w:eastAsia="Arial" w:hAnsi="Arial"/>
          <w:b/>
          <w:bCs/>
          <w:color w:val="457B9D"/>
          <w:sz w:val="26"/>
          <w:szCs w:val="26"/>
        </w:rPr>
        <w:t xml:space="preserve">6.4  PDPA Compliance by Design</w:t>
      </w:r>
    </w:p>
    <w:p>
      <w:pPr>
        <w:pStyle w:val="ListParagraph"/>
        <w:numPr>
          <w:ilvl w:val="0"/>
          <w:numId w:val="2"/>
        </w:numPr>
        <w:spacing w:after="40" w:before="40"/>
      </w:pPr>
      <w:r>
        <w:rPr>
          <w:rFonts w:ascii="Arial" w:cs="Arial" w:eastAsia="Arial" w:hAnsi="Arial"/>
          <w:color w:val="1F2937"/>
          <w:sz w:val="22"/>
          <w:szCs w:val="22"/>
        </w:rPr>
        <w:t xml:space="preserve">Doctor license numbers are SHA-256 hashed in the first Airflow step, before any downstream processing</w:t>
      </w:r>
    </w:p>
    <w:p>
      <w:pPr>
        <w:pStyle w:val="ListParagraph"/>
        <w:numPr>
          <w:ilvl w:val="0"/>
          <w:numId w:val="2"/>
        </w:numPr>
        <w:spacing w:after="40" w:before="40"/>
      </w:pPr>
      <w:r>
        <w:rPr>
          <w:rFonts w:ascii="Arial" w:cs="Arial" w:eastAsia="Arial" w:hAnsi="Arial"/>
          <w:color w:val="1F2937"/>
          <w:sz w:val="22"/>
          <w:szCs w:val="22"/>
        </w:rPr>
        <w:t xml:space="preserve">No raw personally identifiable information (PII) leaves the anonymization step</w:t>
      </w:r>
    </w:p>
    <w:p>
      <w:pPr>
        <w:pStyle w:val="ListParagraph"/>
        <w:numPr>
          <w:ilvl w:val="0"/>
          <w:numId w:val="2"/>
        </w:numPr>
        <w:spacing w:after="40" w:before="40"/>
      </w:pPr>
      <w:r>
        <w:rPr>
          <w:rFonts w:ascii="Arial" w:cs="Arial" w:eastAsia="Arial" w:hAnsi="Arial"/>
          <w:color w:val="1F2937"/>
          <w:sz w:val="22"/>
          <w:szCs w:val="22"/>
        </w:rPr>
        <w:t xml:space="preserve">Cold-start problem (new doctors without history) is solved via Global Median fallback — not by leaking unseen doctor identities</w:t>
      </w:r>
    </w:p>
    <w:p>
      <w:pPr>
        <w:spacing w:after="0" w:before="80"/>
      </w:pPr>
      <w:r>
        <w:t xml:space="preserve"/>
      </w:r>
    </w:p>
    <w:p>
      <w:pPr>
        <w:pStyle w:val="Heading2"/>
        <w:spacing w:after="120" w:before="260"/>
      </w:pPr>
      <w:r>
        <w:rPr>
          <w:rFonts w:ascii="Arial" w:cs="Arial" w:eastAsia="Arial" w:hAnsi="Arial"/>
          <w:b/>
          <w:bCs/>
          <w:color w:val="457B9D"/>
          <w:sz w:val="26"/>
          <w:szCs w:val="26"/>
        </w:rPr>
        <w:t xml:space="preserve">6.5  Decision Support, Not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1"/>
              <w:left w:val="single" w:color="C05621" w:sz="12"/>
              <w:bottom w:val="single" w:color="C05621" w:sz="1"/>
              <w:right w:val="single" w:color="C05621" w:sz="1"/>
            </w:tcBorders>
            <w:shd w:fill="FFFBEB" w:val="clear"/>
            <w:tcMar>
              <w:top w:type="dxa" w:w="120"/>
              <w:left w:type="dxa" w:w="200"/>
              <w:bottom w:type="dxa" w:w="120"/>
              <w:right w:type="dxa" w:w="160"/>
            </w:tcMar>
          </w:tcPr>
          <w:p>
            <w:pPr>
              <w:spacing w:after="80" w:before="40"/>
            </w:pPr>
            <w:r>
              <w:rPr>
                <w:rFonts w:ascii="Arial" w:cs="Arial" w:eastAsia="Arial" w:hAnsi="Arial"/>
                <w:b/>
                <w:bCs/>
                <w:color w:val="C05621"/>
                <w:sz w:val="22"/>
                <w:szCs w:val="22"/>
              </w:rPr>
              <w:t xml:space="preserve">Responsible AI Positioning</w:t>
            </w:r>
          </w:p>
          <w:p>
            <w:pPr>
              <w:spacing w:after="40" w:before="0"/>
            </w:pPr>
            <w:r>
              <w:rPr>
                <w:rFonts w:ascii="Arial" w:cs="Arial" w:eastAsia="Arial" w:hAnsi="Arial"/>
                <w:color w:val="1F2937"/>
                <w:sz w:val="20"/>
                <w:szCs w:val="20"/>
              </w:rPr>
              <w:t xml:space="preserve">DentTime is explicitly positioned as a decision-support tool — it suggests a time window to clinic staff, who retain full authority over the final scheduling decision. This framing is critical for clinical acceptance, PDPA compliance, and liability management. The system limitation is documented: the model does not account for emergency cases, equipment failures, or doctor-specific factors not captured in structured features.</w:t>
            </w:r>
          </w:p>
        </w:tc>
      </w:tr>
    </w:tbl>
    <w:p>
      <w:pPr>
        <w:spacing w:after="0" w:before="120"/>
      </w:pPr>
      <w:r>
        <w:t xml:space="preserve"/>
      </w:r>
    </w:p>
    <w:p>
      <w:r>
        <w:br w:type="page"/>
      </w:r>
    </w:p>
    <w:p>
      <w:pPr>
        <w:pStyle w:val="Heading1"/>
        <w:spacing w:after="160" w:before="320"/>
      </w:pPr>
      <w:r>
        <w:rPr>
          <w:rFonts w:ascii="Arial" w:cs="Arial" w:eastAsia="Arial" w:hAnsi="Arial"/>
          <w:b/>
          <w:bCs/>
          <w:color w:val="1D3557"/>
          <w:sz w:val="32"/>
          <w:szCs w:val="32"/>
        </w:rPr>
        <w:t xml:space="preserve">7. Future Optimization Roadmap</w:t>
      </w:r>
    </w:p>
    <w:p>
      <w:pPr>
        <w:pBdr>
          <w:bottom w:val="single" w:color="457B9D" w:sz="6" w:space="1"/>
        </w:pBdr>
        <w:spacing w:after="160" w:before="160"/>
      </w:pPr>
      <w:r>
        <w:t xml:space="preserve"/>
      </w:r>
    </w:p>
    <w:p>
      <w:pPr>
        <w:spacing w:after="80" w:before="80"/>
      </w:pPr>
      <w:r>
        <w:rPr>
          <w:rFonts w:ascii="Arial" w:cs="Arial" w:eastAsia="Arial" w:hAnsi="Arial"/>
          <w:color w:val="1F2937"/>
          <w:sz w:val="22"/>
          <w:szCs w:val="22"/>
        </w:rPr>
        <w:t xml:space="preserve">The following prioritized roadmap describes the optimization steps from the current v1 state toward the target MLOps maturity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60"/>
        <w:gridCol w:w="2300"/>
        <w:gridCol w:w="1900"/>
        <w:gridCol w:w="1500"/>
      </w:tblGrid>
      <w:tr>
        <w:tc>
          <w:tcPr>
            <w:tcW w:type="dxa" w:w="5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w:t>
            </w:r>
          </w:p>
        </w:tc>
        <w:tc>
          <w:tcPr>
            <w:tcW w:type="dxa" w:w="316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Optimization</w:t>
            </w:r>
          </w:p>
        </w:tc>
        <w:tc>
          <w:tcPr>
            <w:tcW w:type="dxa" w:w="23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Gap</w:t>
            </w:r>
          </w:p>
        </w:tc>
        <w:tc>
          <w:tcPr>
            <w:tcW w:type="dxa" w:w="19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5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1</w:t>
            </w:r>
          </w:p>
        </w:tc>
        <w:tc>
          <w:tcPr>
            <w:tcW w:type="dxa" w:w="316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r>
              <w:rPr>
                <w:rFonts w:ascii="Arial" w:cs="Arial" w:eastAsia="Arial" w:hAnsi="Arial"/>
                <w:b/>
                <w:bCs/>
                <w:color w:val="1F2937"/>
                <w:sz w:val="22"/>
                <w:szCs w:val="22"/>
              </w:rPr>
              <w:t xml:space="preserve">Data Validation with Great Expectations</w:t>
            </w:r>
          </w:p>
        </w:tc>
        <w:tc>
          <w:tcPr>
            <w:tcW w:type="dxa" w:w="23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Schema/distribution errors reach training silently</w:t>
            </w:r>
          </w:p>
        </w:tc>
        <w:tc>
          <w:tcPr>
            <w:tcW w:type="dxa" w:w="19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Great Expectations</w:t>
            </w:r>
          </w:p>
        </w:tc>
        <w:tc>
          <w:tcPr>
            <w:tcW w:type="dxa" w:w="1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Near-term</w:t>
            </w:r>
          </w:p>
        </w:tc>
      </w:tr>
      <w:tr>
        <w:tc>
          <w:tcPr>
            <w:tcW w:type="dxa" w:w="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2</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b/>
                <w:bCs/>
                <w:color w:val="1F2937"/>
                <w:sz w:val="22"/>
                <w:szCs w:val="22"/>
              </w:rPr>
              <w:t xml:space="preserve">Automate SQL Data Query (Airflow)</w:t>
            </w:r>
          </w:p>
        </w:tc>
        <w:tc>
          <w:tcPr>
            <w:tcW w:type="dxa" w:w="2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D2 step requires manual human initiation</w:t>
            </w:r>
          </w:p>
        </w:tc>
        <w:tc>
          <w:tcPr>
            <w:tcW w:type="dxa" w:w="1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Airflow schedule + read replica</w:t>
            </w:r>
          </w:p>
        </w:tc>
        <w:tc>
          <w:tcPr>
            <w:tcW w:type="dxa" w:w="1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Near-term</w:t>
            </w:r>
          </w:p>
        </w:tc>
      </w:tr>
      <w:tr>
        <w:tc>
          <w:tcPr>
            <w:tcW w:type="dxa" w:w="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3</w:t>
            </w:r>
          </w:p>
        </w:tc>
        <w:tc>
          <w:tcPr>
            <w:tcW w:type="dxa" w:w="316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r>
              <w:rPr>
                <w:rFonts w:ascii="Arial" w:cs="Arial" w:eastAsia="Arial" w:hAnsi="Arial"/>
                <w:b/>
                <w:bCs/>
                <w:color w:val="1F2937"/>
                <w:sz w:val="22"/>
                <w:szCs w:val="22"/>
              </w:rPr>
              <w:t xml:space="preserve">Shadow Deployment via KServe</w:t>
            </w:r>
          </w:p>
        </w:tc>
        <w:tc>
          <w:tcPr>
            <w:tcW w:type="dxa" w:w="23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No live-traffic validation before full rollout</w:t>
            </w:r>
          </w:p>
        </w:tc>
        <w:tc>
          <w:tcPr>
            <w:tcW w:type="dxa" w:w="19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KServe Shadow Mode</w:t>
            </w:r>
          </w:p>
        </w:tc>
        <w:tc>
          <w:tcPr>
            <w:tcW w:type="dxa" w:w="1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Mid-term</w:t>
            </w:r>
          </w:p>
        </w:tc>
      </w:tr>
      <w:tr>
        <w:tc>
          <w:tcPr>
            <w:tcW w:type="dxa" w:w="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4</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b/>
                <w:bCs/>
                <w:color w:val="1F2937"/>
                <w:sz w:val="22"/>
                <w:szCs w:val="22"/>
              </w:rPr>
              <w:t xml:space="preserve">Canary Release Traffic Routing</w:t>
            </w:r>
          </w:p>
        </w:tc>
        <w:tc>
          <w:tcPr>
            <w:tcW w:type="dxa" w:w="2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No gradual rollout — all-or-nothing swap</w:t>
            </w:r>
          </w:p>
        </w:tc>
        <w:tc>
          <w:tcPr>
            <w:tcW w:type="dxa" w:w="1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KServe Traffic Routing</w:t>
            </w:r>
          </w:p>
        </w:tc>
        <w:tc>
          <w:tcPr>
            <w:tcW w:type="dxa" w:w="1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Mid-term</w:t>
            </w:r>
          </w:p>
        </w:tc>
      </w:tr>
      <w:tr>
        <w:tc>
          <w:tcPr>
            <w:tcW w:type="dxa" w:w="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5</w:t>
            </w:r>
          </w:p>
        </w:tc>
        <w:tc>
          <w:tcPr>
            <w:tcW w:type="dxa" w:w="316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r>
              <w:rPr>
                <w:rFonts w:ascii="Arial" w:cs="Arial" w:eastAsia="Arial" w:hAnsi="Arial"/>
                <w:b/>
                <w:bCs/>
                <w:color w:val="1F2937"/>
                <w:sz w:val="22"/>
                <w:szCs w:val="22"/>
              </w:rPr>
              <w:t xml:space="preserve">PSI + MMD Drift Detection</w:t>
            </w:r>
          </w:p>
        </w:tc>
        <w:tc>
          <w:tcPr>
            <w:tcW w:type="dxa" w:w="23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No automated detection of input distribution shift</w:t>
            </w:r>
          </w:p>
        </w:tc>
        <w:tc>
          <w:tcPr>
            <w:tcW w:type="dxa" w:w="19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Evidently AI / custom Prometheus</w:t>
            </w:r>
          </w:p>
        </w:tc>
        <w:tc>
          <w:tcPr>
            <w:tcW w:type="dxa" w:w="1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Mid-term</w:t>
            </w:r>
          </w:p>
        </w:tc>
      </w:tr>
      <w:tr>
        <w:tc>
          <w:tcPr>
            <w:tcW w:type="dxa" w:w="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6</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b/>
                <w:bCs/>
                <w:color w:val="1F2937"/>
                <w:sz w:val="22"/>
                <w:szCs w:val="22"/>
              </w:rPr>
              <w:t xml:space="preserve">Automated Retraining Trigger</w:t>
            </w:r>
          </w:p>
        </w:tc>
        <w:tc>
          <w:tcPr>
            <w:tcW w:type="dxa" w:w="2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Retraining is time-scheduled only</w:t>
            </w:r>
          </w:p>
        </w:tc>
        <w:tc>
          <w:tcPr>
            <w:tcW w:type="dxa" w:w="1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Airflow + Prometheus alerts</w:t>
            </w:r>
          </w:p>
        </w:tc>
        <w:tc>
          <w:tcPr>
            <w:tcW w:type="dxa" w:w="1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Mid-term</w:t>
            </w:r>
          </w:p>
        </w:tc>
      </w:tr>
      <w:tr>
        <w:tc>
          <w:tcPr>
            <w:tcW w:type="dxa" w:w="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7</w:t>
            </w:r>
          </w:p>
        </w:tc>
        <w:tc>
          <w:tcPr>
            <w:tcW w:type="dxa" w:w="316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r>
              <w:rPr>
                <w:rFonts w:ascii="Arial" w:cs="Arial" w:eastAsia="Arial" w:hAnsi="Arial"/>
                <w:b/>
                <w:bCs/>
                <w:color w:val="1F2937"/>
                <w:sz w:val="22"/>
                <w:szCs w:val="22"/>
              </w:rPr>
              <w:t xml:space="preserve">KServe + Triton + GKE Autopilot Scale</w:t>
            </w:r>
          </w:p>
        </w:tc>
        <w:tc>
          <w:tcPr>
            <w:tcW w:type="dxa" w:w="23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Single Docker container, no auto-scaling</w:t>
            </w:r>
          </w:p>
        </w:tc>
        <w:tc>
          <w:tcPr>
            <w:tcW w:type="dxa" w:w="19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GKE Autopilot + HPA/VPA</w:t>
            </w:r>
          </w:p>
        </w:tc>
        <w:tc>
          <w:tcPr>
            <w:tcW w:type="dxa" w:w="1500"/>
            <w:tcBorders>
              <w:top w:val="single" w:color="CCCCCC" w:sz="1"/>
              <w:left w:val="single" w:color="CCCCCC" w:sz="1"/>
              <w:bottom w:val="single" w:color="CCCCCC" w:sz="1"/>
              <w:right w:val="single" w:color="CCCCCC" w:sz="1"/>
            </w:tcBorders>
            <w:shd w:fill="FFFBEB"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Long-term</w:t>
            </w:r>
          </w:p>
        </w:tc>
      </w:tr>
      <w:tr>
        <w:tc>
          <w:tcPr>
            <w:tcW w:type="dxa" w:w="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center"/>
            </w:pPr>
            <w:r>
              <w:rPr>
                <w:rFonts w:ascii="Arial" w:cs="Arial" w:eastAsia="Arial" w:hAnsi="Arial"/>
                <w:color w:val="1F2937"/>
                <w:sz w:val="20"/>
                <w:szCs w:val="20"/>
              </w:rPr>
              <w:t xml:space="preserve">8</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b/>
                <w:bCs/>
                <w:color w:val="1F2937"/>
                <w:sz w:val="22"/>
                <w:szCs w:val="22"/>
              </w:rPr>
              <w:t xml:space="preserve">Free-Text Feature Extraction (NLP)</w:t>
            </w:r>
          </w:p>
        </w:tc>
        <w:tc>
          <w:tcPr>
            <w:tcW w:type="dxa" w:w="2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Treatment notes not yet used as features</w:t>
            </w:r>
          </w:p>
        </w:tc>
        <w:tc>
          <w:tcPr>
            <w:tcW w:type="dxa" w:w="1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SpaCy / sentence-transformers</w:t>
            </w:r>
          </w:p>
        </w:tc>
        <w:tc>
          <w:tcPr>
            <w:tcW w:type="dxa" w:w="1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pPr>
              <w:jc w:val="left"/>
            </w:pPr>
            <w:r>
              <w:rPr>
                <w:rFonts w:ascii="Arial" w:cs="Arial" w:eastAsia="Arial" w:hAnsi="Arial"/>
                <w:color w:val="1F2937"/>
                <w:sz w:val="20"/>
                <w:szCs w:val="20"/>
              </w:rPr>
              <w:t xml:space="preserve">Long-term</w:t>
            </w:r>
          </w:p>
        </w:tc>
      </w:tr>
    </w:tbl>
    <w:p>
      <w:pPr>
        <w:spacing w:after="0" w:before="120"/>
      </w:pPr>
      <w:r>
        <w:t xml:space="preserve"/>
      </w:r>
    </w:p>
    <w:p>
      <w:pPr>
        <w:pStyle w:val="Heading1"/>
        <w:spacing w:after="160" w:before="320"/>
      </w:pPr>
      <w:r>
        <w:rPr>
          <w:rFonts w:ascii="Arial" w:cs="Arial" w:eastAsia="Arial" w:hAnsi="Arial"/>
          <w:b/>
          <w:bCs/>
          <w:color w:val="1D3557"/>
          <w:sz w:val="32"/>
          <w:szCs w:val="32"/>
        </w:rPr>
        <w:t xml:space="preserve">8. Known Technical Debt</w:t>
      </w:r>
    </w:p>
    <w:p>
      <w:pPr>
        <w:pBdr>
          <w:bottom w:val="single" w:color="457B9D" w:sz="6" w:space="1"/>
        </w:pBdr>
        <w:spacing w:after="160" w:before="160"/>
      </w:pPr>
      <w:r>
        <w:t xml:space="preserve"/>
      </w:r>
    </w:p>
    <w:p>
      <w:pPr>
        <w:spacing w:after="80" w:before="80"/>
      </w:pPr>
      <w:r>
        <w:rPr>
          <w:rFonts w:ascii="Arial" w:cs="Arial" w:eastAsia="Arial" w:hAnsi="Arial"/>
          <w:color w:val="1F2937"/>
          <w:sz w:val="22"/>
          <w:szCs w:val="22"/>
        </w:rPr>
        <w:t xml:space="preserve">The following items represent deliberate shortcuts in v1 that must be addressed before scaling to multi-clinic deployment:</w:t>
      </w:r>
    </w:p>
    <w:p>
      <w:pPr>
        <w:spacing w:after="0" w:before="80"/>
      </w:pPr>
      <w:r>
        <w:t xml:space="preserve"/>
      </w:r>
    </w:p>
    <w:p>
      <w:pPr>
        <w:pStyle w:val="ListParagraph"/>
        <w:numPr>
          <w:ilvl w:val="0"/>
          <w:numId w:val="2"/>
        </w:numPr>
        <w:spacing w:after="40" w:before="40"/>
      </w:pPr>
      <w:r>
        <w:rPr>
          <w:rFonts w:ascii="Arial" w:cs="Arial" w:eastAsia="Arial" w:hAnsi="Arial"/>
          <w:color w:val="1F2937"/>
          <w:sz w:val="22"/>
          <w:szCs w:val="22"/>
        </w:rPr>
        <w:t xml:space="preserve">Manual model swap (DEP4): Creates a deployment bottleneck and requires engineer availability during off-hours if emergency rollback is needed</w:t>
      </w:r>
    </w:p>
    <w:p>
      <w:pPr>
        <w:pStyle w:val="ListParagraph"/>
        <w:numPr>
          <w:ilvl w:val="0"/>
          <w:numId w:val="2"/>
        </w:numPr>
        <w:spacing w:after="40" w:before="40"/>
      </w:pPr>
      <w:r>
        <w:rPr>
          <w:rFonts w:ascii="Arial" w:cs="Arial" w:eastAsia="Arial" w:hAnsi="Arial"/>
          <w:color w:val="1F2937"/>
          <w:sz w:val="22"/>
          <w:szCs w:val="22"/>
        </w:rPr>
        <w:t xml:space="preserve">No data validation gate (D4 is Future): A schema change in CMS could silently corrupt the feature store without alerting the training pipeline</w:t>
      </w:r>
    </w:p>
    <w:p>
      <w:pPr>
        <w:pStyle w:val="ListParagraph"/>
        <w:numPr>
          <w:ilvl w:val="0"/>
          <w:numId w:val="2"/>
        </w:numPr>
        <w:spacing w:after="40" w:before="40"/>
      </w:pPr>
      <w:r>
        <w:rPr>
          <w:rFonts w:ascii="Arial" w:cs="Arial" w:eastAsia="Arial" w:hAnsi="Arial"/>
          <w:color w:val="1F2937"/>
          <w:sz w:val="22"/>
          <w:szCs w:val="22"/>
        </w:rPr>
        <w:t xml:space="preserve">SQL query not fully automated (D2): Dependency on manual human initiation breaks the fully automated retraining loop</w:t>
      </w:r>
    </w:p>
    <w:p>
      <w:pPr>
        <w:pStyle w:val="ListParagraph"/>
        <w:numPr>
          <w:ilvl w:val="0"/>
          <w:numId w:val="2"/>
        </w:numPr>
        <w:spacing w:after="40" w:before="40"/>
      </w:pPr>
      <w:r>
        <w:rPr>
          <w:rFonts w:ascii="Arial" w:cs="Arial" w:eastAsia="Arial" w:hAnsi="Arial"/>
          <w:color w:val="1F2937"/>
          <w:sz w:val="22"/>
          <w:szCs w:val="22"/>
        </w:rPr>
        <w:t xml:space="preserve">Single-clinic training data: The model is trained on one clinic's historical data — generalization to other clinics requires federated learning or multi-clinic transfer learning strategies</w:t>
      </w:r>
    </w:p>
    <w:p>
      <w:pPr>
        <w:pStyle w:val="ListParagraph"/>
        <w:numPr>
          <w:ilvl w:val="0"/>
          <w:numId w:val="2"/>
        </w:numPr>
        <w:spacing w:after="40" w:before="40"/>
      </w:pPr>
      <w:r>
        <w:rPr>
          <w:rFonts w:ascii="Arial" w:cs="Arial" w:eastAsia="Arial" w:hAnsi="Arial"/>
          <w:color w:val="1F2937"/>
          <w:sz w:val="22"/>
          <w:szCs w:val="22"/>
        </w:rPr>
        <w:t xml:space="preserve">ONNX conversion not fully validated: The Joblib → ONNX conversion path is planned but not yet tested under production Triton serving conditions</w:t>
      </w:r>
    </w:p>
    <w:p>
      <w:pPr>
        <w:pStyle w:val="ListParagraph"/>
        <w:numPr>
          <w:ilvl w:val="0"/>
          <w:numId w:val="2"/>
        </w:numPr>
        <w:spacing w:after="40" w:before="40"/>
      </w:pPr>
      <w:r>
        <w:rPr>
          <w:rFonts w:ascii="Arial" w:cs="Arial" w:eastAsia="Arial" w:hAnsi="Arial"/>
          <w:color w:val="1F2937"/>
          <w:sz w:val="22"/>
          <w:szCs w:val="22"/>
        </w:rPr>
        <w:t xml:space="preserve">No A/B testing framework: The canary release currently lacks a formal statistical test to determine when sufficient traffic has been routed to conclude model superiority</w:t>
      </w:r>
    </w:p>
    <w:p>
      <w:pPr>
        <w:spacing w:after="0" w:before="120"/>
      </w:pPr>
      <w:r>
        <w:t xml:space="preserve"/>
      </w:r>
    </w:p>
    <w:p>
      <w:pPr>
        <w:pStyle w:val="Heading1"/>
        <w:spacing w:after="160" w:before="320"/>
      </w:pPr>
      <w:r>
        <w:rPr>
          <w:rFonts w:ascii="Arial" w:cs="Arial" w:eastAsia="Arial" w:hAnsi="Arial"/>
          <w:b/>
          <w:bCs/>
          <w:color w:val="1D3557"/>
          <w:sz w:val="32"/>
          <w:szCs w:val="32"/>
        </w:rPr>
        <w:t xml:space="preserve">9. Summary</w:t>
      </w:r>
    </w:p>
    <w:p>
      <w:pPr>
        <w:pBdr>
          <w:bottom w:val="single" w:color="457B9D" w:sz="6" w:space="1"/>
        </w:pBdr>
        <w:spacing w:after="160" w:before="160"/>
      </w:pPr>
      <w:r>
        <w:t xml:space="preserve"/>
      </w:r>
    </w:p>
    <w:p>
      <w:pPr>
        <w:spacing w:after="80" w:before="80"/>
      </w:pPr>
      <w:r>
        <w:rPr>
          <w:rFonts w:ascii="Arial" w:cs="Arial" w:eastAsia="Arial" w:hAnsi="Arial"/>
          <w:color w:val="1F2937"/>
          <w:sz w:val="22"/>
          <w:szCs w:val="22"/>
        </w:rPr>
        <w:t xml:space="preserve">The DentTime deployment model reflects a </w:t>
      </w:r>
      <w:r>
        <w:rPr>
          <w:rFonts w:ascii="Arial" w:cs="Arial" w:eastAsia="Arial" w:hAnsi="Arial"/>
          <w:b/>
          <w:bCs/>
          <w:color w:val="1F2937"/>
          <w:sz w:val="22"/>
          <w:szCs w:val="22"/>
        </w:rPr>
        <w:t xml:space="preserve">pragmatic, risk-conscious approach</w:t>
      </w:r>
      <w:r>
        <w:rPr>
          <w:rFonts w:ascii="Arial" w:cs="Arial" w:eastAsia="Arial" w:hAnsi="Arial"/>
          <w:color w:val="1F2937"/>
          <w:sz w:val="22"/>
          <w:szCs w:val="22"/>
        </w:rPr>
        <w:t xml:space="preserve"> to clinical ML. Version 1 establishes a complete end-to-end pipeline from raw CMS data through FastAPI inference, with human checkpoints at the highest-risk transitions (model swap, initial data query). The future roadmap progressively removes manual steps by adding automated safety layers (shadow mode, canary routing), automated observability (drift detection, performance monitoring), and horizontal scalability (GKE Autopilot).</w:t>
      </w:r>
    </w:p>
    <w:p>
      <w:pPr>
        <w:spacing w:after="0" w:before="80"/>
      </w:pPr>
      <w:r>
        <w:t xml:space="preserve"/>
      </w:r>
    </w:p>
    <w:p>
      <w:pPr>
        <w:spacing w:after="80" w:before="80"/>
      </w:pPr>
      <w:r>
        <w:rPr>
          <w:rFonts w:ascii="Arial" w:cs="Arial" w:eastAsia="Arial" w:hAnsi="Arial"/>
          <w:color w:val="1F2937"/>
          <w:sz w:val="22"/>
          <w:szCs w:val="22"/>
        </w:rPr>
        <w:t xml:space="preserve">Every design decision — batch retraining, chronological split, Under-Estimation Rate as the primary business metric, PDPA anonymization by default — was made to serve the </w:t>
      </w:r>
      <w:r>
        <w:rPr>
          <w:rFonts w:ascii="Arial" w:cs="Arial" w:eastAsia="Arial" w:hAnsi="Arial"/>
          <w:b/>
          <w:bCs/>
          <w:color w:val="1F2937"/>
          <w:sz w:val="22"/>
          <w:szCs w:val="22"/>
        </w:rPr>
        <w:t xml:space="preserve">"So What?"</w:t>
      </w:r>
      <w:r>
        <w:rPr>
          <w:rFonts w:ascii="Arial" w:cs="Arial" w:eastAsia="Arial" w:hAnsi="Arial"/>
          <w:color w:val="1F2937"/>
          <w:sz w:val="22"/>
          <w:szCs w:val="22"/>
        </w:rPr>
        <w:t xml:space="preserve"> layer: a dental clinic that can schedule more confidently, reduce patient wait times, and support dentists with transparent, auditable predictions rather than replacing their clinical judgment.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1"/>
              <w:left w:val="single" w:color="1D3557" w:sz="12"/>
              <w:bottom w:val="single" w:color="1D3557" w:sz="1"/>
              <w:right w:val="single" w:color="1D3557" w:sz="1"/>
            </w:tcBorders>
            <w:shd w:fill="EEF4FB" w:val="clear"/>
            <w:tcMar>
              <w:top w:type="dxa" w:w="120"/>
              <w:left w:type="dxa" w:w="200"/>
              <w:bottom w:type="dxa" w:w="120"/>
              <w:right w:type="dxa" w:w="160"/>
            </w:tcMar>
          </w:tcPr>
          <w:p>
            <w:pPr>
              <w:spacing w:after="80" w:before="40"/>
            </w:pPr>
            <w:r>
              <w:rPr>
                <w:rFonts w:ascii="Arial" w:cs="Arial" w:eastAsia="Arial" w:hAnsi="Arial"/>
                <w:b/>
                <w:bCs/>
                <w:color w:val="1D3557"/>
                <w:sz w:val="22"/>
                <w:szCs w:val="22"/>
              </w:rPr>
              <w:t xml:space="preserve">Instructor Feedback Alignment</w:t>
            </w:r>
          </w:p>
          <w:p>
            <w:pPr>
              <w:spacing w:after="40" w:before="0"/>
            </w:pPr>
            <w:r>
              <w:rPr>
                <w:rFonts w:ascii="Arial" w:cs="Arial" w:eastAsia="Arial" w:hAnsi="Arial"/>
                <w:color w:val="1F2937"/>
                <w:sz w:val="20"/>
                <w:szCs w:val="20"/>
              </w:rPr>
              <w:t xml:space="preserve">This architecture directly addresses the key feedback points: (1) Structured features are prioritized over free-text — NLP on treatment notes is explicitly deferred to Long-term; (2) DVC versioning ensures reproducible datasets across all experiments; (3) The Champion vs. Challenger gate enforces documented model promotion logic; (4) Under-Estimation Rate as metric #2 reflects the business risk of long-procedure under-prediction.</w:t>
            </w:r>
          </w:p>
        </w:tc>
      </w:tr>
    </w:tbl>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57B9D" w:sz="6" w:space="1"/>
      </w:pBdr>
      <w:tabs>
        <w:tab w:val="right" w:pos="9360"/>
      </w:tabs>
      <w:spacing w:after="0" w:before="120"/>
    </w:pPr>
    <w:r>
      <w:rPr>
        <w:rFonts w:ascii="Arial" w:cs="Arial" w:eastAsia="Arial" w:hAnsi="Arial"/>
        <w:color w:val="6B7280"/>
        <w:sz w:val="18"/>
        <w:szCs w:val="18"/>
      </w:rPr>
      <w:t xml:space="preserve">Confidential — DentTime Project</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7B9D" w:sz="6" w:space="1"/>
      </w:pBdr>
      <w:tabs>
        <w:tab w:val="right" w:pos="9360"/>
      </w:tabs>
      <w:spacing w:after="160" w:before="0"/>
    </w:pPr>
    <w:r>
      <w:rPr>
        <w:rFonts w:ascii="Arial" w:cs="Arial" w:eastAsia="Arial" w:hAnsi="Arial"/>
        <w:color w:val="457B9D"/>
        <w:sz w:val="18"/>
        <w:szCs w:val="18"/>
      </w:rPr>
      <w:t xml:space="preserve">DentTime  |  ML Pipeline Deployment Model</w:t>
    </w:r>
    <w:r>
      <w:rPr>
        <w:rFonts w:ascii="Arial" w:cs="Arial" w:eastAsia="Arial" w:hAnsi="Arial"/>
        <w:sz w:val="18"/>
        <w:szCs w:val="18"/>
      </w:rPr>
      <w:t xml:space="preserve">	</w:t>
    </w:r>
    <w:r>
      <w:rPr>
        <w:rFonts w:ascii="Arial" w:cs="Arial" w:eastAsia="Arial" w:hAnsi="Arial"/>
        <w:color w:val="6B7280"/>
        <w:sz w:val="18"/>
        <w:szCs w:val="18"/>
      </w:rPr>
      <w:t xml:space="preserve">SE for MLS  — 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3557"/>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457B9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2026-04-09T01:09:35.685Z</dcterms:created>
  <dcterms:modified xsi:type="dcterms:W3CDTF">2026-04-09T01:09:35.685Z</dcterms:modified>
</cp:coreProperties>
</file>

<file path=docProps/custom.xml><?xml version="1.0" encoding="utf-8"?>
<Properties xmlns="http://schemas.openxmlformats.org/officeDocument/2006/custom-properties" xmlns:vt="http://schemas.openxmlformats.org/officeDocument/2006/docPropsVTypes"/>
</file>