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4C35" w14:textId="77777777" w:rsidR="004F28B2" w:rsidRDefault="004F28B2" w:rsidP="004F28B2">
      <w:pPr>
        <w:pStyle w:val="Heading1"/>
      </w:pPr>
      <w:bookmarkStart w:id="0" w:name="_Toc226614679"/>
      <w:r>
        <w:rPr>
          <w:rFonts w:ascii="Arial" w:eastAsia="Arial" w:hAnsi="Arial" w:cs="Arial"/>
          <w:b/>
          <w:bCs/>
          <w:color w:val="1D3557"/>
          <w:sz w:val="32"/>
          <w:szCs w:val="32"/>
        </w:rPr>
        <w:t>4. The Deployment Model — Current vs. Future</w:t>
      </w:r>
      <w:bookmarkEnd w:id="0"/>
    </w:p>
    <w:p w14:paraId="34DF666B" w14:textId="77777777" w:rsidR="004F28B2" w:rsidRDefault="004F28B2" w:rsidP="004F28B2">
      <w:pPr>
        <w:pBdr>
          <w:bottom w:val="single" w:sz="6" w:space="1" w:color="457B9D"/>
        </w:pBdr>
        <w:spacing w:before="160" w:after="160"/>
      </w:pPr>
    </w:p>
    <w:p w14:paraId="7968F68D" w14:textId="77777777" w:rsidR="004F28B2" w:rsidRDefault="004F28B2" w:rsidP="004F28B2">
      <w:pPr>
        <w:pStyle w:val="Heading2"/>
      </w:pPr>
      <w:bookmarkStart w:id="1" w:name="_Toc226614680"/>
      <w:r>
        <w:rPr>
          <w:rFonts w:ascii="Arial" w:eastAsia="Arial" w:hAnsi="Arial" w:cs="Arial"/>
          <w:b/>
          <w:bCs/>
          <w:color w:val="457B9D"/>
          <w:sz w:val="26"/>
          <w:szCs w:val="26"/>
        </w:rPr>
        <w:t>4.1  Current State: v1 Direct Deploy</w:t>
      </w:r>
      <w:bookmarkEnd w:id="1"/>
    </w:p>
    <w:p w14:paraId="4AC77DB4" w14:textId="77777777" w:rsidR="004F28B2" w:rsidRDefault="004F28B2" w:rsidP="004F28B2">
      <w:pPr>
        <w:spacing w:before="80" w:after="80"/>
      </w:pPr>
      <w:r>
        <w:rPr>
          <w:rFonts w:cs="Arial"/>
          <w:color w:val="1F2937"/>
        </w:rPr>
        <w:t xml:space="preserve">In the current implementation, once a model passes the Champion vs. Challenger gate, it is </w:t>
      </w:r>
      <w:r>
        <w:rPr>
          <w:rFonts w:cs="Arial"/>
          <w:b/>
          <w:bCs/>
          <w:color w:val="1F2937"/>
        </w:rPr>
        <w:t>directly deployed</w:t>
      </w:r>
      <w:r>
        <w:rPr>
          <w:rFonts w:cs="Arial"/>
          <w:color w:val="1F2937"/>
        </w:rPr>
        <w:t xml:space="preserve"> to a </w:t>
      </w:r>
      <w:r>
        <w:rPr>
          <w:rFonts w:cs="Arial"/>
          <w:b/>
          <w:bCs/>
          <w:color w:val="1F2937"/>
        </w:rPr>
        <w:t>FastAPI + Docker</w:t>
      </w:r>
      <w:r>
        <w:rPr>
          <w:rFonts w:cs="Arial"/>
          <w:color w:val="1F2937"/>
        </w:rPr>
        <w:t xml:space="preserve"> container. Model swapping is a </w:t>
      </w:r>
      <w:r>
        <w:rPr>
          <w:rFonts w:cs="Arial"/>
          <w:b/>
          <w:bCs/>
          <w:color w:val="EA580C"/>
        </w:rPr>
        <w:t>Manual</w:t>
      </w:r>
      <w:r>
        <w:rPr>
          <w:rFonts w:cs="Arial"/>
          <w:color w:val="1F2937"/>
        </w:rPr>
        <w:t xml:space="preserve"> step — a human engineer replaces the model file and restarts the container. The inference service targets p99 latency &lt; 1 second for online predictions.</w:t>
      </w:r>
    </w:p>
    <w:p w14:paraId="622E2D3E" w14:textId="77777777" w:rsidR="004F28B2" w:rsidRDefault="004F28B2" w:rsidP="004F28B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4F28B2" w14:paraId="6186F611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8EF9" w14:textId="77777777" w:rsidR="004F28B2" w:rsidRDefault="004F28B2" w:rsidP="00577FCE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80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BAC10" w14:textId="77777777" w:rsidR="004F28B2" w:rsidRDefault="004F28B2" w:rsidP="00577FCE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80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D833" w14:textId="77777777" w:rsidR="004F28B2" w:rsidRDefault="004F28B2" w:rsidP="00577FCE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F28B2" w14:paraId="3CDFE5F7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AC657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Inference Service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B7BB1D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FastAPI + Docker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23AA1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Online prediction, REST API</w:t>
            </w:r>
          </w:p>
        </w:tc>
      </w:tr>
      <w:tr w:rsidR="004F28B2" w14:paraId="4B084E38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860666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Model Format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B076CE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Joblib → ONNX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CAB181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Portable format for future KServe</w:t>
            </w:r>
          </w:p>
        </w:tc>
      </w:tr>
      <w:tr w:rsidR="004F28B2" w14:paraId="45280FAC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ADA891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Deployment Trigger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87D91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Manual model swap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61B0A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Engineer replaces file, restarts container</w:t>
            </w:r>
          </w:p>
        </w:tc>
      </w:tr>
      <w:tr w:rsidR="004F28B2" w14:paraId="3824DA9E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0670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Rollback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79CA88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MLflow archived versions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BA70F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2 previous versions kept as fallback</w:t>
            </w:r>
          </w:p>
        </w:tc>
      </w:tr>
      <w:tr w:rsidR="004F28B2" w14:paraId="16CFE8F2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3B603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Frontend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CA9064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React Web App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23D8C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Clinic staff input → suggested time window</w:t>
            </w:r>
          </w:p>
        </w:tc>
      </w:tr>
      <w:tr w:rsidR="004F28B2" w14:paraId="1B0C69A0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285186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Operational Monitoring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CC51B4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Prometheus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73FEE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Latency, RPS, error rate, CPU/memory</w:t>
            </w:r>
          </w:p>
        </w:tc>
      </w:tr>
    </w:tbl>
    <w:p w14:paraId="463CE2A3" w14:textId="77777777" w:rsidR="004F28B2" w:rsidRDefault="004F28B2" w:rsidP="004F28B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8B2" w14:paraId="489EB400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8CF53F1" w14:textId="77777777" w:rsidR="004F28B2" w:rsidRDefault="004F28B2" w:rsidP="00577FCE">
            <w:pPr>
              <w:spacing w:before="40" w:after="80"/>
            </w:pPr>
            <w:r>
              <w:rPr>
                <w:rFonts w:cs="Arial"/>
                <w:b/>
                <w:bCs/>
                <w:color w:val="16A34A"/>
              </w:rPr>
              <w:t>Why Direct Deploy for v1?</w:t>
            </w:r>
          </w:p>
          <w:p w14:paraId="34D41E64" w14:textId="77777777" w:rsidR="004F28B2" w:rsidRDefault="004F28B2" w:rsidP="00577FCE">
            <w:pPr>
              <w:spacing w:after="40"/>
            </w:pPr>
            <w:r>
              <w:rPr>
                <w:rFonts w:cs="Arial"/>
                <w:color w:val="1F2937"/>
                <w:sz w:val="20"/>
                <w:szCs w:val="20"/>
              </w:rPr>
              <w:t>Starting with a manual deployment step is a deliberate risk-management decision. For a safety-sensitive clinical application, a human in the loop for model promotion ensures that any unexpected model behavior can be caught before it reaches production. This is a common pattern in regulated ML systems where audit trails matter.</w:t>
            </w:r>
          </w:p>
        </w:tc>
      </w:tr>
    </w:tbl>
    <w:p w14:paraId="0B6C3D65" w14:textId="77777777" w:rsidR="004F28B2" w:rsidRDefault="004F28B2" w:rsidP="004F28B2">
      <w:pPr>
        <w:spacing w:before="120"/>
      </w:pPr>
    </w:p>
    <w:p w14:paraId="527BF38D" w14:textId="77777777" w:rsidR="004F28B2" w:rsidRDefault="004F28B2" w:rsidP="004F28B2">
      <w:pPr>
        <w:pStyle w:val="Heading2"/>
      </w:pPr>
      <w:bookmarkStart w:id="2" w:name="_Toc226614681"/>
      <w:r>
        <w:rPr>
          <w:rFonts w:ascii="Arial" w:eastAsia="Arial" w:hAnsi="Arial" w:cs="Arial"/>
          <w:b/>
          <w:bCs/>
          <w:color w:val="457B9D"/>
          <w:sz w:val="26"/>
          <w:szCs w:val="26"/>
        </w:rPr>
        <w:t>4.2  Future State: Progressive Safe Deployment</w:t>
      </w:r>
      <w:bookmarkEnd w:id="2"/>
    </w:p>
    <w:p w14:paraId="783B5A56" w14:textId="77777777" w:rsidR="004F28B2" w:rsidRDefault="004F28B2" w:rsidP="004F28B2">
      <w:pPr>
        <w:spacing w:before="80" w:after="80"/>
      </w:pPr>
      <w:r>
        <w:rPr>
          <w:rFonts w:cs="Arial"/>
          <w:color w:val="1F2937"/>
        </w:rPr>
        <w:t>The future deployment path introduces two additional safety layers before production traffic reaches the new model:</w:t>
      </w:r>
    </w:p>
    <w:p w14:paraId="18058796" w14:textId="77777777" w:rsidR="004F28B2" w:rsidRDefault="004F28B2" w:rsidP="004F28B2">
      <w:pPr>
        <w:spacing w:before="80"/>
      </w:pPr>
    </w:p>
    <w:p w14:paraId="272F4003" w14:textId="77777777" w:rsidR="004F28B2" w:rsidRDefault="004F28B2" w:rsidP="004F28B2">
      <w:pPr>
        <w:pStyle w:val="Heading3"/>
      </w:pPr>
      <w:bookmarkStart w:id="3" w:name="_Toc226614682"/>
      <w:r>
        <w:rPr>
          <w:rFonts w:eastAsia="Arial" w:cs="Arial"/>
          <w:b/>
          <w:bCs/>
          <w:color w:val="1F2937"/>
          <w:sz w:val="22"/>
          <w:szCs w:val="22"/>
        </w:rPr>
        <w:t>Step 1 — Shadow Deployment (KServe Shadow Mode)</w:t>
      </w:r>
      <w:bookmarkEnd w:id="3"/>
    </w:p>
    <w:p w14:paraId="5AB7879C" w14:textId="77777777" w:rsidR="004F28B2" w:rsidRDefault="004F28B2" w:rsidP="004F28B2">
      <w:pPr>
        <w:spacing w:before="80" w:after="80"/>
      </w:pPr>
      <w:r>
        <w:rPr>
          <w:rFonts w:cs="Arial"/>
          <w:color w:val="1F2937"/>
        </w:rPr>
        <w:t xml:space="preserve">The new model runs in </w:t>
      </w:r>
      <w:r>
        <w:rPr>
          <w:rFonts w:cs="Arial"/>
          <w:b/>
          <w:bCs/>
          <w:color w:val="1F2937"/>
        </w:rPr>
        <w:t>parallel with the production model</w:t>
      </w:r>
      <w:r>
        <w:rPr>
          <w:rFonts w:cs="Arial"/>
          <w:color w:val="1F2937"/>
        </w:rPr>
        <w:t xml:space="preserve"> on mirrored real traffic. Crucially, its predictions are </w:t>
      </w:r>
      <w:r>
        <w:rPr>
          <w:rFonts w:cs="Arial"/>
          <w:b/>
          <w:bCs/>
          <w:color w:val="1F2937"/>
        </w:rPr>
        <w:t>not returned to users</w:t>
      </w:r>
      <w:r>
        <w:rPr>
          <w:rFonts w:cs="Arial"/>
          <w:color w:val="1F2937"/>
        </w:rPr>
        <w:t xml:space="preserve"> — only logged internally. This allows engineers to measure real-world performance (latency, accuracy, resource usage) with zero user risk.</w:t>
      </w:r>
    </w:p>
    <w:p w14:paraId="4DDA4150" w14:textId="77777777" w:rsidR="004F28B2" w:rsidRDefault="004F28B2" w:rsidP="004F28B2">
      <w:pPr>
        <w:spacing w:before="60"/>
      </w:pPr>
    </w:p>
    <w:p w14:paraId="49088B81" w14:textId="77777777" w:rsidR="004F28B2" w:rsidRDefault="004F28B2" w:rsidP="004F28B2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rFonts w:cs="Arial"/>
          <w:color w:val="1F2937"/>
        </w:rPr>
        <w:t>Shadow eval metrics: Macro F1, Under-Estimation Rate, p99 latency</w:t>
      </w:r>
    </w:p>
    <w:p w14:paraId="67DCADDA" w14:textId="77777777" w:rsidR="004F28B2" w:rsidRDefault="004F28B2" w:rsidP="004F28B2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rFonts w:cs="Arial"/>
          <w:color w:val="1F2937"/>
        </w:rPr>
        <w:t>Pass threshold triggers automatic canary promotion</w:t>
      </w:r>
    </w:p>
    <w:p w14:paraId="180663CE" w14:textId="77777777" w:rsidR="004F28B2" w:rsidRDefault="004F28B2" w:rsidP="004F28B2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rFonts w:cs="Arial"/>
          <w:color w:val="1F2937"/>
        </w:rPr>
        <w:t>Fail triggers automatic rollback — no production disruption</w:t>
      </w:r>
    </w:p>
    <w:p w14:paraId="482FA6FC" w14:textId="77777777" w:rsidR="004F28B2" w:rsidRDefault="004F28B2" w:rsidP="004F28B2">
      <w:pPr>
        <w:spacing w:before="80"/>
      </w:pPr>
    </w:p>
    <w:p w14:paraId="6725E085" w14:textId="77777777" w:rsidR="004F28B2" w:rsidRDefault="004F28B2" w:rsidP="004F28B2">
      <w:pPr>
        <w:pStyle w:val="Heading3"/>
      </w:pPr>
      <w:bookmarkStart w:id="4" w:name="_Toc226614683"/>
      <w:r>
        <w:rPr>
          <w:rFonts w:eastAsia="Arial" w:cs="Arial"/>
          <w:b/>
          <w:bCs/>
          <w:color w:val="1F2937"/>
          <w:sz w:val="22"/>
          <w:szCs w:val="22"/>
        </w:rPr>
        <w:t>Step 2 — Canary Release (KServe Traffic Routing)</w:t>
      </w:r>
      <w:bookmarkEnd w:id="4"/>
    </w:p>
    <w:p w14:paraId="33233964" w14:textId="77777777" w:rsidR="004F28B2" w:rsidRDefault="004F28B2" w:rsidP="004F28B2">
      <w:pPr>
        <w:spacing w:before="80" w:after="80"/>
      </w:pPr>
      <w:r>
        <w:rPr>
          <w:rFonts w:cs="Arial"/>
          <w:color w:val="1F2937"/>
        </w:rPr>
        <w:t xml:space="preserve">A passing shadow evaluation automatically triggers a </w:t>
      </w:r>
      <w:r>
        <w:rPr>
          <w:rFonts w:cs="Arial"/>
          <w:b/>
          <w:bCs/>
          <w:color w:val="1F2937"/>
        </w:rPr>
        <w:t>Canary Release</w:t>
      </w:r>
      <w:r>
        <w:rPr>
          <w:rFonts w:cs="Arial"/>
          <w:color w:val="1F2937"/>
        </w:rPr>
        <w:t>, routing 10% of live traffic to the new model while 90% continues on the current champion. Traffic shifts gradually to 100% only if performance metrics remain stable.</w:t>
      </w:r>
    </w:p>
    <w:p w14:paraId="695D7A75" w14:textId="77777777" w:rsidR="004F28B2" w:rsidRDefault="004F28B2" w:rsidP="004F28B2">
      <w:pPr>
        <w:spacing w:before="60"/>
      </w:pPr>
    </w:p>
    <w:p w14:paraId="422FBF22" w14:textId="77777777" w:rsidR="004F28B2" w:rsidRDefault="004F28B2" w:rsidP="004F28B2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rFonts w:cs="Arial"/>
          <w:color w:val="1F2937"/>
        </w:rPr>
        <w:t>Gradual rollout: 10% → 25% → 50% → 100%</w:t>
      </w:r>
    </w:p>
    <w:p w14:paraId="3CC45305" w14:textId="77777777" w:rsidR="004F28B2" w:rsidRDefault="004F28B2" w:rsidP="004F28B2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rFonts w:cs="Arial"/>
          <w:color w:val="1F2937"/>
        </w:rPr>
        <w:t>Each traffic step monitored against Under-Estimation Rate thresholds</w:t>
      </w:r>
    </w:p>
    <w:p w14:paraId="52B1AE39" w14:textId="77777777" w:rsidR="004F28B2" w:rsidRDefault="004F28B2" w:rsidP="004F28B2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rFonts w:cs="Arial"/>
          <w:color w:val="1F2937"/>
        </w:rPr>
        <w:t>Automatic rollback if metrics degrade at any step</w:t>
      </w:r>
    </w:p>
    <w:p w14:paraId="05759E85" w14:textId="77777777" w:rsidR="004F28B2" w:rsidRDefault="004F28B2" w:rsidP="004F28B2">
      <w:pPr>
        <w:spacing w:before="80"/>
      </w:pPr>
    </w:p>
    <w:p w14:paraId="0C4F17AE" w14:textId="77777777" w:rsidR="004F28B2" w:rsidRDefault="004F28B2" w:rsidP="004F28B2">
      <w:pPr>
        <w:pStyle w:val="Heading3"/>
      </w:pPr>
      <w:bookmarkStart w:id="5" w:name="_Toc226614684"/>
      <w:r>
        <w:rPr>
          <w:rFonts w:eastAsia="Arial" w:cs="Arial"/>
          <w:b/>
          <w:bCs/>
          <w:color w:val="1F2937"/>
          <w:sz w:val="22"/>
          <w:szCs w:val="22"/>
        </w:rPr>
        <w:t>Step 3 — Production Scale (KServe + Triton + GKE Autopilot)</w:t>
      </w:r>
      <w:bookmarkEnd w:id="5"/>
    </w:p>
    <w:p w14:paraId="514C2D00" w14:textId="77777777" w:rsidR="004F28B2" w:rsidRDefault="004F28B2" w:rsidP="004F28B2">
      <w:pPr>
        <w:spacing w:before="80" w:after="80"/>
      </w:pPr>
      <w:r>
        <w:rPr>
          <w:rFonts w:cs="Arial"/>
          <w:color w:val="1F2937"/>
        </w:rPr>
        <w:t xml:space="preserve">For high-volume clinic deployments, the inference service migrates from a single Docker container to </w:t>
      </w:r>
      <w:r>
        <w:rPr>
          <w:rFonts w:cs="Arial"/>
          <w:b/>
          <w:bCs/>
          <w:color w:val="1F2937"/>
        </w:rPr>
        <w:t>KServe + Triton Inference Server</w:t>
      </w:r>
      <w:r>
        <w:rPr>
          <w:rFonts w:cs="Arial"/>
          <w:color w:val="1F2937"/>
        </w:rPr>
        <w:t xml:space="preserve"> on </w:t>
      </w:r>
      <w:r>
        <w:rPr>
          <w:rFonts w:cs="Arial"/>
          <w:b/>
          <w:bCs/>
          <w:color w:val="1F2937"/>
        </w:rPr>
        <w:t>GKE Autopilot</w:t>
      </w:r>
      <w:r>
        <w:rPr>
          <w:rFonts w:cs="Arial"/>
          <w:color w:val="1F2937"/>
        </w:rPr>
        <w:t xml:space="preserve"> with Horizontal and Vertical Pod Autoscaling (HPA/VPA). This eliminates manual capacity planning.</w:t>
      </w:r>
    </w:p>
    <w:p w14:paraId="72673B14" w14:textId="77777777" w:rsidR="004F28B2" w:rsidRDefault="004F28B2" w:rsidP="004F28B2">
      <w:pPr>
        <w:spacing w:before="60"/>
      </w:pPr>
    </w:p>
    <w:p w14:paraId="7D52658C" w14:textId="77777777" w:rsidR="004F28B2" w:rsidRDefault="004F28B2" w:rsidP="004F28B2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rFonts w:cs="Arial"/>
          <w:color w:val="1F2937"/>
        </w:rPr>
        <w:t>HPA: scales inference replicas based on RPS</w:t>
      </w:r>
    </w:p>
    <w:p w14:paraId="5D0EB2A7" w14:textId="77777777" w:rsidR="004F28B2" w:rsidRDefault="004F28B2" w:rsidP="004F28B2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rFonts w:cs="Arial"/>
          <w:color w:val="1F2937"/>
        </w:rPr>
        <w:t>VPA: adjusts CPU/memory allocation per pod based on utilization</w:t>
      </w:r>
    </w:p>
    <w:p w14:paraId="17E8A82E" w14:textId="77777777" w:rsidR="004F28B2" w:rsidRDefault="004F28B2" w:rsidP="004F28B2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rFonts w:cs="Arial"/>
          <w:color w:val="1F2937"/>
        </w:rPr>
        <w:t>GKE Autopilot: manages node provisioning automatically</w:t>
      </w:r>
    </w:p>
    <w:p w14:paraId="5388BBAF" w14:textId="77777777" w:rsidR="004F28B2" w:rsidRDefault="004F28B2" w:rsidP="004F28B2">
      <w:pPr>
        <w:spacing w:before="100"/>
      </w:pPr>
    </w:p>
    <w:p w14:paraId="3F9513A6" w14:textId="77777777" w:rsidR="004F28B2" w:rsidRDefault="004F28B2" w:rsidP="004F28B2">
      <w:pPr>
        <w:pStyle w:val="Heading2"/>
      </w:pPr>
      <w:bookmarkStart w:id="6" w:name="_Toc226614685"/>
      <w:r>
        <w:rPr>
          <w:rFonts w:ascii="Arial" w:eastAsia="Arial" w:hAnsi="Arial" w:cs="Arial"/>
          <w:b/>
          <w:bCs/>
          <w:color w:val="457B9D"/>
          <w:sz w:val="26"/>
          <w:szCs w:val="26"/>
        </w:rPr>
        <w:t>4.3  Current vs. Future Side-by-Side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4F28B2" w14:paraId="63B56C1B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906F" w14:textId="77777777" w:rsidR="004F28B2" w:rsidRDefault="004F28B2" w:rsidP="00577FCE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380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4D6F4" w14:textId="77777777" w:rsidR="004F28B2" w:rsidRDefault="004F28B2" w:rsidP="00577FCE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Current (v1)</w:t>
            </w:r>
          </w:p>
        </w:tc>
        <w:tc>
          <w:tcPr>
            <w:tcW w:w="3380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264E" w14:textId="77777777" w:rsidR="004F28B2" w:rsidRDefault="004F28B2" w:rsidP="00577FCE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Future (Target)</w:t>
            </w:r>
          </w:p>
        </w:tc>
      </w:tr>
      <w:tr w:rsidR="004F28B2" w14:paraId="351B2E97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01259E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Deployment Trigger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0D081F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Manual model swap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FD726B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Automated (post-shadow pass)</w:t>
            </w:r>
          </w:p>
        </w:tc>
      </w:tr>
      <w:tr w:rsidR="004F28B2" w14:paraId="10ABD6D2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727C7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Traffic Safety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1DDDBA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None — full traffic immediately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FF9B8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Shadow → 10% Canary → gradual rollout</w:t>
            </w:r>
          </w:p>
        </w:tc>
      </w:tr>
      <w:tr w:rsidR="004F28B2" w14:paraId="18BAFB11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5CFB00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Rollback Speed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15F822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Manual container restart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CEE9E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Automatic (KServe traffic routing)</w:t>
            </w:r>
          </w:p>
        </w:tc>
      </w:tr>
      <w:tr w:rsidR="004F28B2" w14:paraId="4AC832DF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E8295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Scalability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246BF0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Single Docker container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4DBFEA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GKE Autopilot with HPA/VPA</w:t>
            </w:r>
          </w:p>
        </w:tc>
      </w:tr>
      <w:tr w:rsidR="004F28B2" w14:paraId="72A22EE3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547E0F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Model Format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4F89E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Joblib (.pkl)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27FEA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ONNX (Triton-compatible)</w:t>
            </w:r>
          </w:p>
        </w:tc>
      </w:tr>
      <w:tr w:rsidR="004F28B2" w14:paraId="432D577A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DB678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Drift Monitoring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E0B1D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Not implemented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D1220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PSI + MMD via Prometheus/Grafana</w:t>
            </w:r>
          </w:p>
        </w:tc>
      </w:tr>
      <w:tr w:rsidR="004F28B2" w14:paraId="4F7E7F19" w14:textId="77777777" w:rsidTr="00577F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81B4EB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Retraining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066DCB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Scheduled / manual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ED717" w14:textId="77777777" w:rsidR="004F28B2" w:rsidRDefault="004F28B2" w:rsidP="00577FCE">
            <w:r>
              <w:rPr>
                <w:rFonts w:cs="Arial"/>
                <w:color w:val="1F2937"/>
                <w:sz w:val="20"/>
                <w:szCs w:val="20"/>
              </w:rPr>
              <w:t>Automated trigger (drift/perf/event)</w:t>
            </w:r>
          </w:p>
        </w:tc>
      </w:tr>
    </w:tbl>
    <w:p w14:paraId="42DEB195" w14:textId="77777777" w:rsidR="004F28B2" w:rsidRDefault="004F28B2" w:rsidP="004F28B2">
      <w:pPr>
        <w:spacing w:before="120"/>
      </w:pPr>
    </w:p>
    <w:p w14:paraId="4986DAED" w14:textId="77777777" w:rsidR="00EB4F3F" w:rsidRDefault="00EB4F3F"/>
    <w:sectPr w:rsidR="00EB4F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7678B"/>
    <w:multiLevelType w:val="hybridMultilevel"/>
    <w:tmpl w:val="39A26740"/>
    <w:lvl w:ilvl="0" w:tplc="A4004304">
      <w:start w:val="1"/>
      <w:numFmt w:val="bullet"/>
      <w:lvlText w:val="•"/>
      <w:lvlJc w:val="left"/>
      <w:pPr>
        <w:ind w:left="720" w:hanging="360"/>
      </w:pPr>
    </w:lvl>
    <w:lvl w:ilvl="1" w:tplc="58AC4B58">
      <w:start w:val="1"/>
      <w:numFmt w:val="bullet"/>
      <w:lvlText w:val="◦"/>
      <w:lvlJc w:val="left"/>
      <w:pPr>
        <w:ind w:left="1080" w:hanging="360"/>
      </w:pPr>
    </w:lvl>
    <w:lvl w:ilvl="2" w:tplc="C3D8D47A">
      <w:numFmt w:val="decimal"/>
      <w:lvlText w:val=""/>
      <w:lvlJc w:val="left"/>
    </w:lvl>
    <w:lvl w:ilvl="3" w:tplc="E6B65C0C">
      <w:numFmt w:val="decimal"/>
      <w:lvlText w:val=""/>
      <w:lvlJc w:val="left"/>
    </w:lvl>
    <w:lvl w:ilvl="4" w:tplc="A1DE6B50">
      <w:numFmt w:val="decimal"/>
      <w:lvlText w:val=""/>
      <w:lvlJc w:val="left"/>
    </w:lvl>
    <w:lvl w:ilvl="5" w:tplc="6F4C10C6">
      <w:numFmt w:val="decimal"/>
      <w:lvlText w:val=""/>
      <w:lvlJc w:val="left"/>
    </w:lvl>
    <w:lvl w:ilvl="6" w:tplc="C23E7B68">
      <w:numFmt w:val="decimal"/>
      <w:lvlText w:val=""/>
      <w:lvlJc w:val="left"/>
    </w:lvl>
    <w:lvl w:ilvl="7" w:tplc="C98EC896">
      <w:numFmt w:val="decimal"/>
      <w:lvlText w:val=""/>
      <w:lvlJc w:val="left"/>
    </w:lvl>
    <w:lvl w:ilvl="8" w:tplc="E030242C">
      <w:numFmt w:val="decimal"/>
      <w:lvlText w:val=""/>
      <w:lvlJc w:val="left"/>
    </w:lvl>
  </w:abstractNum>
  <w:num w:numId="1" w16cid:durableId="1092050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B2"/>
    <w:rsid w:val="000139F1"/>
    <w:rsid w:val="00017EA0"/>
    <w:rsid w:val="0002221C"/>
    <w:rsid w:val="00026563"/>
    <w:rsid w:val="000337EC"/>
    <w:rsid w:val="00041105"/>
    <w:rsid w:val="00044FAD"/>
    <w:rsid w:val="000608C5"/>
    <w:rsid w:val="00062B34"/>
    <w:rsid w:val="000B17D4"/>
    <w:rsid w:val="0010713F"/>
    <w:rsid w:val="00122D08"/>
    <w:rsid w:val="00163112"/>
    <w:rsid w:val="001C5717"/>
    <w:rsid w:val="001E13E2"/>
    <w:rsid w:val="001E1650"/>
    <w:rsid w:val="001F38B3"/>
    <w:rsid w:val="002258F0"/>
    <w:rsid w:val="00233334"/>
    <w:rsid w:val="00253ADE"/>
    <w:rsid w:val="002614BD"/>
    <w:rsid w:val="00266A03"/>
    <w:rsid w:val="002A4BB8"/>
    <w:rsid w:val="003010E9"/>
    <w:rsid w:val="003104EB"/>
    <w:rsid w:val="003328BA"/>
    <w:rsid w:val="003A3F28"/>
    <w:rsid w:val="003E5D78"/>
    <w:rsid w:val="003E63E5"/>
    <w:rsid w:val="003F0836"/>
    <w:rsid w:val="003F6FD6"/>
    <w:rsid w:val="00411A8A"/>
    <w:rsid w:val="00484158"/>
    <w:rsid w:val="004A686F"/>
    <w:rsid w:val="004B29AC"/>
    <w:rsid w:val="004C38C3"/>
    <w:rsid w:val="004F121C"/>
    <w:rsid w:val="004F28B2"/>
    <w:rsid w:val="004F6E0B"/>
    <w:rsid w:val="00500FF8"/>
    <w:rsid w:val="00512BF0"/>
    <w:rsid w:val="005160A3"/>
    <w:rsid w:val="0052419B"/>
    <w:rsid w:val="0054084D"/>
    <w:rsid w:val="0054456B"/>
    <w:rsid w:val="00556B26"/>
    <w:rsid w:val="0057459C"/>
    <w:rsid w:val="005D2C01"/>
    <w:rsid w:val="005F0F9C"/>
    <w:rsid w:val="005F587B"/>
    <w:rsid w:val="00601665"/>
    <w:rsid w:val="00620C7E"/>
    <w:rsid w:val="006238C4"/>
    <w:rsid w:val="00625B9B"/>
    <w:rsid w:val="00653E7F"/>
    <w:rsid w:val="00662E11"/>
    <w:rsid w:val="006915DD"/>
    <w:rsid w:val="00706883"/>
    <w:rsid w:val="007107C4"/>
    <w:rsid w:val="00713D87"/>
    <w:rsid w:val="00732B5E"/>
    <w:rsid w:val="00735317"/>
    <w:rsid w:val="00740FFB"/>
    <w:rsid w:val="00786D67"/>
    <w:rsid w:val="00790BB7"/>
    <w:rsid w:val="00823D5D"/>
    <w:rsid w:val="008248AF"/>
    <w:rsid w:val="00837460"/>
    <w:rsid w:val="008979CB"/>
    <w:rsid w:val="008C2003"/>
    <w:rsid w:val="008C5F2B"/>
    <w:rsid w:val="008F7D28"/>
    <w:rsid w:val="0092051A"/>
    <w:rsid w:val="0093143D"/>
    <w:rsid w:val="0098030F"/>
    <w:rsid w:val="00991C85"/>
    <w:rsid w:val="009F019B"/>
    <w:rsid w:val="009F072C"/>
    <w:rsid w:val="00A83AEE"/>
    <w:rsid w:val="00AD5F53"/>
    <w:rsid w:val="00AF6EA9"/>
    <w:rsid w:val="00B06E37"/>
    <w:rsid w:val="00B45F33"/>
    <w:rsid w:val="00B86DA7"/>
    <w:rsid w:val="00B9406C"/>
    <w:rsid w:val="00BA06B6"/>
    <w:rsid w:val="00BC1AD9"/>
    <w:rsid w:val="00BD4FB5"/>
    <w:rsid w:val="00C121C9"/>
    <w:rsid w:val="00C235B4"/>
    <w:rsid w:val="00C571D9"/>
    <w:rsid w:val="00C70480"/>
    <w:rsid w:val="00CE0CDB"/>
    <w:rsid w:val="00D1262B"/>
    <w:rsid w:val="00D14943"/>
    <w:rsid w:val="00D22D89"/>
    <w:rsid w:val="00D33D12"/>
    <w:rsid w:val="00D44971"/>
    <w:rsid w:val="00D46E09"/>
    <w:rsid w:val="00D614FB"/>
    <w:rsid w:val="00D65344"/>
    <w:rsid w:val="00DB0AF9"/>
    <w:rsid w:val="00DD5C28"/>
    <w:rsid w:val="00DE2120"/>
    <w:rsid w:val="00DF3FB6"/>
    <w:rsid w:val="00E41552"/>
    <w:rsid w:val="00E4480B"/>
    <w:rsid w:val="00E53111"/>
    <w:rsid w:val="00E57E67"/>
    <w:rsid w:val="00E82725"/>
    <w:rsid w:val="00EB4F3F"/>
    <w:rsid w:val="00EE176B"/>
    <w:rsid w:val="00EF183D"/>
    <w:rsid w:val="00F423D9"/>
    <w:rsid w:val="00F5515F"/>
    <w:rsid w:val="00F64381"/>
    <w:rsid w:val="00F85D8E"/>
    <w:rsid w:val="00F90EB7"/>
    <w:rsid w:val="00FF2CFF"/>
    <w:rsid w:val="00FF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64CE3"/>
  <w15:chartTrackingRefBased/>
  <w15:docId w15:val="{401D5C18-5201-C041-8CD6-C28D1BF2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8B2"/>
    <w:rPr>
      <w:rFonts w:ascii="Arial" w:eastAsia="Arial" w:hAnsi="Arial" w:cs="Angsana New"/>
      <w:kern w:val="0"/>
      <w:sz w:val="22"/>
      <w:szCs w:val="22"/>
      <w:lang w:val="en-TH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8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8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8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8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2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2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8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8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8B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F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8B2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2848</Characters>
  <Application>Microsoft Office Word</Application>
  <DocSecurity>0</DocSecurity>
  <Lines>99</Lines>
  <Paragraphs>68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Chantapat Sopontanasiri</dc:creator>
  <cp:keywords/>
  <dc:description/>
  <cp:lastModifiedBy>Chantapat Sopontanasiri</cp:lastModifiedBy>
  <cp:revision>1</cp:revision>
  <dcterms:created xsi:type="dcterms:W3CDTF">2026-04-09T01:13:00Z</dcterms:created>
  <dcterms:modified xsi:type="dcterms:W3CDTF">2026-04-09T01:13:00Z</dcterms:modified>
</cp:coreProperties>
</file>