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Aptos Display" w:hAnsi="Aptos Display"/>
          <w:b/>
          <w:color w:val="122A42"/>
          <w:sz w:val="42"/>
        </w:rPr>
        <w:t>PROPERTY INTELLIGENCE</w:t>
      </w:r>
    </w:p>
    <w:p>
      <w:pPr>
        <w:spacing w:before="0" w:after="80"/>
      </w:pPr>
      <w:r>
        <w:rPr>
          <w:rFonts w:ascii="Aptos" w:hAnsi="Aptos"/>
          <w:b/>
          <w:color w:val="2C73A9"/>
          <w:sz w:val="21"/>
        </w:rPr>
        <w:t>A data-driven system for finding, underwriting and continuously monitoring real-estate opportunities</w:t>
      </w:r>
    </w:p>
    <w:p>
      <w:pPr>
        <w:spacing w:after="100"/>
      </w:pPr>
      <w:r>
        <w:rPr>
          <w:b/>
          <w:color w:val="122A42"/>
        </w:rPr>
        <w:t xml:space="preserve">What it is. </w:t>
      </w:r>
      <w:r>
        <w:t xml:space="preserve">Property Intelligence (PI) is being built to answer a practical question: </w:t>
      </w:r>
      <w:r>
        <w:rPr>
          <w:b/>
        </w:rPr>
        <w:t>out of thousands of properties, which ones actually deserve an investor’s attention?</w:t>
      </w:r>
      <w:r>
        <w:t xml:space="preserve"> Rather than starting with a generic lead list, PI starts with objective property-level evidence, progressively adds more expensive intelligence only when warranted, and preserves what is known, estimated, calculated and still unknown.</w:t>
      </w:r>
    </w:p>
    <w:tbl>
      <w:tblPr>
        <w:tblW w:type="auto" w:w="0"/>
        <w:jc w:val="center"/>
        <w:tblLayout w:type="fixed"/>
        <w:tblLook w:firstColumn="1" w:firstRow="1" w:lastColumn="0" w:lastRow="0" w:noHBand="0" w:noVBand="1" w:val="04A0"/>
      </w:tblPr>
      <w:tblGrid>
        <w:gridCol w:w="2664"/>
        <w:gridCol w:w="2664"/>
        <w:gridCol w:w="2664"/>
        <w:gridCol w:w="2664"/>
      </w:tblGrid>
      <w:tr>
        <w:tc>
          <w:tcPr>
            <w:tcW w:type="dxa" w:w="2621"/>
            <w:shd w:fill="F3F6F8"/>
            <w:tcMar>
              <w:top w:w="60" w:type="dxa"/>
              <w:start w:w="90" w:type="dxa"/>
              <w:bottom w:w="60" w:type="dxa"/>
              <w:end w:w="90" w:type="dxa"/>
            </w:tcMar>
          </w:tcPr>
          <w:p>
            <w:pPr>
              <w:jc w:val="center"/>
            </w:pPr>
            <w:r>
              <w:rPr>
                <w:b/>
                <w:color w:val="CD7324"/>
                <w:sz w:val="18"/>
              </w:rPr>
              <w:t>1  DISCOVER</w:t>
              <w:br/>
            </w:r>
            <w:r>
              <w:rPr>
                <w:color w:val="232D37"/>
                <w:sz w:val="15"/>
              </w:rPr>
              <w:t>Start with distress and recorded-property signals.</w:t>
            </w:r>
          </w:p>
        </w:tc>
        <w:tc>
          <w:tcPr>
            <w:tcW w:type="dxa" w:w="2621"/>
            <w:shd w:fill="F3F6F8"/>
            <w:tcMar>
              <w:top w:w="60" w:type="dxa"/>
              <w:start w:w="90" w:type="dxa"/>
              <w:bottom w:w="60" w:type="dxa"/>
              <w:end w:w="90" w:type="dxa"/>
            </w:tcMar>
          </w:tcPr>
          <w:p>
            <w:pPr>
              <w:jc w:val="center"/>
            </w:pPr>
            <w:r>
              <w:rPr>
                <w:b/>
                <w:color w:val="2C73A9"/>
                <w:sz w:val="18"/>
              </w:rPr>
              <w:t>2  VERIFY</w:t>
              <w:br/>
            </w:r>
            <w:r>
              <w:rPr>
                <w:color w:val="232D37"/>
                <w:sz w:val="15"/>
              </w:rPr>
              <w:t>Resolve the parcel, Assessor record and canonical property identity.</w:t>
            </w:r>
          </w:p>
        </w:tc>
        <w:tc>
          <w:tcPr>
            <w:tcW w:type="dxa" w:w="2621"/>
            <w:shd w:fill="F3F6F8"/>
            <w:tcMar>
              <w:top w:w="60" w:type="dxa"/>
              <w:start w:w="90" w:type="dxa"/>
              <w:bottom w:w="60" w:type="dxa"/>
              <w:end w:w="90" w:type="dxa"/>
            </w:tcMar>
          </w:tcPr>
          <w:p>
            <w:pPr>
              <w:jc w:val="center"/>
            </w:pPr>
            <w:r>
              <w:rPr>
                <w:b/>
                <w:color w:val="397957"/>
                <w:sz w:val="18"/>
              </w:rPr>
              <w:t>3  ANALYZE</w:t>
              <w:br/>
            </w:r>
            <w:r>
              <w:rPr>
                <w:color w:val="232D37"/>
                <w:sz w:val="15"/>
              </w:rPr>
              <w:t>Add mortgage, value, comps, liens and deal economics.</w:t>
            </w:r>
          </w:p>
        </w:tc>
        <w:tc>
          <w:tcPr>
            <w:tcW w:type="dxa" w:w="2621"/>
            <w:shd w:fill="F3F6F8"/>
            <w:tcMar>
              <w:top w:w="60" w:type="dxa"/>
              <w:start w:w="90" w:type="dxa"/>
              <w:bottom w:w="60" w:type="dxa"/>
              <w:end w:w="90" w:type="dxa"/>
            </w:tcMar>
          </w:tcPr>
          <w:p>
            <w:pPr>
              <w:jc w:val="center"/>
            </w:pPr>
            <w:r>
              <w:rPr>
                <w:b/>
                <w:color w:val="122A42"/>
                <w:sz w:val="18"/>
              </w:rPr>
              <w:t>4  MONITOR</w:t>
              <w:br/>
            </w:r>
            <w:r>
              <w:rPr>
                <w:color w:val="232D37"/>
                <w:sz w:val="15"/>
              </w:rPr>
              <w:t>Detect NOD/NTS, auction, tax, loan, lien or ownership changes.</w:t>
            </w:r>
          </w:p>
        </w:tc>
      </w:tr>
    </w:tbl>
    <w:p>
      <w:pPr>
        <w:spacing w:after="0"/>
      </w:pPr>
    </w:p>
    <w:tbl>
      <w:tblPr>
        <w:tblW w:type="auto" w:w="0"/>
        <w:jc w:val="center"/>
        <w:tblLayout w:type="fixed"/>
        <w:tblLook w:firstColumn="1" w:firstRow="1" w:lastColumn="0" w:lastRow="0" w:noHBand="0" w:noVBand="1" w:val="04A0"/>
      </w:tblPr>
      <w:tblGrid>
        <w:gridCol w:w="5328"/>
        <w:gridCol w:w="5328"/>
      </w:tblGrid>
      <w:tr>
        <w:tc>
          <w:tcPr>
            <w:tcW w:type="dxa" w:w="5357"/>
            <w:tcMar>
              <w:top w:w="40" w:type="dxa"/>
              <w:start w:w="70" w:type="dxa"/>
              <w:bottom w:w="40" w:type="dxa"/>
              <w:end w:w="70" w:type="dxa"/>
            </w:tcMar>
          </w:tcPr>
          <w:p>
            <w:pPr>
              <w:spacing w:after="0"/>
            </w:pPr>
            <w:r>
              <w:rPr>
                <w:rFonts w:ascii="Aptos" w:hAnsi="Aptos"/>
                <w:b/>
                <w:color w:val="122A42"/>
                <w:sz w:val="18"/>
              </w:rPr>
              <w:t>WHERE THE INFORMATION COMES FROM</w:t>
              <w:br/>
            </w:r>
            <w:r>
              <w:rPr>
                <w:rFonts w:ascii="Aptos" w:hAnsi="Aptos"/>
                <w:color w:val="232D37"/>
                <w:sz w:val="16"/>
              </w:rPr>
              <w:t>PI deliberately uses multiple independent sources because no single database tells the complete story. Kern County/public records provide tax-distress and Assessor evidence. ATTOM is being evaluated for recorder history, mortgages, assignments/releases, modeled loan positions, equity and NOD/NTS/foreclosure events. RentCast provides independent valuation and comparable-property evidence. First American/DataTree is being evaluated for deeper title, recorded-document, HOA/lien and encumbrance intelligence. Each source retains its own provenance; one provider does not silently overwrite another.</w:t>
              <w:br/>
            </w:r>
            <w:r>
              <w:rPr>
                <w:rFonts w:ascii="Aptos" w:hAnsi="Aptos"/>
                <w:b/>
                <w:color w:val="2C73A9"/>
                <w:sz w:val="18"/>
              </w:rPr>
              <w:t>HOW PI TARGETS PROPERTIES</w:t>
              <w:br/>
            </w:r>
            <w:r>
              <w:rPr>
                <w:rFonts w:ascii="Aptos" w:hAnsi="Aptos"/>
                <w:color w:val="232D37"/>
                <w:sz w:val="16"/>
              </w:rPr>
              <w:t>PI uses a funnel rather than enriching every parcel. Broad, relatively inexpensive county/public signals identify candidates. The system then prioritizes by property type, distress evidence, data quality and potential economic relevance. Higher-cost provider calls are reserved for progressively stronger candidates. The goal is not to label a property a “deal”; it is to reduce thousands of records to the small number worth serious human investigation.</w:t>
            </w:r>
          </w:p>
        </w:tc>
        <w:tc>
          <w:tcPr>
            <w:tcW w:type="dxa" w:w="5357"/>
            <w:tcMar>
              <w:top w:w="40" w:type="dxa"/>
              <w:start w:w="70" w:type="dxa"/>
              <w:bottom w:w="40" w:type="dxa"/>
              <w:end w:w="70" w:type="dxa"/>
            </w:tcMar>
          </w:tcPr>
          <w:p>
            <w:pPr>
              <w:spacing w:after="0"/>
            </w:pPr>
            <w:r>
              <w:rPr>
                <w:rFonts w:ascii="Aptos" w:hAnsi="Aptos"/>
                <w:b/>
                <w:color w:val="122A42"/>
                <w:sz w:val="18"/>
              </w:rPr>
              <w:t>HOW A PROPERTY IS ANALYZED</w:t>
              <w:br/>
            </w:r>
            <w:r>
              <w:rPr>
                <w:rFonts w:ascii="Aptos" w:hAnsi="Aptos"/>
                <w:color w:val="232D37"/>
                <w:sz w:val="16"/>
              </w:rPr>
              <w:t>For a surviving candidate PI builds an evidence package: property characteristics; tax delinquency; transaction history; recorded and modeled mortgage positions; estimated loan balance/equity; NOD/NTS/auction status; independent value range and comps; known liens/encumbrances; and unresolved diligence items. Investor assumptions—acquisition price, rehab, financing, holding period, selling costs and required return—can then be used to calculate break-even economics and a Maximum Allowable Offer (MAO).</w:t>
              <w:br/>
            </w:r>
            <w:r>
              <w:rPr>
                <w:rFonts w:ascii="Aptos" w:hAnsi="Aptos"/>
                <w:b/>
                <w:color w:val="397957"/>
                <w:sz w:val="18"/>
              </w:rPr>
              <w:t>WHY CONTINUOUS MONITORING MATTERS</w:t>
              <w:br/>
            </w:r>
            <w:r>
              <w:rPr>
                <w:rFonts w:ascii="Aptos" w:hAnsi="Aptos"/>
                <w:color w:val="232D37"/>
                <w:sz w:val="16"/>
              </w:rPr>
              <w:t>A distressed-property list becomes stale immediately. A new NOD can be recorded, an NTS can follow, an auction can move, taxes can be redeemed, a mortgage can change, a lien can appear, or ownership can transfer. PI is designed to monitor material changes and re-prioritize the opportunity so an investor knows not just what a property looked like months ago, but what changed and why it matters now.</w:t>
            </w:r>
          </w:p>
        </w:tc>
      </w:tr>
    </w:tbl>
    <w:tbl>
      <w:tblPr>
        <w:tblW w:type="auto" w:w="0"/>
        <w:jc w:val="center"/>
        <w:tblLook w:firstColumn="1" w:firstRow="1" w:lastColumn="0" w:lastRow="0" w:noHBand="0" w:noVBand="1" w:val="04A0"/>
      </w:tblPr>
      <w:tblGrid>
        <w:gridCol w:w="10656"/>
      </w:tblGrid>
      <w:tr>
        <w:tc>
          <w:tcPr>
            <w:tcW w:type="dxa" w:w="10656"/>
            <w:shd w:fill="EDF4FA"/>
            <w:tcMar>
              <w:top w:w="70" w:type="dxa"/>
              <w:start w:w="100" w:type="dxa"/>
              <w:bottom w:w="70" w:type="dxa"/>
              <w:end w:w="100" w:type="dxa"/>
            </w:tcMar>
          </w:tcPr>
          <w:p>
            <w:pPr>
              <w:spacing w:after="0"/>
            </w:pPr>
            <w:r>
              <w:rPr>
                <w:b/>
                <w:color w:val="2C73A9"/>
                <w:sz w:val="18"/>
              </w:rPr>
              <w:t xml:space="preserve">WHY MONTE CARLO ANALYSIS?  </w:t>
            </w:r>
            <w:r>
              <w:rPr>
                <w:color w:val="232D37"/>
                <w:sz w:val="16"/>
              </w:rPr>
              <w:t>A conventional deal model can create false precision by using one value for resale price, repairs, time-to-exit and financing/holding costs. PI’s planned Monte Carlo analysis treats uncertain inputs as ranges/distributions and runs many plausible combinations. The output is not “this deal will make $X.” It is a risk distribution: probability of meeting the investor’s return hurdle, downside cases, likely profit range and which assumptions drive the most risk. This helps distinguish a deal that works only under optimistic assumptions from one that remains viable across a wide range of outcomes.</w:t>
            </w:r>
          </w:p>
        </w:tc>
      </w:tr>
    </w:tbl>
    <w:p>
      <w:pPr>
        <w:spacing w:before="80" w:after="0"/>
      </w:pPr>
      <w:r>
        <w:rPr>
          <w:b/>
          <w:color w:val="122A42"/>
          <w:sz w:val="19"/>
        </w:rPr>
        <w:t xml:space="preserve">The core idea: </w:t>
      </w:r>
      <w:r>
        <w:rPr>
          <w:b/>
          <w:color w:val="122A42"/>
          <w:sz w:val="19"/>
        </w:rPr>
        <w:t>PI is not another real-estate lead list and it is not intended to replace professional judgment. It is the intelligence layer that finds where to look, organizes the evidence, quantifies the economics and uncertainty, identifies what still needs verification, and keeps watching for changes.</w:t>
      </w:r>
    </w:p>
    <w:p>
      <w:pPr>
        <w:spacing w:before="60" w:after="0"/>
      </w:pPr>
      <w:r>
        <w:rPr>
          <w:b/>
          <w:color w:val="56626E"/>
          <w:sz w:val="15"/>
        </w:rPr>
        <w:t xml:space="preserve">Current status: </w:t>
      </w:r>
      <w:r>
        <w:rPr>
          <w:color w:val="56626E"/>
          <w:sz w:val="15"/>
        </w:rPr>
        <w:t>Kern County is the initial proving ground. The core opportunity/Assessor/property workflow is operational; ATTOM bulk/API and First American/DataTree are in controlled evaluation for the continuous mortgage, foreclosure, lien and title layers. The architecture is being designed for expansion beyond Kern.</w:t>
      </w:r>
    </w:p>
    <w:sectPr w:rsidR="00FC693F" w:rsidRPr="0006063C" w:rsidSect="00034616">
      <w:pgSz w:w="12240" w:h="15840"/>
      <w:pgMar w:top="547" w:right="792" w:bottom="547"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