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B2051B" w14:textId="77777777" w:rsidR="00FC01F2" w:rsidRDefault="00000000">
      <w:pPr>
        <w:spacing w:after="0"/>
      </w:pPr>
      <w:r>
        <w:rPr>
          <w:rFonts w:ascii="Aptos Display" w:hAnsi="Aptos Display"/>
          <w:b/>
          <w:color w:val="122A42"/>
          <w:sz w:val="44"/>
        </w:rPr>
        <w:t>PROPERTY INTELLIGENCE</w:t>
      </w:r>
    </w:p>
    <w:p w14:paraId="787AD2D1" w14:textId="77777777" w:rsidR="00FC01F2" w:rsidRPr="008015A1" w:rsidRDefault="00000000">
      <w:pPr>
        <w:spacing w:after="80"/>
        <w:rPr>
          <w:sz w:val="24"/>
          <w:szCs w:val="24"/>
        </w:rPr>
      </w:pPr>
      <w:r w:rsidRPr="008015A1">
        <w:rPr>
          <w:b/>
          <w:color w:val="2C73A9"/>
          <w:sz w:val="24"/>
          <w:szCs w:val="24"/>
        </w:rPr>
        <w:t>A disciplined way to find, underwrite and continuously monitor real-estate opportunities.</w:t>
      </w:r>
    </w:p>
    <w:p w14:paraId="1AF69F6D" w14:textId="77777777" w:rsidR="00FC01F2" w:rsidRPr="008015A1" w:rsidRDefault="00000000">
      <w:pPr>
        <w:spacing w:after="50" w:line="240" w:lineRule="auto"/>
        <w:rPr>
          <w:sz w:val="22"/>
        </w:rPr>
      </w:pPr>
      <w:r w:rsidRPr="008015A1">
        <w:rPr>
          <w:b/>
          <w:color w:val="122A42"/>
          <w:sz w:val="22"/>
        </w:rPr>
        <w:t xml:space="preserve">What it is: </w:t>
      </w:r>
      <w:r w:rsidRPr="008015A1">
        <w:rPr>
          <w:sz w:val="22"/>
        </w:rPr>
        <w:t xml:space="preserve">Property Intelligence (PI) is being built to answer a practical question: out of thousands of properties, which ones </w:t>
      </w:r>
      <w:proofErr w:type="gramStart"/>
      <w:r w:rsidRPr="008015A1">
        <w:rPr>
          <w:sz w:val="22"/>
        </w:rPr>
        <w:t>actually deserve</w:t>
      </w:r>
      <w:proofErr w:type="gramEnd"/>
      <w:r w:rsidRPr="008015A1">
        <w:rPr>
          <w:sz w:val="22"/>
        </w:rPr>
        <w:t xml:space="preserve"> an investor's attention? PI is not intended to replace an experienced agent, investor, appraiser or title professional. It organizes fragmented evidence into a repeatable decision process.</w:t>
      </w:r>
    </w:p>
    <w:tbl>
      <w:tblPr>
        <w:tblW w:w="0" w:type="auto"/>
        <w:jc w:val="center"/>
        <w:tblLook w:val="04A0" w:firstRow="1" w:lastRow="0" w:firstColumn="1" w:lastColumn="0" w:noHBand="0" w:noVBand="1"/>
      </w:tblPr>
      <w:tblGrid>
        <w:gridCol w:w="2664"/>
        <w:gridCol w:w="2664"/>
        <w:gridCol w:w="2664"/>
        <w:gridCol w:w="2664"/>
      </w:tblGrid>
      <w:tr w:rsidR="00FC01F2" w14:paraId="69678B1A" w14:textId="77777777">
        <w:trPr>
          <w:jc w:val="center"/>
        </w:trPr>
        <w:tc>
          <w:tcPr>
            <w:tcW w:w="2664" w:type="dxa"/>
            <w:shd w:val="clear" w:color="auto" w:fill="F3F6F8"/>
            <w:tcMar>
              <w:top w:w="55" w:type="dxa"/>
              <w:left w:w="75" w:type="dxa"/>
              <w:bottom w:w="55" w:type="dxa"/>
              <w:right w:w="75" w:type="dxa"/>
            </w:tcMar>
          </w:tcPr>
          <w:p w14:paraId="024EEA0C" w14:textId="77777777" w:rsidR="00FC01F2" w:rsidRDefault="00000000">
            <w:pPr>
              <w:jc w:val="center"/>
            </w:pPr>
            <w:proofErr w:type="gramStart"/>
            <w:r>
              <w:rPr>
                <w:b/>
                <w:color w:val="D27823"/>
              </w:rPr>
              <w:t>1  DISCOVER</w:t>
            </w:r>
            <w:proofErr w:type="gramEnd"/>
            <w:r>
              <w:rPr>
                <w:b/>
                <w:color w:val="D27823"/>
              </w:rPr>
              <w:br/>
            </w:r>
            <w:r>
              <w:rPr>
                <w:color w:val="232D37"/>
                <w:sz w:val="17"/>
              </w:rPr>
              <w:t>Find objective distress/property signals.</w:t>
            </w:r>
          </w:p>
        </w:tc>
        <w:tc>
          <w:tcPr>
            <w:tcW w:w="2664" w:type="dxa"/>
            <w:shd w:val="clear" w:color="auto" w:fill="F3F6F8"/>
            <w:tcMar>
              <w:top w:w="55" w:type="dxa"/>
              <w:left w:w="75" w:type="dxa"/>
              <w:bottom w:w="55" w:type="dxa"/>
              <w:right w:w="75" w:type="dxa"/>
            </w:tcMar>
          </w:tcPr>
          <w:p w14:paraId="287592D8" w14:textId="77777777" w:rsidR="00FC01F2" w:rsidRDefault="00000000">
            <w:pPr>
              <w:jc w:val="center"/>
            </w:pPr>
            <w:r>
              <w:rPr>
                <w:b/>
                <w:color w:val="2C73A9"/>
              </w:rPr>
              <w:t>2  VERIFY</w:t>
            </w:r>
            <w:r>
              <w:rPr>
                <w:b/>
                <w:color w:val="2C73A9"/>
              </w:rPr>
              <w:br/>
            </w:r>
            <w:r>
              <w:rPr>
                <w:color w:val="232D37"/>
                <w:sz w:val="17"/>
              </w:rPr>
              <w:t>Resolve parcel, Assessor and property identity.</w:t>
            </w:r>
          </w:p>
        </w:tc>
        <w:tc>
          <w:tcPr>
            <w:tcW w:w="2664" w:type="dxa"/>
            <w:shd w:val="clear" w:color="auto" w:fill="F3F6F8"/>
            <w:tcMar>
              <w:top w:w="55" w:type="dxa"/>
              <w:left w:w="75" w:type="dxa"/>
              <w:bottom w:w="55" w:type="dxa"/>
              <w:right w:w="75" w:type="dxa"/>
            </w:tcMar>
          </w:tcPr>
          <w:p w14:paraId="418F430F" w14:textId="77777777" w:rsidR="00FC01F2" w:rsidRDefault="00000000">
            <w:pPr>
              <w:jc w:val="center"/>
            </w:pPr>
            <w:r>
              <w:rPr>
                <w:b/>
                <w:color w:val="468750"/>
              </w:rPr>
              <w:t>3  ANALYZE</w:t>
            </w:r>
            <w:r>
              <w:rPr>
                <w:b/>
                <w:color w:val="468750"/>
              </w:rPr>
              <w:br/>
            </w:r>
            <w:r>
              <w:rPr>
                <w:color w:val="232D37"/>
                <w:sz w:val="17"/>
              </w:rPr>
              <w:t>Add value, mortgage, liens and economics.</w:t>
            </w:r>
          </w:p>
        </w:tc>
        <w:tc>
          <w:tcPr>
            <w:tcW w:w="2664" w:type="dxa"/>
            <w:shd w:val="clear" w:color="auto" w:fill="F3F6F8"/>
            <w:tcMar>
              <w:top w:w="55" w:type="dxa"/>
              <w:left w:w="75" w:type="dxa"/>
              <w:bottom w:w="55" w:type="dxa"/>
              <w:right w:w="75" w:type="dxa"/>
            </w:tcMar>
          </w:tcPr>
          <w:p w14:paraId="300C7815" w14:textId="77777777" w:rsidR="00FC01F2" w:rsidRDefault="00000000">
            <w:pPr>
              <w:jc w:val="center"/>
            </w:pPr>
            <w:r>
              <w:rPr>
                <w:b/>
                <w:color w:val="122A42"/>
              </w:rPr>
              <w:t>4  MONITOR</w:t>
            </w:r>
            <w:r>
              <w:rPr>
                <w:b/>
                <w:color w:val="122A42"/>
              </w:rPr>
              <w:br/>
            </w:r>
            <w:r>
              <w:rPr>
                <w:color w:val="232D37"/>
                <w:sz w:val="17"/>
              </w:rPr>
              <w:t>Detect changes that alter the opportunity.</w:t>
            </w:r>
          </w:p>
        </w:tc>
      </w:tr>
    </w:tbl>
    <w:p w14:paraId="44505D9B" w14:textId="77777777" w:rsidR="00FC01F2" w:rsidRDefault="00000000">
      <w:pPr>
        <w:spacing w:before="60" w:after="20"/>
      </w:pPr>
      <w:r>
        <w:rPr>
          <w:rFonts w:ascii="Aptos Display" w:hAnsi="Aptos Display"/>
          <w:b/>
          <w:color w:val="122A42"/>
          <w:sz w:val="25"/>
        </w:rPr>
        <w:t>Where the information comes from — and why</w:t>
      </w:r>
    </w:p>
    <w:p w14:paraId="5A23D222" w14:textId="77777777" w:rsidR="00FC01F2" w:rsidRPr="008015A1" w:rsidRDefault="00000000">
      <w:pPr>
        <w:spacing w:after="50" w:line="240" w:lineRule="auto"/>
        <w:rPr>
          <w:sz w:val="22"/>
        </w:rPr>
      </w:pPr>
      <w:r w:rsidRPr="008015A1">
        <w:rPr>
          <w:sz w:val="22"/>
        </w:rPr>
        <w:t>PI intentionally uses multiple independent sources because no single database answers every question. Each important fact retains its source and date; estimates are not silently converted into verified facts.</w:t>
      </w:r>
    </w:p>
    <w:p w14:paraId="2B413F7D" w14:textId="77777777" w:rsidR="00FC01F2" w:rsidRPr="008015A1" w:rsidRDefault="00000000">
      <w:pPr>
        <w:spacing w:after="24" w:line="240" w:lineRule="auto"/>
        <w:ind w:left="230" w:hanging="158"/>
        <w:rPr>
          <w:sz w:val="22"/>
        </w:rPr>
      </w:pPr>
      <w:r w:rsidRPr="008015A1">
        <w:rPr>
          <w:b/>
          <w:sz w:val="22"/>
        </w:rPr>
        <w:t xml:space="preserve">• </w:t>
      </w:r>
      <w:r w:rsidRPr="008015A1">
        <w:rPr>
          <w:sz w:val="22"/>
        </w:rPr>
        <w:t>Kern County / public records — discovery and factual county evidence: tax delinquency/Power-to-Sell, Assessor identity, use, assessments and parcel information.</w:t>
      </w:r>
    </w:p>
    <w:p w14:paraId="012D6FC9" w14:textId="77777777" w:rsidR="00FC01F2" w:rsidRPr="008015A1" w:rsidRDefault="00000000">
      <w:pPr>
        <w:spacing w:after="24" w:line="240" w:lineRule="auto"/>
        <w:ind w:left="230" w:hanging="158"/>
        <w:rPr>
          <w:sz w:val="22"/>
        </w:rPr>
      </w:pPr>
      <w:r w:rsidRPr="008015A1">
        <w:rPr>
          <w:b/>
          <w:sz w:val="22"/>
        </w:rPr>
        <w:t xml:space="preserve">• </w:t>
      </w:r>
      <w:r w:rsidRPr="008015A1">
        <w:rPr>
          <w:sz w:val="22"/>
        </w:rPr>
        <w:t>ATTOM — being evaluated for recorder history, mortgages, assignments/releases, modeled first/second/third loan positions and NOD/NTS/foreclosure events. Its API has already been proven for exact-property mortgage/equity/foreclosure queries; bulk feeds are being evaluated for continuous discovery.</w:t>
      </w:r>
    </w:p>
    <w:p w14:paraId="47262F89" w14:textId="77777777" w:rsidR="00FC01F2" w:rsidRPr="008015A1" w:rsidRDefault="00000000">
      <w:pPr>
        <w:spacing w:after="24" w:line="240" w:lineRule="auto"/>
        <w:ind w:left="230" w:hanging="158"/>
        <w:rPr>
          <w:sz w:val="22"/>
        </w:rPr>
      </w:pPr>
      <w:r w:rsidRPr="008015A1">
        <w:rPr>
          <w:b/>
          <w:sz w:val="22"/>
        </w:rPr>
        <w:t xml:space="preserve">• </w:t>
      </w:r>
      <w:r w:rsidRPr="008015A1">
        <w:rPr>
          <w:sz w:val="22"/>
        </w:rPr>
        <w:t>RentCast — independent AVM, property characteristics and comparable-property evidence, keeping valuation separate from the mortgage/distress provider.</w:t>
      </w:r>
    </w:p>
    <w:p w14:paraId="1EFA797B" w14:textId="77777777" w:rsidR="00FC01F2" w:rsidRPr="008015A1" w:rsidRDefault="00000000">
      <w:pPr>
        <w:spacing w:after="24" w:line="240" w:lineRule="auto"/>
        <w:ind w:left="230" w:hanging="158"/>
        <w:rPr>
          <w:sz w:val="22"/>
        </w:rPr>
      </w:pPr>
      <w:r w:rsidRPr="008015A1">
        <w:rPr>
          <w:b/>
          <w:sz w:val="22"/>
        </w:rPr>
        <w:t xml:space="preserve">• </w:t>
      </w:r>
      <w:r w:rsidRPr="008015A1">
        <w:rPr>
          <w:sz w:val="22"/>
        </w:rPr>
        <w:t>First American / DataTree — currently in UAT evaluation for deeper recorded-document, title, foreclosure, HOA/lien and encumbrance intelligence.</w:t>
      </w:r>
    </w:p>
    <w:p w14:paraId="0A133968" w14:textId="77777777" w:rsidR="00FC01F2" w:rsidRDefault="00000000">
      <w:pPr>
        <w:spacing w:before="60" w:after="20"/>
      </w:pPr>
      <w:r>
        <w:rPr>
          <w:rFonts w:ascii="Aptos Display" w:hAnsi="Aptos Display"/>
          <w:b/>
          <w:color w:val="122A42"/>
          <w:sz w:val="25"/>
        </w:rPr>
        <w:t>How PI targets properties</w:t>
      </w:r>
    </w:p>
    <w:p w14:paraId="1E8DF678" w14:textId="77777777" w:rsidR="00FC01F2" w:rsidRPr="008015A1" w:rsidRDefault="00000000">
      <w:pPr>
        <w:spacing w:after="50" w:line="240" w:lineRule="auto"/>
        <w:rPr>
          <w:sz w:val="22"/>
        </w:rPr>
      </w:pPr>
      <w:r w:rsidRPr="008015A1">
        <w:rPr>
          <w:sz w:val="22"/>
        </w:rPr>
        <w:t>PI uses a progressive-cost funnel rather than buying deep data for every parcel.</w:t>
      </w:r>
    </w:p>
    <w:p w14:paraId="47350919" w14:textId="77777777" w:rsidR="00FC01F2" w:rsidRPr="008015A1" w:rsidRDefault="00000000">
      <w:pPr>
        <w:spacing w:after="24" w:line="240" w:lineRule="auto"/>
        <w:ind w:left="230" w:hanging="158"/>
        <w:rPr>
          <w:sz w:val="22"/>
        </w:rPr>
      </w:pPr>
      <w:r w:rsidRPr="008015A1">
        <w:rPr>
          <w:b/>
          <w:sz w:val="22"/>
        </w:rPr>
        <w:t xml:space="preserve">• </w:t>
      </w:r>
      <w:r w:rsidRPr="008015A1">
        <w:rPr>
          <w:sz w:val="22"/>
        </w:rPr>
        <w:t>Broad, relatively inexpensive distress signals create candidates: tax delinquency, NOD, NTS, auction/foreclosure activity and other material recorded events.</w:t>
      </w:r>
    </w:p>
    <w:p w14:paraId="58AAE410" w14:textId="77777777" w:rsidR="00FC01F2" w:rsidRPr="008015A1" w:rsidRDefault="00000000">
      <w:pPr>
        <w:spacing w:after="24" w:line="240" w:lineRule="auto"/>
        <w:ind w:left="230" w:hanging="158"/>
        <w:rPr>
          <w:sz w:val="22"/>
        </w:rPr>
      </w:pPr>
      <w:r w:rsidRPr="008015A1">
        <w:rPr>
          <w:b/>
          <w:sz w:val="22"/>
        </w:rPr>
        <w:t xml:space="preserve">• </w:t>
      </w:r>
      <w:r w:rsidRPr="008015A1">
        <w:rPr>
          <w:sz w:val="22"/>
        </w:rPr>
        <w:t>Identity is resolved before underwriting. County ATN/APN, Assessor identity, canonical address and provider IDs remain separate rather than being guessed or overwritten.</w:t>
      </w:r>
    </w:p>
    <w:p w14:paraId="2EFC2DCE" w14:textId="77777777" w:rsidR="00FC01F2" w:rsidRPr="008015A1" w:rsidRDefault="00000000">
      <w:pPr>
        <w:spacing w:after="24" w:line="240" w:lineRule="auto"/>
        <w:ind w:left="230" w:hanging="158"/>
        <w:rPr>
          <w:sz w:val="22"/>
        </w:rPr>
      </w:pPr>
      <w:r w:rsidRPr="008015A1">
        <w:rPr>
          <w:b/>
          <w:sz w:val="22"/>
        </w:rPr>
        <w:t xml:space="preserve">• </w:t>
      </w:r>
      <w:r w:rsidRPr="008015A1">
        <w:rPr>
          <w:sz w:val="22"/>
        </w:rPr>
        <w:t>Candidates are prioritized by property type, distress evidence, data quality and potential economic relevance. “High priority” means investigate first — not “good deal.”</w:t>
      </w:r>
    </w:p>
    <w:p w14:paraId="1B75F235" w14:textId="77777777" w:rsidR="00FC01F2" w:rsidRPr="008015A1" w:rsidRDefault="00000000">
      <w:pPr>
        <w:spacing w:after="24" w:line="240" w:lineRule="auto"/>
        <w:ind w:left="230" w:hanging="158"/>
        <w:rPr>
          <w:sz w:val="22"/>
        </w:rPr>
      </w:pPr>
      <w:r w:rsidRPr="008015A1">
        <w:rPr>
          <w:b/>
          <w:sz w:val="22"/>
        </w:rPr>
        <w:t xml:space="preserve">• </w:t>
      </w:r>
      <w:r w:rsidRPr="008015A1">
        <w:rPr>
          <w:sz w:val="22"/>
        </w:rPr>
        <w:t xml:space="preserve">Higher-cost mortgage, valuation, </w:t>
      </w:r>
      <w:proofErr w:type="gramStart"/>
      <w:r w:rsidRPr="008015A1">
        <w:rPr>
          <w:sz w:val="22"/>
        </w:rPr>
        <w:t>lien</w:t>
      </w:r>
      <w:proofErr w:type="gramEnd"/>
      <w:r w:rsidRPr="008015A1">
        <w:rPr>
          <w:sz w:val="22"/>
        </w:rPr>
        <w:t xml:space="preserve"> and title intelligence is reserved for the much smaller group that survives earlier screening.</w:t>
      </w:r>
    </w:p>
    <w:p w14:paraId="16D9A1D7" w14:textId="77777777" w:rsidR="00FC01F2" w:rsidRDefault="00000000">
      <w:pPr>
        <w:spacing w:before="60" w:after="20"/>
      </w:pPr>
      <w:r>
        <w:rPr>
          <w:rFonts w:ascii="Aptos Display" w:hAnsi="Aptos Display"/>
          <w:b/>
          <w:color w:val="122A42"/>
          <w:sz w:val="25"/>
        </w:rPr>
        <w:t xml:space="preserve">How PI analyzes </w:t>
      </w:r>
      <w:proofErr w:type="gramStart"/>
      <w:r>
        <w:rPr>
          <w:rFonts w:ascii="Aptos Display" w:hAnsi="Aptos Display"/>
          <w:b/>
          <w:color w:val="122A42"/>
          <w:sz w:val="25"/>
        </w:rPr>
        <w:t>a surviving</w:t>
      </w:r>
      <w:proofErr w:type="gramEnd"/>
      <w:r>
        <w:rPr>
          <w:rFonts w:ascii="Aptos Display" w:hAnsi="Aptos Display"/>
          <w:b/>
          <w:color w:val="122A42"/>
          <w:sz w:val="25"/>
        </w:rPr>
        <w:t xml:space="preserve"> property</w:t>
      </w:r>
    </w:p>
    <w:tbl>
      <w:tblPr>
        <w:tblW w:w="0" w:type="auto"/>
        <w:jc w:val="center"/>
        <w:tblLook w:val="04A0" w:firstRow="1" w:lastRow="0" w:firstColumn="1" w:lastColumn="0" w:noHBand="0" w:noVBand="1"/>
      </w:tblPr>
      <w:tblGrid>
        <w:gridCol w:w="5328"/>
        <w:gridCol w:w="5328"/>
      </w:tblGrid>
      <w:tr w:rsidR="00FC01F2" w:rsidRPr="008015A1" w14:paraId="711400F5" w14:textId="77777777">
        <w:trPr>
          <w:jc w:val="center"/>
        </w:trPr>
        <w:tc>
          <w:tcPr>
            <w:tcW w:w="5328" w:type="dxa"/>
            <w:shd w:val="clear" w:color="auto" w:fill="F7F9FA"/>
            <w:tcMar>
              <w:top w:w="55" w:type="dxa"/>
              <w:left w:w="75" w:type="dxa"/>
              <w:bottom w:w="55" w:type="dxa"/>
              <w:right w:w="75" w:type="dxa"/>
            </w:tcMar>
          </w:tcPr>
          <w:p w14:paraId="36226CA1" w14:textId="77777777" w:rsidR="00FC01F2" w:rsidRPr="008015A1" w:rsidRDefault="00000000">
            <w:pPr>
              <w:spacing w:after="0"/>
              <w:rPr>
                <w:sz w:val="22"/>
              </w:rPr>
            </w:pPr>
            <w:r w:rsidRPr="008015A1">
              <w:rPr>
                <w:b/>
                <w:color w:val="2C73A9"/>
                <w:sz w:val="22"/>
              </w:rPr>
              <w:t xml:space="preserve">PROPERTY + DISTRESS — </w:t>
            </w:r>
            <w:r w:rsidRPr="008015A1">
              <w:rPr>
                <w:color w:val="232D37"/>
                <w:sz w:val="22"/>
              </w:rPr>
              <w:t>Type, size, age, parcel/acreage, zoning, tax delinquency, NOD/NTS and auction status.</w:t>
            </w:r>
          </w:p>
        </w:tc>
        <w:tc>
          <w:tcPr>
            <w:tcW w:w="5328" w:type="dxa"/>
            <w:shd w:val="clear" w:color="auto" w:fill="F7F9FA"/>
            <w:tcMar>
              <w:top w:w="55" w:type="dxa"/>
              <w:left w:w="75" w:type="dxa"/>
              <w:bottom w:w="55" w:type="dxa"/>
              <w:right w:w="75" w:type="dxa"/>
            </w:tcMar>
          </w:tcPr>
          <w:p w14:paraId="61AE26D1" w14:textId="77777777" w:rsidR="00FC01F2" w:rsidRPr="008015A1" w:rsidRDefault="00000000">
            <w:pPr>
              <w:spacing w:after="0"/>
              <w:rPr>
                <w:sz w:val="22"/>
              </w:rPr>
            </w:pPr>
            <w:r w:rsidRPr="008015A1">
              <w:rPr>
                <w:b/>
                <w:color w:val="468750"/>
                <w:sz w:val="22"/>
              </w:rPr>
              <w:t xml:space="preserve">VALUE — </w:t>
            </w:r>
            <w:r w:rsidRPr="008015A1">
              <w:rPr>
                <w:color w:val="232D37"/>
                <w:sz w:val="22"/>
              </w:rPr>
              <w:t>Independent AVM range, comparable properties and market evidence.</w:t>
            </w:r>
          </w:p>
        </w:tc>
      </w:tr>
      <w:tr w:rsidR="00FC01F2" w:rsidRPr="008015A1" w14:paraId="6FE20FA2" w14:textId="77777777">
        <w:trPr>
          <w:jc w:val="center"/>
        </w:trPr>
        <w:tc>
          <w:tcPr>
            <w:tcW w:w="5328" w:type="dxa"/>
            <w:shd w:val="clear" w:color="auto" w:fill="F7F9FA"/>
            <w:tcMar>
              <w:top w:w="55" w:type="dxa"/>
              <w:left w:w="75" w:type="dxa"/>
              <w:bottom w:w="55" w:type="dxa"/>
              <w:right w:w="75" w:type="dxa"/>
            </w:tcMar>
          </w:tcPr>
          <w:p w14:paraId="27759976" w14:textId="77777777" w:rsidR="00FC01F2" w:rsidRPr="008015A1" w:rsidRDefault="00000000">
            <w:pPr>
              <w:spacing w:after="0"/>
              <w:rPr>
                <w:sz w:val="22"/>
              </w:rPr>
            </w:pPr>
            <w:r w:rsidRPr="008015A1">
              <w:rPr>
                <w:b/>
                <w:color w:val="2C73A9"/>
                <w:sz w:val="22"/>
              </w:rPr>
              <w:t xml:space="preserve">DEBT — </w:t>
            </w:r>
            <w:r w:rsidRPr="008015A1">
              <w:rPr>
                <w:color w:val="232D37"/>
                <w:sz w:val="22"/>
              </w:rPr>
              <w:t>Recorded mortgages, modeled lien positions, estimated balances, assignments/releases and equity.</w:t>
            </w:r>
          </w:p>
        </w:tc>
        <w:tc>
          <w:tcPr>
            <w:tcW w:w="5328" w:type="dxa"/>
            <w:shd w:val="clear" w:color="auto" w:fill="F7F9FA"/>
            <w:tcMar>
              <w:top w:w="55" w:type="dxa"/>
              <w:left w:w="75" w:type="dxa"/>
              <w:bottom w:w="55" w:type="dxa"/>
              <w:right w:w="75" w:type="dxa"/>
            </w:tcMar>
          </w:tcPr>
          <w:p w14:paraId="658D116A" w14:textId="77777777" w:rsidR="00FC01F2" w:rsidRPr="008015A1" w:rsidRDefault="00000000">
            <w:pPr>
              <w:spacing w:after="0"/>
              <w:rPr>
                <w:sz w:val="22"/>
              </w:rPr>
            </w:pPr>
            <w:r w:rsidRPr="008015A1">
              <w:rPr>
                <w:b/>
                <w:color w:val="468750"/>
                <w:sz w:val="22"/>
              </w:rPr>
              <w:t xml:space="preserve">TITLE / LIENS — </w:t>
            </w:r>
            <w:r w:rsidRPr="008015A1">
              <w:rPr>
                <w:color w:val="232D37"/>
                <w:sz w:val="22"/>
              </w:rPr>
              <w:t>Known encumbrance evidence plus explicit unresolved diligence items.</w:t>
            </w:r>
          </w:p>
        </w:tc>
      </w:tr>
      <w:tr w:rsidR="00FC01F2" w:rsidRPr="008015A1" w14:paraId="199649D3" w14:textId="77777777">
        <w:trPr>
          <w:jc w:val="center"/>
        </w:trPr>
        <w:tc>
          <w:tcPr>
            <w:tcW w:w="5328" w:type="dxa"/>
            <w:shd w:val="clear" w:color="auto" w:fill="F7F9FA"/>
            <w:tcMar>
              <w:top w:w="55" w:type="dxa"/>
              <w:left w:w="75" w:type="dxa"/>
              <w:bottom w:w="55" w:type="dxa"/>
              <w:right w:w="75" w:type="dxa"/>
            </w:tcMar>
          </w:tcPr>
          <w:p w14:paraId="4E7EAAEB" w14:textId="77777777" w:rsidR="00FC01F2" w:rsidRPr="008015A1" w:rsidRDefault="00000000">
            <w:pPr>
              <w:spacing w:after="0"/>
              <w:rPr>
                <w:sz w:val="22"/>
              </w:rPr>
            </w:pPr>
            <w:r w:rsidRPr="008015A1">
              <w:rPr>
                <w:b/>
                <w:color w:val="2C73A9"/>
                <w:sz w:val="22"/>
              </w:rPr>
              <w:t xml:space="preserve">DEAL ECONOMICS — </w:t>
            </w:r>
            <w:r w:rsidRPr="008015A1">
              <w:rPr>
                <w:color w:val="232D37"/>
                <w:sz w:val="22"/>
              </w:rPr>
              <w:t>Acquisition, rehab, financing, holding period, taxes, selling costs and required investor return.</w:t>
            </w:r>
          </w:p>
        </w:tc>
        <w:tc>
          <w:tcPr>
            <w:tcW w:w="5328" w:type="dxa"/>
            <w:shd w:val="clear" w:color="auto" w:fill="F7F9FA"/>
            <w:tcMar>
              <w:top w:w="55" w:type="dxa"/>
              <w:left w:w="75" w:type="dxa"/>
              <w:bottom w:w="55" w:type="dxa"/>
              <w:right w:w="75" w:type="dxa"/>
            </w:tcMar>
          </w:tcPr>
          <w:p w14:paraId="6C6FD6F4" w14:textId="77777777" w:rsidR="00FC01F2" w:rsidRPr="008015A1" w:rsidRDefault="00000000">
            <w:pPr>
              <w:spacing w:after="0"/>
              <w:rPr>
                <w:sz w:val="22"/>
              </w:rPr>
            </w:pPr>
            <w:r w:rsidRPr="008015A1">
              <w:rPr>
                <w:b/>
                <w:color w:val="468750"/>
                <w:sz w:val="22"/>
              </w:rPr>
              <w:t xml:space="preserve">MAO — </w:t>
            </w:r>
            <w:r w:rsidRPr="008015A1">
              <w:rPr>
                <w:color w:val="232D37"/>
                <w:sz w:val="22"/>
              </w:rPr>
              <w:t>A Maximum Allowable Offer based on the investor's assumptions — not PI's opinion of what return is acceptable.</w:t>
            </w:r>
          </w:p>
        </w:tc>
      </w:tr>
    </w:tbl>
    <w:p w14:paraId="359AEECE" w14:textId="77777777" w:rsidR="00FC01F2" w:rsidRDefault="00000000">
      <w:r>
        <w:br w:type="page"/>
      </w:r>
    </w:p>
    <w:p w14:paraId="13C835CC" w14:textId="77777777" w:rsidR="00FC01F2" w:rsidRDefault="00000000">
      <w:pPr>
        <w:spacing w:before="60" w:after="20"/>
      </w:pPr>
      <w:r>
        <w:rPr>
          <w:rFonts w:ascii="Aptos Display" w:hAnsi="Aptos Display"/>
          <w:b/>
          <w:color w:val="122A42"/>
          <w:sz w:val="28"/>
        </w:rPr>
        <w:lastRenderedPageBreak/>
        <w:t>Why Monte Carlo analysis matters</w:t>
      </w:r>
    </w:p>
    <w:p w14:paraId="02C4883D" w14:textId="77777777" w:rsidR="00FC01F2" w:rsidRPr="008015A1" w:rsidRDefault="00000000">
      <w:pPr>
        <w:spacing w:after="50" w:line="240" w:lineRule="auto"/>
        <w:rPr>
          <w:sz w:val="22"/>
        </w:rPr>
      </w:pPr>
      <w:r w:rsidRPr="008015A1">
        <w:rPr>
          <w:sz w:val="22"/>
        </w:rPr>
        <w:t>A conventional deal model can create false precision by using one resale value, one repair estimate, one holding period and one financing cost. PI's planned Monte Carlo analysis instead models reasonable ranges/distributions for uncertain inputs and runs many plausible combinations.</w:t>
      </w:r>
    </w:p>
    <w:p w14:paraId="48AB3752" w14:textId="77777777" w:rsidR="00FC01F2" w:rsidRPr="008015A1" w:rsidRDefault="00000000">
      <w:pPr>
        <w:spacing w:after="24" w:line="240" w:lineRule="auto"/>
        <w:ind w:left="230" w:hanging="158"/>
        <w:rPr>
          <w:sz w:val="22"/>
        </w:rPr>
      </w:pPr>
      <w:r w:rsidRPr="008015A1">
        <w:rPr>
          <w:b/>
          <w:sz w:val="22"/>
        </w:rPr>
        <w:t xml:space="preserve">• </w:t>
      </w:r>
      <w:r w:rsidRPr="008015A1">
        <w:rPr>
          <w:sz w:val="22"/>
        </w:rPr>
        <w:t>Resale value can vary within a defensible range instead of being fixed at one AVM number.</w:t>
      </w:r>
    </w:p>
    <w:p w14:paraId="6B76103E" w14:textId="77777777" w:rsidR="00FC01F2" w:rsidRPr="008015A1" w:rsidRDefault="00000000">
      <w:pPr>
        <w:spacing w:after="24" w:line="240" w:lineRule="auto"/>
        <w:ind w:left="230" w:hanging="158"/>
        <w:rPr>
          <w:sz w:val="22"/>
        </w:rPr>
      </w:pPr>
      <w:r w:rsidRPr="008015A1">
        <w:rPr>
          <w:b/>
          <w:sz w:val="22"/>
        </w:rPr>
        <w:t xml:space="preserve">• </w:t>
      </w:r>
      <w:r w:rsidRPr="008015A1">
        <w:rPr>
          <w:sz w:val="22"/>
        </w:rPr>
        <w:t>Rehab cost, time-to-exit, financing/holding costs and other uncertainties can move simultaneously.</w:t>
      </w:r>
    </w:p>
    <w:p w14:paraId="2B5A07FF" w14:textId="77777777" w:rsidR="00FC01F2" w:rsidRPr="008015A1" w:rsidRDefault="00000000">
      <w:pPr>
        <w:spacing w:after="24" w:line="240" w:lineRule="auto"/>
        <w:ind w:left="230" w:hanging="158"/>
        <w:rPr>
          <w:sz w:val="22"/>
        </w:rPr>
      </w:pPr>
      <w:r w:rsidRPr="008015A1">
        <w:rPr>
          <w:b/>
          <w:sz w:val="22"/>
        </w:rPr>
        <w:t xml:space="preserve">• </w:t>
      </w:r>
      <w:r w:rsidRPr="008015A1">
        <w:rPr>
          <w:sz w:val="22"/>
        </w:rPr>
        <w:t>Thousands of simulated outcomes produce a distribution rather than a single-point profit forecast.</w:t>
      </w:r>
    </w:p>
    <w:p w14:paraId="37F183A6" w14:textId="77777777" w:rsidR="00FC01F2" w:rsidRPr="008015A1" w:rsidRDefault="00000000">
      <w:pPr>
        <w:spacing w:after="24" w:line="240" w:lineRule="auto"/>
        <w:ind w:left="230" w:hanging="158"/>
        <w:rPr>
          <w:sz w:val="22"/>
        </w:rPr>
      </w:pPr>
      <w:r w:rsidRPr="008015A1">
        <w:rPr>
          <w:b/>
          <w:sz w:val="22"/>
        </w:rPr>
        <w:t xml:space="preserve">• </w:t>
      </w:r>
      <w:r w:rsidRPr="008015A1">
        <w:rPr>
          <w:sz w:val="22"/>
        </w:rPr>
        <w:t>Outputs can show probability of meeting the investor's return hurdle, likely profit/loss range, downside cases and which assumptions drive the most risk.</w:t>
      </w:r>
    </w:p>
    <w:p w14:paraId="4754521E" w14:textId="77777777" w:rsidR="00FC01F2" w:rsidRPr="008015A1" w:rsidRDefault="00000000">
      <w:pPr>
        <w:spacing w:after="50" w:line="240" w:lineRule="auto"/>
        <w:rPr>
          <w:sz w:val="22"/>
        </w:rPr>
      </w:pPr>
      <w:r w:rsidRPr="008015A1">
        <w:rPr>
          <w:b/>
          <w:color w:val="122A42"/>
          <w:sz w:val="22"/>
        </w:rPr>
        <w:t xml:space="preserve">Why this is useful: </w:t>
      </w:r>
      <w:r w:rsidRPr="008015A1">
        <w:rPr>
          <w:sz w:val="22"/>
        </w:rPr>
        <w:t>The purpose is to expose fragile deals. A property that works only when every assumption is optimistic should look very different from one that remains viable across a broad range of plausible outcomes.</w:t>
      </w:r>
    </w:p>
    <w:p w14:paraId="08DF2870" w14:textId="77777777" w:rsidR="00FC01F2" w:rsidRDefault="00000000">
      <w:pPr>
        <w:spacing w:before="60" w:after="20"/>
      </w:pPr>
      <w:r>
        <w:rPr>
          <w:rFonts w:ascii="Aptos Display" w:hAnsi="Aptos Display"/>
          <w:b/>
          <w:color w:val="122A42"/>
          <w:sz w:val="25"/>
        </w:rPr>
        <w:t>Why continuous monitoring changes the product</w:t>
      </w:r>
    </w:p>
    <w:p w14:paraId="741EF480" w14:textId="77777777" w:rsidR="00FC01F2" w:rsidRPr="008015A1" w:rsidRDefault="00000000">
      <w:pPr>
        <w:spacing w:after="50" w:line="240" w:lineRule="auto"/>
        <w:rPr>
          <w:sz w:val="22"/>
        </w:rPr>
      </w:pPr>
      <w:r w:rsidRPr="008015A1">
        <w:rPr>
          <w:sz w:val="22"/>
        </w:rPr>
        <w:t xml:space="preserve">A static distressed-property list starts aging immediately. PI is being designed as a living system. A candidate can materially change when a new NOD is recorded, an NTS or auction date appears, an auction moves, taxes are redeemed, a mortgage is assigned/released, a </w:t>
      </w:r>
      <w:proofErr w:type="gramStart"/>
      <w:r w:rsidRPr="008015A1">
        <w:rPr>
          <w:sz w:val="22"/>
        </w:rPr>
        <w:t>lien</w:t>
      </w:r>
      <w:proofErr w:type="gramEnd"/>
      <w:r w:rsidRPr="008015A1">
        <w:rPr>
          <w:sz w:val="22"/>
        </w:rPr>
        <w:t xml:space="preserve"> appears, ownership transfers or valuation changes.</w:t>
      </w:r>
    </w:p>
    <w:p w14:paraId="6296CBF5" w14:textId="77777777" w:rsidR="00FC01F2" w:rsidRPr="008015A1" w:rsidRDefault="00000000">
      <w:pPr>
        <w:spacing w:after="50" w:line="240" w:lineRule="auto"/>
        <w:rPr>
          <w:sz w:val="22"/>
        </w:rPr>
      </w:pPr>
      <w:r w:rsidRPr="008015A1">
        <w:rPr>
          <w:b/>
          <w:color w:val="122A42"/>
          <w:sz w:val="22"/>
        </w:rPr>
        <w:t xml:space="preserve">The goal: </w:t>
      </w:r>
      <w:r w:rsidRPr="008015A1">
        <w:rPr>
          <w:sz w:val="22"/>
        </w:rPr>
        <w:t xml:space="preserve">Instead of repeatedly researching hundreds of properties, the investor should eventually be able to ask: </w:t>
      </w:r>
      <w:r w:rsidRPr="008015A1">
        <w:rPr>
          <w:b/>
          <w:color w:val="122A42"/>
          <w:sz w:val="22"/>
        </w:rPr>
        <w:t>“What changed this week, which properties moved up or down in priority, and why?”</w:t>
      </w:r>
    </w:p>
    <w:p w14:paraId="4E1B60C7" w14:textId="77777777" w:rsidR="00FC01F2" w:rsidRDefault="00000000">
      <w:pPr>
        <w:spacing w:before="60" w:after="20"/>
      </w:pPr>
      <w:r>
        <w:rPr>
          <w:rFonts w:ascii="Aptos Display" w:hAnsi="Aptos Display"/>
          <w:b/>
          <w:color w:val="122A42"/>
          <w:sz w:val="25"/>
        </w:rPr>
        <w:t>What PI does differently</w:t>
      </w:r>
    </w:p>
    <w:tbl>
      <w:tblPr>
        <w:tblW w:w="0" w:type="auto"/>
        <w:jc w:val="center"/>
        <w:tblLook w:val="04A0" w:firstRow="1" w:lastRow="0" w:firstColumn="1" w:lastColumn="0" w:noHBand="0" w:noVBand="1"/>
      </w:tblPr>
      <w:tblGrid>
        <w:gridCol w:w="3552"/>
        <w:gridCol w:w="3552"/>
        <w:gridCol w:w="3552"/>
      </w:tblGrid>
      <w:tr w:rsidR="00FC01F2" w14:paraId="62BE8795" w14:textId="77777777">
        <w:trPr>
          <w:jc w:val="center"/>
        </w:trPr>
        <w:tc>
          <w:tcPr>
            <w:tcW w:w="3552" w:type="dxa"/>
            <w:shd w:val="clear" w:color="auto" w:fill="F3F6F8"/>
            <w:tcMar>
              <w:top w:w="65" w:type="dxa"/>
              <w:left w:w="80" w:type="dxa"/>
              <w:bottom w:w="65" w:type="dxa"/>
              <w:right w:w="80" w:type="dxa"/>
            </w:tcMar>
          </w:tcPr>
          <w:p w14:paraId="0B5C85EB" w14:textId="77777777" w:rsidR="00FC01F2" w:rsidRDefault="00000000">
            <w:pPr>
              <w:jc w:val="center"/>
            </w:pPr>
            <w:r w:rsidRPr="008015A1">
              <w:rPr>
                <w:b/>
                <w:color w:val="D27823"/>
                <w:sz w:val="22"/>
              </w:rPr>
              <w:t>NOT A LEAD LIST</w:t>
            </w:r>
            <w:r w:rsidRPr="008015A1">
              <w:rPr>
                <w:b/>
                <w:color w:val="D27823"/>
                <w:sz w:val="22"/>
              </w:rPr>
              <w:br/>
            </w:r>
            <w:r w:rsidRPr="008015A1">
              <w:rPr>
                <w:color w:val="232D37"/>
                <w:sz w:val="20"/>
                <w:szCs w:val="20"/>
              </w:rPr>
              <w:t>PI starts with evidence and progressively qualifies opportunities before consuming expensive data or human attention</w:t>
            </w:r>
            <w:r>
              <w:rPr>
                <w:color w:val="232D37"/>
                <w:sz w:val="17"/>
              </w:rPr>
              <w:t>.</w:t>
            </w:r>
          </w:p>
        </w:tc>
        <w:tc>
          <w:tcPr>
            <w:tcW w:w="3552" w:type="dxa"/>
            <w:shd w:val="clear" w:color="auto" w:fill="F3F6F8"/>
            <w:tcMar>
              <w:top w:w="65" w:type="dxa"/>
              <w:left w:w="80" w:type="dxa"/>
              <w:bottom w:w="65" w:type="dxa"/>
              <w:right w:w="80" w:type="dxa"/>
            </w:tcMar>
          </w:tcPr>
          <w:p w14:paraId="778A30C1" w14:textId="77777777" w:rsidR="00FC01F2" w:rsidRDefault="00000000">
            <w:pPr>
              <w:jc w:val="center"/>
            </w:pPr>
            <w:r w:rsidRPr="008015A1">
              <w:rPr>
                <w:b/>
                <w:color w:val="2C73A9"/>
                <w:sz w:val="22"/>
              </w:rPr>
              <w:t>NOT FALSE CERTAINTY</w:t>
            </w:r>
            <w:r>
              <w:rPr>
                <w:b/>
                <w:color w:val="2C73A9"/>
                <w:sz w:val="18"/>
              </w:rPr>
              <w:br/>
            </w:r>
            <w:r w:rsidRPr="008015A1">
              <w:rPr>
                <w:color w:val="232D37"/>
                <w:sz w:val="20"/>
                <w:szCs w:val="20"/>
              </w:rPr>
              <w:t>Known, estimated, calculated and unknown information remain visibly different</w:t>
            </w:r>
            <w:r>
              <w:rPr>
                <w:color w:val="232D37"/>
                <w:sz w:val="17"/>
              </w:rPr>
              <w:t>.</w:t>
            </w:r>
          </w:p>
        </w:tc>
        <w:tc>
          <w:tcPr>
            <w:tcW w:w="3552" w:type="dxa"/>
            <w:shd w:val="clear" w:color="auto" w:fill="F3F6F8"/>
            <w:tcMar>
              <w:top w:w="65" w:type="dxa"/>
              <w:left w:w="80" w:type="dxa"/>
              <w:bottom w:w="65" w:type="dxa"/>
              <w:right w:w="80" w:type="dxa"/>
            </w:tcMar>
          </w:tcPr>
          <w:p w14:paraId="0B7D58A6" w14:textId="77777777" w:rsidR="00FC01F2" w:rsidRDefault="00000000">
            <w:pPr>
              <w:jc w:val="center"/>
            </w:pPr>
            <w:r w:rsidRPr="008015A1">
              <w:rPr>
                <w:b/>
                <w:color w:val="468750"/>
                <w:sz w:val="22"/>
              </w:rPr>
              <w:t>NOT STATIC</w:t>
            </w:r>
            <w:r>
              <w:rPr>
                <w:b/>
                <w:color w:val="468750"/>
                <w:sz w:val="18"/>
              </w:rPr>
              <w:br/>
            </w:r>
            <w:r w:rsidRPr="008015A1">
              <w:rPr>
                <w:color w:val="232D37"/>
                <w:sz w:val="20"/>
                <w:szCs w:val="20"/>
              </w:rPr>
              <w:t>The long-term value is detecting changes and re-underwriting the opportunity as circumstances evolve.</w:t>
            </w:r>
          </w:p>
        </w:tc>
      </w:tr>
    </w:tbl>
    <w:p w14:paraId="42645092" w14:textId="77777777" w:rsidR="00FC01F2" w:rsidRDefault="00000000">
      <w:pPr>
        <w:spacing w:before="60" w:after="20"/>
      </w:pPr>
      <w:r>
        <w:rPr>
          <w:rFonts w:ascii="Aptos Display" w:hAnsi="Aptos Display"/>
          <w:b/>
          <w:color w:val="122A42"/>
          <w:sz w:val="25"/>
        </w:rPr>
        <w:t>Where the project stands</w:t>
      </w:r>
    </w:p>
    <w:p w14:paraId="1D73CB08" w14:textId="77777777" w:rsidR="00FC01F2" w:rsidRPr="008015A1" w:rsidRDefault="00000000">
      <w:pPr>
        <w:spacing w:after="50" w:line="240" w:lineRule="auto"/>
        <w:rPr>
          <w:sz w:val="22"/>
        </w:rPr>
      </w:pPr>
      <w:r w:rsidRPr="008015A1">
        <w:rPr>
          <w:sz w:val="22"/>
        </w:rPr>
        <w:t>Kern County is the initial proving ground. The county opportunity/Assessor/property workflow is operational. ATTOM API testing has proven exact-property mortgage/equity/foreclosure capabilities, and a five-county bulk-data POC has shown promising recorder, Loan Model, assignment/release and foreclosure data. A second sequential bulk delivery is still required to prove delta/replay/correction behavior. First American/DataTree UAT is underway for deeper title/lien intelligence. No provider is treated as authoritative for everything.</w:t>
      </w:r>
    </w:p>
    <w:p w14:paraId="7E40AB26" w14:textId="77777777" w:rsidR="00FC01F2" w:rsidRPr="008015A1" w:rsidRDefault="00000000">
      <w:pPr>
        <w:spacing w:after="50" w:line="240" w:lineRule="auto"/>
        <w:rPr>
          <w:sz w:val="22"/>
        </w:rPr>
      </w:pPr>
      <w:r w:rsidRPr="008015A1">
        <w:rPr>
          <w:b/>
          <w:color w:val="122A42"/>
          <w:sz w:val="22"/>
        </w:rPr>
        <w:t xml:space="preserve">Future direction: </w:t>
      </w:r>
      <w:r w:rsidRPr="008015A1">
        <w:rPr>
          <w:sz w:val="22"/>
        </w:rPr>
        <w:t>A future marketplace concept is also being explored: homeowners genuinely interested in selling could voluntarily expose a property to a limited group of qualified investors and compare multiple offers rather than relying on one unsolicited buyer. That is a future phase, not a current production feature.</w:t>
      </w:r>
    </w:p>
    <w:tbl>
      <w:tblPr>
        <w:tblW w:w="0" w:type="auto"/>
        <w:jc w:val="center"/>
        <w:tblLook w:val="04A0" w:firstRow="1" w:lastRow="0" w:firstColumn="1" w:lastColumn="0" w:noHBand="0" w:noVBand="1"/>
      </w:tblPr>
      <w:tblGrid>
        <w:gridCol w:w="10656"/>
      </w:tblGrid>
      <w:tr w:rsidR="00FC01F2" w14:paraId="29FB9A7A" w14:textId="77777777">
        <w:trPr>
          <w:jc w:val="center"/>
        </w:trPr>
        <w:tc>
          <w:tcPr>
            <w:tcW w:w="10656" w:type="dxa"/>
            <w:shd w:val="clear" w:color="auto" w:fill="EDF4FA"/>
            <w:tcMar>
              <w:top w:w="90" w:type="dxa"/>
              <w:left w:w="120" w:type="dxa"/>
              <w:bottom w:w="90" w:type="dxa"/>
              <w:right w:w="120" w:type="dxa"/>
            </w:tcMar>
          </w:tcPr>
          <w:p w14:paraId="11F2C852" w14:textId="77777777" w:rsidR="00FC01F2" w:rsidRDefault="00000000">
            <w:pPr>
              <w:jc w:val="center"/>
            </w:pPr>
            <w:r w:rsidRPr="008015A1">
              <w:rPr>
                <w:b/>
                <w:color w:val="2C73A9"/>
                <w:sz w:val="24"/>
                <w:szCs w:val="24"/>
              </w:rPr>
              <w:t>THE CORE IDEA</w:t>
            </w:r>
            <w:r>
              <w:rPr>
                <w:b/>
                <w:color w:val="2C73A9"/>
                <w:sz w:val="21"/>
              </w:rPr>
              <w:br/>
            </w:r>
            <w:r w:rsidRPr="008015A1">
              <w:rPr>
                <w:b/>
                <w:color w:val="122A42"/>
                <w:sz w:val="22"/>
              </w:rPr>
              <w:t>Property Intelligence is the intelligence layer that finds where to look, assembles and labels the evidence, quantifies economics and uncertainty, identifies what still must be verified, and keeps watching for the changes that can turn a property into — or out of — an actionable opportunity.</w:t>
            </w:r>
          </w:p>
        </w:tc>
      </w:tr>
    </w:tbl>
    <w:p w14:paraId="34620600" w14:textId="77777777" w:rsidR="009461D0" w:rsidRDefault="009461D0"/>
    <w:sectPr w:rsidR="009461D0" w:rsidSect="00034616">
      <w:pgSz w:w="12240" w:h="15840"/>
      <w:pgMar w:top="605" w:right="792" w:bottom="605"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16717268">
    <w:abstractNumId w:val="8"/>
  </w:num>
  <w:num w:numId="2" w16cid:durableId="1371229073">
    <w:abstractNumId w:val="6"/>
  </w:num>
  <w:num w:numId="3" w16cid:durableId="1806854254">
    <w:abstractNumId w:val="5"/>
  </w:num>
  <w:num w:numId="4" w16cid:durableId="513110157">
    <w:abstractNumId w:val="4"/>
  </w:num>
  <w:num w:numId="5" w16cid:durableId="323321057">
    <w:abstractNumId w:val="7"/>
  </w:num>
  <w:num w:numId="6" w16cid:durableId="1655917312">
    <w:abstractNumId w:val="3"/>
  </w:num>
  <w:num w:numId="7" w16cid:durableId="1822767888">
    <w:abstractNumId w:val="2"/>
  </w:num>
  <w:num w:numId="8" w16cid:durableId="903104801">
    <w:abstractNumId w:val="1"/>
  </w:num>
  <w:num w:numId="9" w16cid:durableId="2542141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A7767"/>
    <w:rsid w:val="008015A1"/>
    <w:rsid w:val="009461D0"/>
    <w:rsid w:val="00AA1D8D"/>
    <w:rsid w:val="00B47730"/>
    <w:rsid w:val="00CB0664"/>
    <w:rsid w:val="00FC01F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C3730F"/>
  <w14:defaultImageDpi w14:val="300"/>
  <w15:docId w15:val="{FA1CE498-E85B-4FA1-AE58-66E6278B86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924</Words>
  <Characters>5273</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 Roy</cp:lastModifiedBy>
  <cp:revision>2</cp:revision>
  <dcterms:created xsi:type="dcterms:W3CDTF">2013-12-23T23:15:00Z</dcterms:created>
  <dcterms:modified xsi:type="dcterms:W3CDTF">2026-10-05T23:35:00Z</dcterms:modified>
  <cp:category/>
</cp:coreProperties>
</file>