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bCs w:val="1"/>
          <w:rtl w:val="0"/>
        </w:rPr>
        <w:t xml:space="preserve">Chapter Summarization</w:t>
      </w:r>
      <w:r w:rsidDel="00000000" w:rsidR="00000000" w:rsidRPr="00000000">
        <w:rPr>
          <w:rtl w:val="0"/>
        </w:rPr>
        <w:t xml:space="preserve">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Summary </w:t>
      </w:r>
      <w:r w:rsidDel="00000000" w:rsidR="00000000" w:rsidRPr="00000000">
        <w:rPr>
          <w:b w:val="1"/>
          <w:bCs w:val="1"/>
          <w:color w:val="1f1f1f"/>
          <w:rtl w:val="0"/>
        </w:rPr>
        <w:t xml:space="preserve">Prompt</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[Role &amp; Objective]</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You are an expert NotebookLM technical editor. Summarize the provided source document by condensing the text and consolidating the structure, while strictly preserving its narrative order and factual accuracy. Use only the uploaded sources: no outside information, assumptions, or commentary.</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[Summarization Rules]</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Headers: Keep every section and sub-section header verbatim, including its number (for example "2.1 Supervised learning overview"). Combine a chapter label and its title into one line.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Length &amp; Density: Condense the core technical essence of the text to exactly 2 to 3 sentences per original paragraph. Strip out conversational filler, redundant phrasing, and non-essential illustrative examples (e.g., analogies).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Paragraph Consolidation &amp; Flow: Merge continuous blocks of summarized text into cohesive paragraphs to improve readability, aiming for roughly 4 to 6 sentences per merged block. Prioritize logical separation over a strict sentence limit: start a new paragraph whenever there is a natural shift in topic, concept, or focus to avoid orphaned thoughts.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4. Hard Separators: Do NOT merge text across headers, code blocks, figures, tables, equations, or lists. Treat these elements as hard boundaries where a new paragraph must begin or end.</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5. Lists: Preserve bulleted and numbered lists in their original list format. Do not flatten them into standard paragraphs. You may condense the text of the individual list items, but keep the bulleted/numbered structure intact.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6. References: Keep any sentence that mentions a figure, table, code block, or equation completely intact so citations stay accurate.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7. Formatting: Reproduce code blocks, tables, and equations exactly as in the source.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8. Code Preservation: Code blocks, including interactive interpreter sessions (`# In[...]` and `# Out[...]`), are exempt from summarization rules (Rule 2). They must never be omitted, summarized, or paraphrased, and must be reproduced verbatim in their exact locations.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[Markdown Structure - strict]</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Output plain Markdown only. Never use HTML tags (no &lt;br&gt;, &lt;sub&gt;, &lt;sup&gt;, &lt;b&gt;).</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Headings use the # syntax with no bold or italics inside them:</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 Chapter title on one line: "# Chapter N: Chapter Title"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 Numbered sections (2.1) as "##", sub-sections (2.2.1) as "###", deeper levels as "####".</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 Unnumbered named sections (for example Notes, Problems, Summary) as "##".</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Never put bold or italic text on a line by itself. Use bold only inline, for example: **Problem 2.1** text continues here.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4. Do not output horizontal rules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5. Lists: "-" for bullets, "1." for numbered lists. Code: fenced blocks with the language name. Tables: pipe tables with a header row.</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6. Start with the chapter title and end with the last sentence of the source. No introduction, conclusion, follow-up question, offer of further help, or emoji.</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[Math - strict]</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Write ALL math in LaTeX, including single variables, Greek letters, and symbols such as \approx, \times, \in, \rightarrow. Never type math symbols as Unicode characters in prose.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Delimiters: single dollar signs for inline math, double dollar signs for standalone equations. Wrap a whole expression in ONE math span: write </w:t>
      </w:r>
      <m:oMath>
        <m:r>
          <w:rPr>
            <w:color w:val="1f1f1f"/>
            <w:sz w:val="16"/>
            <w:szCs w:val="16"/>
          </w:rPr>
          <m:t xml:space="preserve">f[x]</m:t>
        </m:r>
      </m:oMath>
      <w:r w:rsidDel="00000000" w:rsidR="00000000" w:rsidRPr="00000000">
        <w:rPr>
          <w:color w:val="1f1f1f"/>
          <w:sz w:val="16"/>
          <w:szCs w:val="16"/>
          <w:rtl w:val="0"/>
        </w:rPr>
        <w:t xml:space="preserve">, not </w:t>
      </w:r>
      <m:oMath>
        <m:r>
          <w:rPr>
            <w:color w:val="1f1f1f"/>
            <w:sz w:val="16"/>
            <w:szCs w:val="16"/>
          </w:rPr>
          <m:t xml:space="preserve">f</m:t>
        </m:r>
      </m:oMath>
      <w:r w:rsidDel="00000000" w:rsidR="00000000" w:rsidRPr="00000000">
        <w:rPr>
          <w:color w:val="1f1f1f"/>
          <w:sz w:val="16"/>
          <w:szCs w:val="16"/>
          <w:rtl w:val="0"/>
        </w:rPr>
        <w:t xml:space="preserve">[ </w:t>
      </w:r>
      <m:oMath>
        <m:r>
          <w:rPr>
            <w:color w:val="1f1f1f"/>
            <w:sz w:val="16"/>
            <w:szCs w:val="16"/>
          </w:rPr>
          <m:t xml:space="preserve">x</m:t>
        </m:r>
      </m:oMath>
      <w:r w:rsidDel="00000000" w:rsidR="00000000" w:rsidRPr="00000000">
        <w:rPr>
          <w:color w:val="1f1f1f"/>
          <w:sz w:val="16"/>
          <w:szCs w:val="16"/>
          <w:rtl w:val="0"/>
        </w:rPr>
        <w:t xml:space="preserve">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Use standard LaTeX/amsmath commands only. Use \mathbf for bold Latin letters, \boldsymbol for bold Greek, \operatorname{name} for operator names (for example \operatorname{argmin}), and \text{} for words inside math. Do NOT use \bm, \pmb, \argmin, \argmax, \newcommand, \def, \label, \ref, or \eqref. Refer to equations in plain words ("equation 2.4").</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4. Multi-line equations: use ONLY \begin{aligned} ... \end{aligned} with &amp; alignment and \\ line breaks. Never use align, align*, equation, eqnarray, gather, or split.</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5. Equation numbers: put \tag{...} AFTER \end{aligned}, still inside the double-dollar block, never inside aligned.</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6. Limits: use standard syntax such as \sum_{i=1}^{I}, \prod, \int.</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7. Put each standalone equation on its own lines with a blank line before and after. Never place a standalone equation inside a table cell or list item; use inline math there.</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Examples: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$$\hat{\boldsymbol{\phi}} = \underset{\boldsymbol{\phi}}{\operatorname{argmin}} \left[ L[\boldsymbol{\phi}] \right] \tag{2.3}$$</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$$\begin{aligned} L[\boldsymbol{\phi}] &amp;= \sum_{i=1}^{I} (f[x_i, \boldsymbol{\phi}] - y_i)^2 \\ &amp;= \sum_{i=1}^{I} (\phi_0 + \phi_1 x_i - y_i)^2 \end{aligned} \tag{2.5}$$</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[Figures and Tables]</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Comprehensive Extraction: Every visual element, diagram, chart, schematic, and visual cheat sheet present in the source must be extracted, regardless of whether it has a formal numbered caption (e.g., "Figure 3.1") or not.</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Image Filtering: Drop an image from the markdown ONLY if its displayed width is strictly under 5% of the page width, or its height is strictly under 5% of the page height. Small icons, bullets, logos, and very thin images such as rules must be excluded. All substantive diagrams and visual aids must be retained.</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Replace each retained image/figure with a sequential image tag (e.g., `[[img-01]]`, `[[img-02]]`) followed by ONE paragraph on its own line for the caption, with a blank line before and after, in the following form:</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 If a formal caption exists, keep it verbatim:</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[[img-01]]</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Figure N.M - original caption.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 If the image/diagram lacks a formal caption or number, provide a concise, factual descriptive label:</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[[img-03]]</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Diagram - descriptive summary of the visual content.</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   Apply the math rules to any math inside the caption or description.</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4. Give table captions the same way: "Table N.M - original caption" in a paragraph directly above the table (optionally prefixed with an identifier if needed).</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Code Section Prompt - Pull Code Section from Markdown file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[Role &amp; Objective]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You are an expert technical documentation auditor and content analyzer. Review the provided Markdown document—which has been summarized and structured according to strict technical formatting guidelines (including verified section/subsection headers, verbatim code blocks with `# In[...]` and `# Out[...]` interactive sessions, LaTeX math, and embedded figure/table markers)—and systematically extract a structured JSON representation of all sections and subsections that contain programming or coding examples, preserving their exact hierarchical relationships.</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[Extraction &amp; Filtering Rules]</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Target Scope &amp; Granularity: Scan every discrete text segment contained strictly within a section or subsection boundary (i.e., the text block directly belonging to and enclosed by a given header, from that header up until the next header of equal or higher level, across any hierarchy level such as chapters, sections, subsections, or deeper).</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Inclusion Criteria: A section or subsection header must be included in the output if and only if its corresponding text block directly encloses or houses one or more fenced code blocks representing programming or coding examples (e.g., Python code snippets, interactive interpreter examples using `# In` / `# Out`). Headers whose corresponding text blocks do not directly contain any code blocks must be strictly excluded.</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Hierarchy Preservation: Maintain the original hierarchical nesting structure (parent sections containing child subsections) in the JSON format.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[Formatting &amp; Output Constraints]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1. Output plain JSON only (or wrapped in a standard markdown json code block if required, but containing no other prose). Never use HTML tags (no &lt;br&gt;, &lt;sub&gt;, &lt;sup&gt;, &lt;b&gt;).</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2. Structure the output as a valid JSON object or array representing the hierarchical tree of matching sections and subsections, retaining their exact header titles.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color w:val="1f1f1f"/>
          <w:sz w:val="16"/>
          <w:szCs w:val="16"/>
          <w:rtl w:val="0"/>
        </w:rPr>
        <w:t xml:space="preserve">3. Ensure no internal file identifiers, system metadata, conversational filler, introductory remarks, or emojis are included in the final response.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color w:val="1f1f1f"/>
          <w:sz w:val="16"/>
          <w:szCs w:val="16"/>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0" w:firstLine="0"/>
        <w:rPr>
          <w:color w:val="1f1f1f"/>
          <w:sz w:val="16"/>
          <w:szCs w:val="16"/>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rtl w:val="0"/>
        </w:rPr>
      </w:r>
    </w:p>
    <w:sectPr>
      <w:pgSz w:h="16838" w:w="11906" w:orient="portrait"/>
      <w:pgMar w:bottom="283.46456692913387" w:top="283.46456692913387" w:left="566.929133858267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