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95CB9" w:rsidRDefault="008271C6" w:rsidP="00A95CB9">
      <w:pPr>
        <w:jc w:val="center"/>
        <w:outlineLvl w:val="0"/>
        <w:rPr>
          <w:rFonts w:ascii="宋体" w:hAnsi="宋体"/>
          <w:color w:val="000000" w:themeColor="text1"/>
        </w:rPr>
      </w:pPr>
      <w:bookmarkStart w:id="0" w:name="_Toc28190"/>
      <w:r w:rsidRPr="008271C6">
        <w:rPr>
          <w:rFonts w:ascii="宋体" w:hAnsi="宋体" w:hint="eastAsia"/>
          <w:b/>
          <w:bCs/>
          <w:color w:val="000000" w:themeColor="text1"/>
          <w:sz w:val="32"/>
          <w:szCs w:val="32"/>
        </w:rPr>
        <w:t xml:space="preserve">湖南工商大学2027 届毕业论文(设计)开题报告  </w:t>
      </w:r>
      <w:bookmarkStart w:id="1" w:name="_GoBack"/>
      <w:bookmarkEnd w:id="1"/>
      <w:r w:rsidR="00A95CB9">
        <w:rPr>
          <w:rFonts w:ascii="宋体" w:hAnsi="宋体" w:hint="eastAsia"/>
          <w:b/>
          <w:bCs/>
          <w:color w:val="000000" w:themeColor="text1"/>
          <w:sz w:val="32"/>
          <w:szCs w:val="32"/>
        </w:rPr>
      </w:r>
      <w:r w:rsidR="00A95CB9">
        <w:rPr>
          <w:rFonts w:ascii="宋体" w:hAnsi="宋体" w:hint="eastAsia"/>
          <w:b/>
          <w:bCs/>
          <w:color w:val="000000" w:themeColor="text1"/>
          <w:sz w:val="32"/>
          <w:szCs w:val="32"/>
          <w:u w:val="single"/>
        </w:rPr>
      </w:r>
      <w:r w:rsidR="00A95CB9">
        <w:rPr>
          <w:rFonts w:ascii="宋体" w:hAnsi="宋体" w:hint="eastAsia"/>
          <w:b/>
          <w:bCs/>
          <w:color w:val="000000" w:themeColor="text1"/>
          <w:sz w:val="32"/>
          <w:szCs w:val="32"/>
        </w:rPr>
      </w:r>
      <w:bookmarkEnd w:id="0"/>
      <w:r w:rsidR="00A95CB9">
        <w:rPr>
          <w:rFonts w:ascii="宋体" w:hAnsi="宋体" w:hint="eastAsia"/>
          <w:color w:val="000000" w:themeColor="text1"/>
        </w:rPr>
      </w:r>
    </w:p>
    <w:p w:rsidR="00A95CB9" w:rsidRDefault="00A95CB9" w:rsidP="00A95CB9">
      <w:pPr>
        <w:jc w:val="center"/>
        <w:rPr>
          <w:color w:val="000000" w:themeColor="text1"/>
        </w:rPr>
      </w:pPr>
      <w:r>
        <w:rPr>
          <w:rFonts w:ascii="宋体" w:hAnsi="宋体" w:hint="eastAsia"/>
          <w:color w:val="000000" w:themeColor="text1"/>
        </w:rPr>
        <w:t xml:space="preserve">                    </w:t>
      </w:r>
    </w:p>
    <w:tbl>
      <w:tblPr>
        <w:tblW w:w="9204" w:type="dxa"/>
        <w:jc w:val="center"/>
        <w:tblLayout w:type="fixed"/>
        <w:tblCellMar>
          <w:left w:w="28" w:type="dxa"/>
          <w:right w:w="28" w:type="dxa"/>
        </w:tblCellMar>
        <w:tblLook w:val="04A0" w:firstRow="1" w:lastRow="0" w:firstColumn="1" w:lastColumn="0" w:noHBand="0" w:noVBand="1"/>
      </w:tblPr>
      <w:tblGrid>
        <w:gridCol w:w="875"/>
        <w:gridCol w:w="607"/>
        <w:gridCol w:w="617"/>
        <w:gridCol w:w="697"/>
        <w:gridCol w:w="1823"/>
        <w:gridCol w:w="840"/>
        <w:gridCol w:w="697"/>
        <w:gridCol w:w="1155"/>
        <w:gridCol w:w="1893"/>
      </w:tblGrid>
      <w:tr w:rsidR="00A95CB9" w:rsidTr="00E517A1">
        <w:trPr>
          <w:trHeight w:val="449"/>
          <w:jc w:val="center"/>
        </w:trPr>
        <w:tc>
          <w:tcPr>
            <w:tcW w:w="875" w:type="dxa"/>
            <w:vMerge w:val="restart"/>
            <w:tcBorders>
              <w:top w:val="single" w:sz="6" w:space="0" w:color="000000"/>
              <w:left w:val="single" w:sz="6" w:space="0" w:color="000000"/>
              <w:bottom w:val="single" w:sz="6" w:space="0" w:color="000000"/>
              <w:right w:val="single" w:sz="6" w:space="0" w:color="000000"/>
            </w:tcBorders>
            <w:vAlign w:val="center"/>
          </w:tcPr>
          <w:p w:rsidR="00A95CB9" w:rsidRDefault="00A95CB9" w:rsidP="00E517A1">
            <w:pPr>
              <w:jc w:val="center"/>
              <w:rPr>
                <w:rFonts w:ascii="宋体" w:hAnsi="宋体"/>
                <w:color w:val="000000" w:themeColor="text1"/>
              </w:rPr>
            </w:pPr>
            <w:r>
              <w:rPr>
                <w:rFonts w:ascii="宋体" w:hAnsi="宋体" w:hint="eastAsia"/>
                <w:color w:val="000000" w:themeColor="text1"/>
              </w:rPr>
              <w:t>姓名</w:t>
            </w:r>
          </w:p>
        </w:tc>
        <w:tc>
          <w:tcPr>
            <w:tcW w:w="1224" w:type="dxa"/>
            <w:gridSpan w:val="2"/>
            <w:vMerge w:val="restart"/>
            <w:tcBorders>
              <w:top w:val="single" w:sz="6" w:space="0" w:color="000000"/>
              <w:left w:val="nil"/>
              <w:bottom w:val="single" w:sz="6" w:space="0" w:color="000000"/>
              <w:right w:val="single" w:sz="4" w:space="0" w:color="auto"/>
            </w:tcBorders>
            <w:vAlign w:val="center"/>
          </w:tcPr>
          <w:p>
            <w:pPr>
              <w:spacing w:line="240" w:lineRule="auto" w:before="0" w:after="0"/>
              <w:jc w:val="center"/>
            </w:pPr>
            <w:r/>
            <w:r>
              <w:rPr>
                <w:rFonts w:ascii="Times New Roman" w:hAnsi="Times New Roman" w:eastAsia="宋体"/>
                <w:b w:val="0"/>
                <w:sz w:val="21"/>
              </w:rPr>
              <w:t>蒋树阳</w:t>
            </w:r>
          </w:p>
        </w:tc>
        <w:tc>
          <w:tcPr>
            <w:tcW w:w="697" w:type="dxa"/>
            <w:vMerge w:val="restart"/>
            <w:tcBorders>
              <w:top w:val="single" w:sz="6" w:space="0" w:color="000000"/>
              <w:left w:val="nil"/>
              <w:bottom w:val="single" w:sz="6" w:space="0" w:color="000000"/>
              <w:right w:val="single" w:sz="4" w:space="0" w:color="auto"/>
            </w:tcBorders>
            <w:vAlign w:val="center"/>
          </w:tcPr>
          <w:p w:rsidR="00A95CB9" w:rsidRDefault="00A95CB9" w:rsidP="00E517A1">
            <w:pPr>
              <w:jc w:val="center"/>
              <w:rPr>
                <w:rFonts w:ascii="宋体" w:hAnsi="宋体"/>
                <w:color w:val="000000" w:themeColor="text1"/>
              </w:rPr>
            </w:pPr>
            <w:r>
              <w:rPr>
                <w:rFonts w:ascii="宋体" w:hAnsi="宋体" w:hint="eastAsia"/>
                <w:color w:val="000000" w:themeColor="text1"/>
              </w:rPr>
              <w:t>学院</w:t>
            </w:r>
          </w:p>
        </w:tc>
        <w:tc>
          <w:tcPr>
            <w:tcW w:w="3360" w:type="dxa"/>
            <w:gridSpan w:val="3"/>
            <w:vMerge w:val="restart"/>
            <w:tcBorders>
              <w:top w:val="single" w:sz="6" w:space="0" w:color="000000"/>
              <w:left w:val="nil"/>
              <w:bottom w:val="single" w:sz="6" w:space="0" w:color="000000"/>
              <w:right w:val="single" w:sz="6" w:space="0" w:color="000000"/>
            </w:tcBorders>
            <w:vAlign w:val="center"/>
          </w:tcPr>
          <w:p>
            <w:pPr>
              <w:spacing w:line="240" w:lineRule="auto" w:before="0" w:after="0"/>
              <w:jc w:val="center"/>
            </w:pPr>
            <w:r/>
            <w:r>
              <w:rPr>
                <w:rFonts w:ascii="Times New Roman" w:hAnsi="Times New Roman" w:eastAsia="宋体"/>
                <w:b w:val="0"/>
                <w:sz w:val="21"/>
              </w:rPr>
              <w:t>前沿交叉学院</w:t>
            </w:r>
          </w:p>
        </w:tc>
        <w:tc>
          <w:tcPr>
            <w:tcW w:w="1155" w:type="dxa"/>
            <w:tcBorders>
              <w:top w:val="single" w:sz="6" w:space="0" w:color="000000"/>
              <w:left w:val="nil"/>
              <w:bottom w:val="single" w:sz="6" w:space="0" w:color="000000"/>
              <w:right w:val="single" w:sz="6" w:space="0" w:color="000000"/>
            </w:tcBorders>
            <w:vAlign w:val="center"/>
          </w:tcPr>
          <w:p w:rsidR="00A95CB9" w:rsidRDefault="00A95CB9" w:rsidP="00E517A1">
            <w:pPr>
              <w:jc w:val="center"/>
              <w:rPr>
                <w:rFonts w:ascii="宋体" w:hAnsi="宋体"/>
                <w:color w:val="000000" w:themeColor="text1"/>
              </w:rPr>
            </w:pPr>
            <w:r>
              <w:rPr>
                <w:rFonts w:ascii="宋体" w:hAnsi="宋体" w:hint="eastAsia"/>
                <w:color w:val="000000" w:themeColor="text1"/>
              </w:rPr>
              <w:t>学    号</w:t>
            </w:r>
          </w:p>
        </w:tc>
        <w:tc>
          <w:tcPr>
            <w:tcW w:w="1893" w:type="dxa"/>
            <w:tcBorders>
              <w:top w:val="single" w:sz="6" w:space="0" w:color="000000"/>
              <w:left w:val="nil"/>
              <w:bottom w:val="single" w:sz="6" w:space="0" w:color="000000"/>
              <w:right w:val="single" w:sz="6" w:space="0" w:color="000000"/>
            </w:tcBorders>
            <w:vAlign w:val="center"/>
          </w:tcPr>
          <w:p>
            <w:pPr>
              <w:spacing w:line="240" w:lineRule="auto" w:before="0" w:after="0"/>
              <w:jc w:val="center"/>
            </w:pPr>
            <w:r/>
            <w:r>
              <w:rPr>
                <w:rFonts w:ascii="Times New Roman" w:hAnsi="Times New Roman" w:eastAsia="宋体"/>
                <w:b w:val="0"/>
                <w:sz w:val="21"/>
              </w:rPr>
              <w:t>2325010007</w:t>
            </w:r>
          </w:p>
        </w:tc>
      </w:tr>
      <w:tr w:rsidR="00A95CB9" w:rsidTr="00E517A1">
        <w:trPr>
          <w:trHeight w:val="435"/>
          <w:jc w:val="center"/>
        </w:trPr>
        <w:tc>
          <w:tcPr>
            <w:tcW w:w="875" w:type="dxa"/>
            <w:vMerge/>
            <w:tcBorders>
              <w:top w:val="single" w:sz="6" w:space="0" w:color="000000"/>
              <w:left w:val="single" w:sz="6" w:space="0" w:color="000000"/>
              <w:bottom w:val="single" w:sz="6" w:space="0" w:color="000000"/>
              <w:right w:val="single" w:sz="6" w:space="0" w:color="000000"/>
            </w:tcBorders>
            <w:vAlign w:val="center"/>
          </w:tcPr>
          <w:p w:rsidR="00A95CB9" w:rsidRDefault="00A95CB9" w:rsidP="00E517A1">
            <w:pPr>
              <w:widowControl/>
              <w:jc w:val="left"/>
              <w:rPr>
                <w:rFonts w:ascii="宋体" w:hAnsi="宋体"/>
                <w:color w:val="000000" w:themeColor="text1"/>
              </w:rPr>
            </w:pPr>
          </w:p>
        </w:tc>
        <w:tc>
          <w:tcPr>
            <w:tcW w:w="1224" w:type="dxa"/>
            <w:gridSpan w:val="2"/>
            <w:vMerge/>
            <w:tcBorders>
              <w:top w:val="single" w:sz="6" w:space="0" w:color="000000"/>
              <w:left w:val="nil"/>
              <w:bottom w:val="single" w:sz="6" w:space="0" w:color="000000"/>
              <w:right w:val="single" w:sz="4" w:space="0" w:color="auto"/>
            </w:tcBorders>
            <w:vAlign w:val="center"/>
          </w:tcPr>
          <w:p w:rsidR="00A95CB9" w:rsidRDefault="00A95CB9" w:rsidP="00E517A1">
            <w:pPr>
              <w:widowControl/>
              <w:jc w:val="left"/>
              <w:rPr>
                <w:rFonts w:ascii="宋体" w:hAnsi="宋体"/>
                <w:color w:val="000000" w:themeColor="text1"/>
              </w:rPr>
            </w:pPr>
          </w:p>
        </w:tc>
        <w:tc>
          <w:tcPr>
            <w:tcW w:w="697" w:type="dxa"/>
            <w:vMerge/>
            <w:tcBorders>
              <w:top w:val="single" w:sz="6" w:space="0" w:color="000000"/>
              <w:left w:val="nil"/>
              <w:bottom w:val="single" w:sz="6" w:space="0" w:color="000000"/>
              <w:right w:val="single" w:sz="4" w:space="0" w:color="auto"/>
            </w:tcBorders>
            <w:vAlign w:val="center"/>
          </w:tcPr>
          <w:p w:rsidR="00A95CB9" w:rsidRDefault="00A95CB9" w:rsidP="00E517A1">
            <w:pPr>
              <w:widowControl/>
              <w:jc w:val="left"/>
              <w:rPr>
                <w:rFonts w:ascii="宋体" w:hAnsi="宋体"/>
                <w:color w:val="000000" w:themeColor="text1"/>
              </w:rPr>
            </w:pPr>
          </w:p>
        </w:tc>
        <w:tc>
          <w:tcPr>
            <w:tcW w:w="3360" w:type="dxa"/>
            <w:gridSpan w:val="3"/>
            <w:vMerge/>
            <w:tcBorders>
              <w:top w:val="single" w:sz="6" w:space="0" w:color="000000"/>
              <w:left w:val="nil"/>
              <w:bottom w:val="single" w:sz="6" w:space="0" w:color="000000"/>
              <w:right w:val="single" w:sz="6" w:space="0" w:color="000000"/>
            </w:tcBorders>
            <w:vAlign w:val="center"/>
          </w:tcPr>
          <w:p w:rsidR="00A95CB9" w:rsidRDefault="00A95CB9" w:rsidP="00E517A1">
            <w:pPr>
              <w:widowControl/>
              <w:jc w:val="left"/>
              <w:rPr>
                <w:rFonts w:ascii="宋体" w:hAnsi="宋体"/>
                <w:color w:val="000000" w:themeColor="text1"/>
              </w:rPr>
            </w:pPr>
          </w:p>
        </w:tc>
        <w:tc>
          <w:tcPr>
            <w:tcW w:w="1155" w:type="dxa"/>
            <w:tcBorders>
              <w:top w:val="single" w:sz="6" w:space="0" w:color="000000"/>
              <w:left w:val="nil"/>
              <w:bottom w:val="single" w:sz="6" w:space="0" w:color="000000"/>
              <w:right w:val="single" w:sz="6" w:space="0" w:color="000000"/>
            </w:tcBorders>
            <w:vAlign w:val="center"/>
          </w:tcPr>
          <w:p w:rsidR="00A95CB9" w:rsidRDefault="00A95CB9" w:rsidP="00E517A1">
            <w:pPr>
              <w:jc w:val="center"/>
              <w:rPr>
                <w:rFonts w:ascii="宋体" w:hAnsi="宋体"/>
                <w:color w:val="000000" w:themeColor="text1"/>
              </w:rPr>
            </w:pPr>
            <w:r>
              <w:rPr>
                <w:rFonts w:ascii="宋体" w:hAnsi="宋体" w:hint="eastAsia"/>
                <w:color w:val="000000" w:themeColor="text1"/>
              </w:rPr>
              <w:t>专业班级</w:t>
            </w:r>
          </w:p>
        </w:tc>
        <w:tc>
          <w:tcPr>
            <w:tcW w:w="1893" w:type="dxa"/>
            <w:tcBorders>
              <w:top w:val="single" w:sz="6" w:space="0" w:color="000000"/>
              <w:left w:val="nil"/>
              <w:bottom w:val="single" w:sz="6" w:space="0" w:color="000000"/>
              <w:right w:val="single" w:sz="6" w:space="0" w:color="000000"/>
            </w:tcBorders>
            <w:vAlign w:val="center"/>
          </w:tcPr>
          <w:p>
            <w:pPr>
              <w:spacing w:line="240" w:lineRule="auto" w:before="0" w:after="0"/>
              <w:jc w:val="center"/>
            </w:pPr>
            <w:r/>
            <w:r>
              <w:rPr>
                <w:rFonts w:ascii="Times New Roman" w:hAnsi="Times New Roman" w:eastAsia="宋体"/>
                <w:b w:val="0"/>
                <w:sz w:val="21"/>
              </w:rPr>
              <w:t>大数据2303</w:t>
            </w:r>
          </w:p>
        </w:tc>
      </w:tr>
      <w:tr w:rsidR="00A95CB9" w:rsidTr="00E517A1">
        <w:trPr>
          <w:trHeight w:val="435"/>
          <w:jc w:val="center"/>
        </w:trPr>
        <w:tc>
          <w:tcPr>
            <w:tcW w:w="875" w:type="dxa"/>
            <w:tcBorders>
              <w:top w:val="single" w:sz="6" w:space="0" w:color="000000"/>
              <w:left w:val="single" w:sz="6" w:space="0" w:color="000000"/>
              <w:bottom w:val="single" w:sz="6" w:space="0" w:color="000000"/>
              <w:right w:val="single" w:sz="6" w:space="0" w:color="000000"/>
            </w:tcBorders>
            <w:vAlign w:val="center"/>
          </w:tcPr>
          <w:p w:rsidR="00A95CB9" w:rsidRDefault="00A95CB9" w:rsidP="00E517A1">
            <w:pPr>
              <w:widowControl/>
              <w:jc w:val="center"/>
              <w:rPr>
                <w:rFonts w:ascii="宋体" w:hAnsi="宋体"/>
                <w:color w:val="000000" w:themeColor="text1"/>
              </w:rPr>
            </w:pPr>
            <w:r>
              <w:rPr>
                <w:rFonts w:ascii="宋体" w:hAnsi="宋体" w:hint="eastAsia"/>
                <w:color w:val="000000" w:themeColor="text1"/>
              </w:rPr>
              <w:t>题目</w:t>
            </w:r>
          </w:p>
        </w:tc>
        <w:tc>
          <w:tcPr>
            <w:tcW w:w="8329" w:type="dxa"/>
            <w:gridSpan w:val="8"/>
            <w:tcBorders>
              <w:top w:val="single" w:sz="6" w:space="0" w:color="000000"/>
              <w:left w:val="nil"/>
              <w:bottom w:val="single" w:sz="6" w:space="0" w:color="000000"/>
              <w:right w:val="single" w:sz="6" w:space="0" w:color="000000"/>
            </w:tcBorders>
            <w:vAlign w:val="center"/>
          </w:tcPr>
          <w:p>
            <w:pPr>
              <w:spacing w:line="240" w:lineRule="auto" w:before="0" w:after="0"/>
              <w:jc w:val="left"/>
            </w:pPr>
            <w:r/>
            <w:r>
              <w:rPr>
                <w:rFonts w:ascii="Times New Roman" w:hAnsi="Times New Roman" w:eastAsia="宋体"/>
                <w:b w:val="0"/>
                <w:sz w:val="21"/>
              </w:rPr>
              <w:t>基于 Lakehouse 与 AI Agent 的批流一体智能数据分析平台</w:t>
            </w:r>
          </w:p>
        </w:tc>
      </w:tr>
      <w:tr w:rsidR="00A95CB9" w:rsidTr="00E517A1">
        <w:trPr>
          <w:trHeight w:val="2343"/>
          <w:jc w:val="center"/>
        </w:trPr>
        <w:tc>
          <w:tcPr>
            <w:tcW w:w="875" w:type="dxa"/>
            <w:tcBorders>
              <w:top w:val="single" w:sz="6" w:space="0" w:color="000000"/>
              <w:left w:val="single" w:sz="6" w:space="0" w:color="000000"/>
              <w:bottom w:val="single" w:sz="6" w:space="0" w:color="000000"/>
              <w:right w:val="single" w:sz="6" w:space="0" w:color="000000"/>
            </w:tcBorders>
          </w:tcPr>
          <w:p w:rsidR="00A95CB9" w:rsidRDefault="00A95CB9" w:rsidP="00E517A1">
            <w:pPr>
              <w:jc w:val="center"/>
              <w:rPr>
                <w:rFonts w:ascii="宋体" w:hAnsi="宋体"/>
                <w:color w:val="000000" w:themeColor="text1"/>
              </w:rPr>
            </w:pPr>
            <w:r>
              <w:rPr>
                <w:rFonts w:ascii="宋体" w:hAnsi="宋体" w:hint="eastAsia"/>
                <w:color w:val="000000" w:themeColor="text1"/>
              </w:rPr>
              <w:t>文</w:t>
            </w:r>
          </w:p>
          <w:p w:rsidR="00A95CB9" w:rsidRDefault="00A95CB9" w:rsidP="00E517A1">
            <w:pPr>
              <w:jc w:val="center"/>
              <w:rPr>
                <w:rFonts w:ascii="宋体" w:hAnsi="宋体"/>
                <w:color w:val="000000" w:themeColor="text1"/>
              </w:rPr>
            </w:pPr>
          </w:p>
          <w:p w:rsidR="00A95CB9" w:rsidRDefault="00A95CB9" w:rsidP="00E517A1">
            <w:pPr>
              <w:jc w:val="center"/>
              <w:rPr>
                <w:rFonts w:ascii="宋体" w:hAnsi="宋体"/>
                <w:color w:val="000000" w:themeColor="text1"/>
              </w:rPr>
            </w:pPr>
            <w:r>
              <w:rPr>
                <w:rFonts w:ascii="宋体" w:hAnsi="宋体" w:hint="eastAsia"/>
                <w:color w:val="000000" w:themeColor="text1"/>
              </w:rPr>
              <w:t>献</w:t>
            </w:r>
          </w:p>
          <w:p w:rsidR="00A95CB9" w:rsidRDefault="00A95CB9" w:rsidP="00E517A1">
            <w:pPr>
              <w:jc w:val="center"/>
              <w:rPr>
                <w:rFonts w:ascii="宋体" w:hAnsi="宋体"/>
                <w:color w:val="000000" w:themeColor="text1"/>
              </w:rPr>
            </w:pPr>
          </w:p>
          <w:p w:rsidR="00A95CB9" w:rsidRDefault="00A95CB9" w:rsidP="00E517A1">
            <w:pPr>
              <w:jc w:val="center"/>
              <w:rPr>
                <w:rFonts w:ascii="宋体" w:hAnsi="宋体"/>
                <w:color w:val="000000" w:themeColor="text1"/>
              </w:rPr>
            </w:pPr>
            <w:r>
              <w:rPr>
                <w:rFonts w:ascii="宋体" w:hAnsi="宋体" w:hint="eastAsia"/>
                <w:color w:val="000000" w:themeColor="text1"/>
              </w:rPr>
              <w:t>综</w:t>
            </w:r>
          </w:p>
          <w:p w:rsidR="00A95CB9" w:rsidRDefault="00A95CB9" w:rsidP="00E517A1">
            <w:pPr>
              <w:jc w:val="center"/>
              <w:rPr>
                <w:rFonts w:ascii="宋体" w:hAnsi="宋体"/>
                <w:color w:val="000000" w:themeColor="text1"/>
              </w:rPr>
            </w:pPr>
          </w:p>
          <w:p w:rsidR="00A95CB9" w:rsidRDefault="00A95CB9" w:rsidP="00E517A1">
            <w:pPr>
              <w:jc w:val="center"/>
              <w:rPr>
                <w:rFonts w:ascii="宋体" w:hAnsi="宋体"/>
                <w:color w:val="000000" w:themeColor="text1"/>
              </w:rPr>
            </w:pPr>
            <w:r>
              <w:rPr>
                <w:rFonts w:ascii="宋体" w:hAnsi="宋体" w:hint="eastAsia"/>
                <w:color w:val="000000" w:themeColor="text1"/>
              </w:rPr>
              <w:t>述</w:t>
            </w:r>
          </w:p>
        </w:tc>
        <w:tc>
          <w:tcPr>
            <w:tcW w:w="8329" w:type="dxa"/>
            <w:gridSpan w:val="8"/>
            <w:tcBorders>
              <w:top w:val="single" w:sz="6" w:space="0" w:color="000000"/>
              <w:left w:val="nil"/>
              <w:bottom w:val="single" w:sz="6" w:space="0" w:color="000000"/>
              <w:right w:val="single" w:sz="6" w:space="0" w:color="000000"/>
            </w:tcBorders>
          </w:tcPr>
          <w:p>
            <w:pPr>
              <w:spacing w:line="240" w:lineRule="auto" w:before="0" w:after="0"/>
              <w:jc w:val="left"/>
            </w:pPr>
            <w:r/>
            <w:r>
              <w:rPr>
                <w:rFonts w:ascii="Times New Roman" w:hAnsi="Times New Roman" w:eastAsia="宋体"/>
                <w:b w:val="0"/>
                <w:sz w:val="21"/>
              </w:rPr>
              <w:t>一、研究背景</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电商业务的数据同时以两种形态产生。一类是点击、加购、下单、支付、退款等持续不断的事件流，业务对时效性的要求是秒级；另一类是日级、月级的经营分析，对准确性与可回溯性的要求高于时效性。传统做法把两者建成两套独立系统：实时侧由流处理引擎产出看板指标，离线侧由批处理引擎产出报表。代价是同一个指标存在两份实现，口径容易分叉；一旦实时与离线对同一个"GMV"给出不同数值，建立在其上的经营判断与智能应用就失去了依据。</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这一问题的本质不是"引擎选型"，而是**指标口径的单一事实源缺失**。流处理与批处理在事件时间语义、去重近似算法、除法精度与缺失值约定上的差异，都会让"同一个数"变成两个数。要证明两条链路算的是同一个数，仅靠"两条链路都跑通了"是不够的，必须给出可证伪的逐项比对证据。</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二、国内外研究状况</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（1）流批一体的引擎路线。Flink 提出以统一的运行时同时承载流与批，用事件时间与水位线处理乱序数据，把批视为有界流；Spark 则以弹性分布式数据集（RDD）与结构化 API 为批处理基础，并用微批方式扩展流处理。两条路线都在向"一套代码、两种执行"演进，但**都没有解决"口径由谁定义"这一治理问题**——引擎一致不等于指标定义一致。</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（2）湖仓一体与开放表格式。Lakehouse 主张在低成本对象存储上以开放表格式（如 Apache Iceberg）同时提供数仓的事务能力与数据湖的灵活性，用元数据层实现快照隔离、模式演进与时间旅行。Iceberg 的 v2 规范引入了行级删除与更完善的快照语义，使其可以承担"可回溯的事实层"。但湖仓解决的是**存储与事务**问题，逐窗口对账这类**跨链路一致性验证**仍需自行设计判据。</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（3）数据质量与可观测性。业界普遍采用"校验即配置"的方式管理数据质量：每条校验是一段返回标量的 SQL 加一个判定算子，由统一引擎解释执行，失败时以非零退出码结束以便被调度系统拦截。这一形态的价值在于可枚举、可审计、可复现，而不是把校验写成散落的脚本分支。</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（4）大模型与数据问答。ReAct 提出"推理—行动"交替的范式，让模型在调用工具后根据真实返回修正计划；检索增强生成（RAG）通过先检索可信语料再生成，缓解模型在缺乏依据时编造内容的问题。BM25 作为经典的词法排序函数，在语料规模有限、且回答必须给出可核对来源的场景下，仍具竞争力。Model Context Protocol（MCP）则把工具能力以标准协议暴露，使"同一份只读能力"能被不同客户端复用。这一方向的**共同风险是"看起来对"**：模型可能在查询失败后仍给出具体数字，因此必须由工程手段而非提示词来保证"失败即失败"。</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三、发展趋势</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综合上述，可以看到三条汇流：其一，实时与离线的边界在引擎层面逐渐消失，但在**指标定义与验证**层面反而更需要显式治理；其二，湖仓开放表格式正在成为事实层的默认选择，使数据可回溯、可迁移；其三，大模型进入数据栈的入口不是"替代 SQL"，而是**编排与解释**——把自然语言翻译为受约束的只读查询，并把证据（用了哪些表、执行了什么 SQL）一并呈现给使用者。</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四、对本人研究的启发</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上述工作给本设计确定了四条边界：</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第一，**先工程、再智能**。必须先让数据可靠、准确、可查询、可治理，再让 Agent 使用数据；反过来做（先做聊天机器人再找数据）会把口径问题埋进模型回答里，且难以定位。</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第二，**一致性主张必须是可证伪的**。受湖仓"开放表格式 + 快照"与流处理"事件时间窗口"的启发，本设计选择"按 window_start 全外连接、缺失侧补 0、逐窗口比对判据列"的对账方式，并明确声明其覆盖范围（对账区间内、计数类判据）与不覆盖之处（区间外、派生比率列）。</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第三，**口径必须单点定义**。实时链路、离线链路与问答 Agent 共用同一份指标口径文件，且以它作为唯一权威；这直接来自"两份实现必然分叉"的教训。</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第四，**工具能力要最小且可审计**。受 MCP 与 ReAct 的启发，问答 Agent 不持有数据库凭据，只能经 HTTP 调用只读数据服务；SQL 必须经安全守卫（仅 SELECT、表白名单、强制 LIMIT），回答必须附带实际执行的 SQL 与所用表。</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附：参考文献目录见下方"研究思路与研究方法"之后所列（与论文正文参考文献一致，共 15 条）。</w:t>
            </w:r>
          </w:p>
        </w:tc>
      </w:tr>
      <w:tr w:rsidR="00A95CB9" w:rsidTr="00E517A1">
        <w:trPr>
          <w:trHeight w:val="2506"/>
          <w:jc w:val="center"/>
        </w:trPr>
        <w:tc>
          <w:tcPr>
            <w:tcW w:w="875" w:type="dxa"/>
            <w:tcBorders>
              <w:top w:val="single" w:sz="6" w:space="0" w:color="000000"/>
              <w:left w:val="single" w:sz="6" w:space="0" w:color="000000"/>
              <w:bottom w:val="single" w:sz="4" w:space="0" w:color="auto"/>
              <w:right w:val="single" w:sz="6" w:space="0" w:color="000000"/>
            </w:tcBorders>
            <w:vAlign w:val="center"/>
          </w:tcPr>
          <w:p w:rsidR="00A95CB9" w:rsidRDefault="00A95CB9" w:rsidP="00E517A1">
            <w:pPr>
              <w:jc w:val="center"/>
              <w:rPr>
                <w:rFonts w:ascii="宋体" w:hAnsi="宋体"/>
                <w:color w:val="000000" w:themeColor="text1"/>
              </w:rPr>
            </w:pPr>
            <w:r>
              <w:rPr>
                <w:rFonts w:ascii="宋体" w:hAnsi="宋体" w:hint="eastAsia"/>
                <w:color w:val="000000" w:themeColor="text1"/>
              </w:rPr>
              <w:t>研究思路与研究方法</w:t>
            </w:r>
          </w:p>
        </w:tc>
        <w:tc>
          <w:tcPr>
            <w:tcW w:w="8329" w:type="dxa"/>
            <w:gridSpan w:val="8"/>
            <w:tcBorders>
              <w:top w:val="single" w:sz="6" w:space="0" w:color="000000"/>
              <w:left w:val="nil"/>
              <w:bottom w:val="single" w:sz="4" w:space="0" w:color="auto"/>
              <w:right w:val="single" w:sz="6" w:space="0" w:color="000000"/>
            </w:tcBorders>
          </w:tcPr>
          <w:p>
            <w:pPr>
              <w:spacing w:line="240" w:lineRule="auto" w:before="0" w:after="0"/>
              <w:jc w:val="left"/>
            </w:pPr>
            <w:r/>
            <w:r>
              <w:rPr>
                <w:rFonts w:ascii="Times New Roman" w:hAnsi="Times New Roman" w:eastAsia="宋体"/>
                <w:b w:val="0"/>
                <w:sz w:val="21"/>
              </w:rPr>
              <w:t>一、研究思路</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以"两条独立链路算同一个数"为主线，按"数据可靠 → 数据准确 → 数据可查询 → 数据可治理 → Agent 使用数据"的顺序推进，每一步都留下可复核的证据：</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（1）先建可复现的数据底座：程序生成合成数据，固定随机种子，并在生成期强制业务约束（引用完整性、金额关系、时间因果、漏斗逐级收窄），使"数据是否正确"本身不成为变量；</w:t>
            </w:r>
          </w:p>
          <w:p>
            <w:pPr>
              <w:spacing w:line="240" w:lineRule="auto" w:before="0" w:after="0"/>
              <w:jc w:val="left"/>
            </w:pPr>
            <w:r>
              <w:rPr>
                <w:rFonts w:ascii="Times New Roman" w:hAnsi="Times New Roman" w:eastAsia="宋体"/>
                <w:b w:val="0"/>
                <w:sz w:val="21"/>
              </w:rPr>
              <w:t>（2）再建两条独立链路，并让它们共用同一份指标口径定义；</w:t>
            </w:r>
          </w:p>
          <w:p>
            <w:pPr>
              <w:spacing w:line="240" w:lineRule="auto" w:before="0" w:after="0"/>
              <w:jc w:val="left"/>
            </w:pPr>
            <w:r>
              <w:rPr>
                <w:rFonts w:ascii="Times New Roman" w:hAnsi="Times New Roman" w:eastAsia="宋体"/>
                <w:b w:val="0"/>
                <w:sz w:val="21"/>
              </w:rPr>
              <w:t>（3）用逐窗口交叉对账把"两条链路一致"变成可证伪的断言，并显式披露判据范围与静默窗口；</w:t>
            </w:r>
          </w:p>
          <w:p>
            <w:pPr>
              <w:spacing w:line="240" w:lineRule="auto" w:before="0" w:after="0"/>
              <w:jc w:val="left"/>
            </w:pPr>
            <w:r>
              <w:rPr>
                <w:rFonts w:ascii="Times New Roman" w:hAnsi="Times New Roman" w:eastAsia="宋体"/>
                <w:b w:val="0"/>
                <w:sz w:val="21"/>
              </w:rPr>
              <w:t>（4）在一致的数据之上再叠加治理（质量校验 + 监控）与服务（只读数据服务 + 看板）；</w:t>
            </w:r>
          </w:p>
          <w:p>
            <w:pPr>
              <w:spacing w:line="240" w:lineRule="auto" w:before="0" w:after="0"/>
              <w:jc w:val="left"/>
            </w:pPr>
            <w:r>
              <w:rPr>
                <w:rFonts w:ascii="Times New Roman" w:hAnsi="Times New Roman" w:eastAsia="宋体"/>
                <w:b w:val="0"/>
                <w:sz w:val="21"/>
              </w:rPr>
              <w:t>（5）最后让 Agent 使用数据，并用进程边界（Agent 不持有凭据）与 SQL 守卫保证安全边界。</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二、研究方法</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（1）**实测驱动**：所有结论以实际运行结果为准；对版本行为差异、内存约束、超时与重试等问题，一律以复现实验定位，不凭经验判断。凡无法取得实测依据的内容，写作"未采集"而不估算。</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（2）**对照实验**：对关键判断构造反证，例如"故意让一条校验失败以证明退出码非 0"、"故意把批次下界设为未来时刻以证明取不到本次批次时会失败而不是退回历史批次"。</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（3）**判据先验证**：判据本身也需要被检验。本设计中的对账判据经过两次打磨（分区列导致的假失败；比率列从"两侧相等"改为"每侧按自己计数重算"），方向都是变严。</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（4）**范围与结论一起写**：任何一致性结论都必须连同其覆盖范围、口径与已知缺陷一起表述。</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（5）**一键可复现**：每个阶段提供验收脚本，使结论可被第三方重放。</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四、写作提纲</w:t>
            </w:r>
          </w:p>
          <w:p>
            <w:pPr>
              <w:spacing w:line="240" w:lineRule="auto" w:before="0" w:after="0"/>
              <w:jc w:val="left"/>
            </w:pP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1. 绪论（研究背景、意义、国内外研究现状、主要工作、组织结构）</w:t>
            </w:r>
          </w:p>
          <w:p>
            <w:pPr>
              <w:spacing w:line="240" w:lineRule="auto" w:before="0" w:after="0"/>
              <w:jc w:val="left"/>
            </w:pPr>
            <w:r>
              <w:rPr>
                <w:rFonts w:ascii="Times New Roman" w:hAnsi="Times New Roman" w:eastAsia="宋体"/>
                <w:b w:val="0"/>
                <w:sz w:val="21"/>
              </w:rPr>
              <w:t>2. 相关技术（版本钉法与各组件在本项目中的具体能力、否决备选与代价）</w:t>
            </w:r>
          </w:p>
          <w:p>
            <w:pPr>
              <w:spacing w:line="240" w:lineRule="auto" w:before="0" w:after="0"/>
              <w:jc w:val="left"/>
            </w:pPr>
            <w:r>
              <w:rPr>
                <w:rFonts w:ascii="Times New Roman" w:hAnsi="Times New Roman" w:eastAsia="宋体"/>
                <w:b w:val="0"/>
                <w:sz w:val="21"/>
              </w:rPr>
              <w:t>3. 需求分析（功能性、非功能性、约束与假设）</w:t>
            </w:r>
          </w:p>
          <w:p>
            <w:pPr>
              <w:spacing w:line="240" w:lineRule="auto" w:before="0" w:after="0"/>
              <w:jc w:val="left"/>
            </w:pPr>
            <w:r>
              <w:rPr>
                <w:rFonts w:ascii="Times New Roman" w:hAnsi="Times New Roman" w:eastAsia="宋体"/>
                <w:b w:val="0"/>
                <w:sz w:val="21"/>
              </w:rPr>
              <w:t>4. 系统设计（总体架构、部署分层、数仓分层与命名、存储选型、指标口径的唯一权威、安全设计、内存预算与错峰模式）</w:t>
            </w:r>
          </w:p>
          <w:p>
            <w:pPr>
              <w:spacing w:line="240" w:lineRule="auto" w:before="0" w:after="0"/>
              <w:jc w:val="left"/>
            </w:pPr>
            <w:r>
              <w:rPr>
                <w:rFonts w:ascii="Times New Roman" w:hAnsi="Times New Roman" w:eastAsia="宋体"/>
                <w:b w:val="0"/>
                <w:sz w:val="21"/>
              </w:rPr>
              <w:t>5. 关键实现（实时链路、离线分层建模、批流交叉对账、Iceberg 迁移、调度、服务层、Agent 图、检索、MCP、数据质量与监控、一次真实事故的完整复盘）</w:t>
            </w:r>
          </w:p>
          <w:p>
            <w:pPr>
              <w:spacing w:line="240" w:lineRule="auto" w:before="0" w:after="0"/>
              <w:jc w:val="left"/>
            </w:pPr>
            <w:r>
              <w:rPr>
                <w:rFonts w:ascii="Times New Roman" w:hAnsi="Times New Roman" w:eastAsia="宋体"/>
                <w:b w:val="0"/>
                <w:sz w:val="21"/>
              </w:rPr>
              <w:t>6. 测试与验证（测试体系与全量结果、逐窗口对账方法、结论与实测值、验收矩阵、性能基线）</w:t>
            </w:r>
          </w:p>
          <w:p>
            <w:pPr>
              <w:spacing w:line="240" w:lineRule="auto" w:before="0" w:after="0"/>
              <w:jc w:val="left"/>
            </w:pPr>
            <w:r>
              <w:rPr>
                <w:rFonts w:ascii="Times New Roman" w:hAnsi="Times New Roman" w:eastAsia="宋体"/>
                <w:b w:val="0"/>
                <w:sz w:val="21"/>
              </w:rPr>
              <w:t>7. 总结与展望（工作总结、主要贡献、不足、展望）</w:t>
            </w:r>
          </w:p>
          <w:p>
            <w:pPr>
              <w:spacing w:line="240" w:lineRule="auto" w:before="0" w:after="0"/>
              <w:jc w:val="left"/>
            </w:pPr>
            <w:r>
              <w:rPr>
                <w:rFonts w:ascii="Times New Roman" w:hAnsi="Times New Roman" w:eastAsia="宋体"/>
                <w:b w:val="0"/>
                <w:sz w:val="21"/>
              </w:rPr>
              <w:t>参考文献 / 致谢 / 附录</w:t>
            </w:r>
          </w:p>
        </w:tc>
      </w:tr>
      <w:tr w:rsidR="00A95CB9" w:rsidTr="00E517A1">
        <w:trPr>
          <w:trHeight w:val="2040"/>
          <w:jc w:val="center"/>
        </w:trPr>
        <w:tc>
          <w:tcPr>
            <w:tcW w:w="875" w:type="dxa"/>
            <w:tcBorders>
              <w:top w:val="single" w:sz="4" w:space="0" w:color="auto"/>
              <w:left w:val="single" w:sz="6" w:space="0" w:color="000000"/>
              <w:bottom w:val="single" w:sz="6" w:space="0" w:color="000000"/>
              <w:right w:val="single" w:sz="6" w:space="0" w:color="000000"/>
            </w:tcBorders>
            <w:vAlign w:val="center"/>
          </w:tcPr>
          <w:p w:rsidR="00A95CB9" w:rsidRDefault="00A95CB9" w:rsidP="00E517A1">
            <w:pPr>
              <w:jc w:val="center"/>
              <w:rPr>
                <w:rFonts w:ascii="宋体" w:hAnsi="宋体"/>
                <w:color w:val="000000" w:themeColor="text1"/>
              </w:rPr>
            </w:pPr>
            <w:r>
              <w:rPr>
                <w:rFonts w:ascii="宋体" w:hAnsi="宋体" w:hint="eastAsia"/>
                <w:color w:val="000000" w:themeColor="text1"/>
              </w:rPr>
              <w:t>写</w:t>
            </w:r>
          </w:p>
          <w:p w:rsidR="00A95CB9" w:rsidRDefault="00A95CB9" w:rsidP="00E517A1">
            <w:pPr>
              <w:jc w:val="center"/>
              <w:rPr>
                <w:rFonts w:ascii="宋体" w:hAnsi="宋体"/>
                <w:color w:val="000000" w:themeColor="text1"/>
              </w:rPr>
            </w:pPr>
          </w:p>
          <w:p w:rsidR="00A95CB9" w:rsidRDefault="00A95CB9" w:rsidP="00E517A1">
            <w:pPr>
              <w:jc w:val="center"/>
              <w:rPr>
                <w:rFonts w:ascii="宋体" w:hAnsi="宋体"/>
                <w:color w:val="000000" w:themeColor="text1"/>
              </w:rPr>
            </w:pPr>
            <w:r>
              <w:rPr>
                <w:rFonts w:ascii="宋体" w:hAnsi="宋体" w:hint="eastAsia"/>
                <w:color w:val="000000" w:themeColor="text1"/>
              </w:rPr>
              <w:t>作</w:t>
            </w:r>
          </w:p>
          <w:p w:rsidR="00A95CB9" w:rsidRDefault="00A95CB9" w:rsidP="00E517A1">
            <w:pPr>
              <w:jc w:val="center"/>
              <w:rPr>
                <w:rFonts w:ascii="宋体" w:hAnsi="宋体"/>
                <w:color w:val="000000" w:themeColor="text1"/>
              </w:rPr>
            </w:pPr>
          </w:p>
          <w:p w:rsidR="00A95CB9" w:rsidRDefault="00A95CB9" w:rsidP="00E517A1">
            <w:pPr>
              <w:jc w:val="center"/>
              <w:rPr>
                <w:rFonts w:ascii="宋体" w:hAnsi="宋体"/>
                <w:color w:val="000000" w:themeColor="text1"/>
              </w:rPr>
            </w:pPr>
            <w:r>
              <w:rPr>
                <w:rFonts w:ascii="宋体" w:hAnsi="宋体" w:hint="eastAsia"/>
                <w:color w:val="000000" w:themeColor="text1"/>
              </w:rPr>
              <w:t>提</w:t>
            </w:r>
          </w:p>
          <w:p w:rsidR="00A95CB9" w:rsidRDefault="00A95CB9" w:rsidP="00E517A1">
            <w:pPr>
              <w:jc w:val="center"/>
              <w:rPr>
                <w:rFonts w:ascii="宋体" w:hAnsi="宋体"/>
                <w:color w:val="000000" w:themeColor="text1"/>
              </w:rPr>
            </w:pPr>
          </w:p>
          <w:p w:rsidR="00A95CB9" w:rsidRDefault="00A95CB9" w:rsidP="00E517A1">
            <w:pPr>
              <w:jc w:val="center"/>
              <w:rPr>
                <w:rFonts w:ascii="宋体" w:hAnsi="宋体"/>
                <w:color w:val="000000" w:themeColor="text1"/>
              </w:rPr>
            </w:pPr>
            <w:r>
              <w:rPr>
                <w:rFonts w:ascii="宋体" w:hAnsi="宋体" w:hint="eastAsia"/>
                <w:color w:val="000000" w:themeColor="text1"/>
              </w:rPr>
              <w:t>纲</w:t>
            </w:r>
          </w:p>
        </w:tc>
        <w:tc>
          <w:tcPr>
            <w:tcW w:w="8329" w:type="dxa"/>
            <w:gridSpan w:val="8"/>
            <w:tcBorders>
              <w:top w:val="single" w:sz="4" w:space="0" w:color="auto"/>
              <w:left w:val="nil"/>
              <w:bottom w:val="single" w:sz="6" w:space="0" w:color="000000"/>
              <w:right w:val="single" w:sz="6" w:space="0" w:color="000000"/>
            </w:tcBorders>
          </w:tcPr>
          <w:p>
            <w:pPr>
              <w:spacing w:line="240" w:lineRule="auto" w:before="0" w:after="0"/>
              <w:jc w:val="left"/>
            </w:pPr>
            <w:r/>
            <w:r>
              <w:rPr>
                <w:rFonts w:ascii="Times New Roman" w:hAnsi="Times New Roman" w:eastAsia="宋体"/>
                <w:b w:val="0"/>
                <w:sz w:val="21"/>
              </w:rPr>
              <w:t>1. 绪论</w:t>
            </w:r>
          </w:p>
          <w:p>
            <w:pPr>
              <w:spacing w:line="240" w:lineRule="auto" w:before="0" w:after="0"/>
              <w:jc w:val="left"/>
            </w:pPr>
            <w:r>
              <w:rPr>
                <w:rFonts w:ascii="Times New Roman" w:hAnsi="Times New Roman" w:eastAsia="宋体"/>
                <w:b w:val="0"/>
                <w:sz w:val="21"/>
              </w:rPr>
              <w:t xml:space="preserve">   1.1 研究背景　1.2 研究意义　1.3 国内外研究现状　1.4 本文主要工作　1.5 论文组织结构</w:t>
            </w:r>
          </w:p>
          <w:p>
            <w:pPr>
              <w:spacing w:line="240" w:lineRule="auto" w:before="0" w:after="0"/>
              <w:jc w:val="left"/>
            </w:pPr>
            <w:r>
              <w:rPr>
                <w:rFonts w:ascii="Times New Roman" w:hAnsi="Times New Roman" w:eastAsia="宋体"/>
                <w:b w:val="0"/>
                <w:sz w:val="21"/>
              </w:rPr>
              <w:t>2. 相关技术</w:t>
            </w:r>
          </w:p>
          <w:p>
            <w:pPr>
              <w:spacing w:line="240" w:lineRule="auto" w:before="0" w:after="0"/>
              <w:jc w:val="left"/>
            </w:pPr>
            <w:r>
              <w:rPr>
                <w:rFonts w:ascii="Times New Roman" w:hAnsi="Times New Roman" w:eastAsia="宋体"/>
                <w:b w:val="0"/>
                <w:sz w:val="21"/>
              </w:rPr>
              <w:t xml:space="preserve">   2.1 技术栈与版本　2.2 实时计算：Kafka + Flink + Doris　2.3 湖仓与表格式：Spark + Iceberg</w:t>
            </w:r>
          </w:p>
          <w:p>
            <w:pPr>
              <w:spacing w:line="240" w:lineRule="auto" w:before="0" w:after="0"/>
              <w:jc w:val="left"/>
            </w:pPr>
            <w:r>
              <w:rPr>
                <w:rFonts w:ascii="Times New Roman" w:hAnsi="Times New Roman" w:eastAsia="宋体"/>
                <w:b w:val="0"/>
                <w:sz w:val="21"/>
              </w:rPr>
              <w:t xml:space="preserve">   2.4 调度：Airflow　2.5 大模型应用：Tool Calling、LangGraph、词法检索与 MCP　2.6 治理：数据质量与可观测性</w:t>
            </w:r>
          </w:p>
          <w:p>
            <w:pPr>
              <w:spacing w:line="240" w:lineRule="auto" w:before="0" w:after="0"/>
              <w:jc w:val="left"/>
            </w:pPr>
            <w:r>
              <w:rPr>
                <w:rFonts w:ascii="Times New Roman" w:hAnsi="Times New Roman" w:eastAsia="宋体"/>
                <w:b w:val="0"/>
                <w:sz w:val="21"/>
              </w:rPr>
              <w:t>3. 需求分析</w:t>
            </w:r>
          </w:p>
          <w:p>
            <w:pPr>
              <w:spacing w:line="240" w:lineRule="auto" w:before="0" w:after="0"/>
              <w:jc w:val="left"/>
            </w:pPr>
            <w:r>
              <w:rPr>
                <w:rFonts w:ascii="Times New Roman" w:hAnsi="Times New Roman" w:eastAsia="宋体"/>
                <w:b w:val="0"/>
                <w:sz w:val="21"/>
              </w:rPr>
              <w:t xml:space="preserve">   3.1 功能性需求　3.2 非功能性需求　3.3 约束与假设</w:t>
            </w:r>
          </w:p>
          <w:p>
            <w:pPr>
              <w:spacing w:line="240" w:lineRule="auto" w:before="0" w:after="0"/>
              <w:jc w:val="left"/>
            </w:pPr>
            <w:r>
              <w:rPr>
                <w:rFonts w:ascii="Times New Roman" w:hAnsi="Times New Roman" w:eastAsia="宋体"/>
                <w:b w:val="0"/>
                <w:sz w:val="21"/>
              </w:rPr>
              <w:t>4. 系统设计</w:t>
            </w:r>
          </w:p>
          <w:p>
            <w:pPr>
              <w:spacing w:line="240" w:lineRule="auto" w:before="0" w:after="0"/>
              <w:jc w:val="left"/>
            </w:pPr>
            <w:r>
              <w:rPr>
                <w:rFonts w:ascii="Times New Roman" w:hAnsi="Times New Roman" w:eastAsia="宋体"/>
                <w:b w:val="0"/>
                <w:sz w:val="21"/>
              </w:rPr>
              <w:t xml:space="preserve">   4.1 总体架构　4.2 部署分层原则　4.3 数仓分层与命名规范　4.4 存储选型与关键取舍</w:t>
            </w:r>
          </w:p>
          <w:p>
            <w:pPr>
              <w:spacing w:line="240" w:lineRule="auto" w:before="0" w:after="0"/>
              <w:jc w:val="left"/>
            </w:pPr>
            <w:r>
              <w:rPr>
                <w:rFonts w:ascii="Times New Roman" w:hAnsi="Times New Roman" w:eastAsia="宋体"/>
                <w:b w:val="0"/>
                <w:sz w:val="21"/>
              </w:rPr>
              <w:t xml:space="preserve">   4.5 指标口径的唯一权威　4.6 安全设计　4.7 内存预算与错峰模式</w:t>
            </w:r>
          </w:p>
          <w:p>
            <w:pPr>
              <w:spacing w:line="240" w:lineRule="auto" w:before="0" w:after="0"/>
              <w:jc w:val="left"/>
            </w:pPr>
            <w:r>
              <w:rPr>
                <w:rFonts w:ascii="Times New Roman" w:hAnsi="Times New Roman" w:eastAsia="宋体"/>
                <w:b w:val="0"/>
                <w:sz w:val="21"/>
              </w:rPr>
              <w:t>5. 关键实现</w:t>
            </w:r>
          </w:p>
          <w:p>
            <w:pPr>
              <w:spacing w:line="240" w:lineRule="auto" w:before="0" w:after="0"/>
              <w:jc w:val="left"/>
            </w:pPr>
            <w:r>
              <w:rPr>
                <w:rFonts w:ascii="Times New Roman" w:hAnsi="Times New Roman" w:eastAsia="宋体"/>
                <w:b w:val="0"/>
                <w:sz w:val="21"/>
              </w:rPr>
              <w:t xml:space="preserve">   5.1 实时链路　5.2 离线分层建模　5.3 批流交叉对账　5.4 Iceberg 迁移　5.5 调度：Airflow</w:t>
            </w:r>
          </w:p>
          <w:p>
            <w:pPr>
              <w:spacing w:line="240" w:lineRule="auto" w:before="0" w:after="0"/>
              <w:jc w:val="left"/>
            </w:pPr>
            <w:r>
              <w:rPr>
                <w:rFonts w:ascii="Times New Roman" w:hAnsi="Times New Roman" w:eastAsia="宋体"/>
                <w:b w:val="0"/>
                <w:sz w:val="21"/>
              </w:rPr>
              <w:t xml:space="preserve">   5.6 服务层　5.7 Agent 图　5.8 检索：BM25 词法检索与显式同义词表　5.9 MCP　5.10 数据质量与监控</w:t>
            </w:r>
          </w:p>
          <w:p>
            <w:pPr>
              <w:spacing w:line="240" w:lineRule="auto" w:before="0" w:after="0"/>
              <w:jc w:val="left"/>
            </w:pPr>
            <w:r>
              <w:rPr>
                <w:rFonts w:ascii="Times New Roman" w:hAnsi="Times New Roman" w:eastAsia="宋体"/>
                <w:b w:val="0"/>
                <w:sz w:val="21"/>
              </w:rPr>
              <w:t xml:space="preserve">   5.11 一次真实事故的完整复盘</w:t>
            </w:r>
          </w:p>
          <w:p>
            <w:pPr>
              <w:spacing w:line="240" w:lineRule="auto" w:before="0" w:after="0"/>
              <w:jc w:val="left"/>
            </w:pPr>
            <w:r>
              <w:rPr>
                <w:rFonts w:ascii="Times New Roman" w:hAnsi="Times New Roman" w:eastAsia="宋体"/>
                <w:b w:val="0"/>
                <w:sz w:val="21"/>
              </w:rPr>
              <w:t>6. 测试与验证</w:t>
            </w:r>
          </w:p>
          <w:p>
            <w:pPr>
              <w:spacing w:line="240" w:lineRule="auto" w:before="0" w:after="0"/>
              <w:jc w:val="left"/>
            </w:pPr>
            <w:r>
              <w:rPr>
                <w:rFonts w:ascii="Times New Roman" w:hAnsi="Times New Roman" w:eastAsia="宋体"/>
                <w:b w:val="0"/>
                <w:sz w:val="21"/>
              </w:rPr>
              <w:t xml:space="preserve">   6.1 测试体系与全量测试结果　6.2 逐窗口对账（验证方法）　6.3 结论、判据、实测值与复现方式</w:t>
            </w:r>
          </w:p>
          <w:p>
            <w:pPr>
              <w:spacing w:line="240" w:lineRule="auto" w:before="0" w:after="0"/>
              <w:jc w:val="left"/>
            </w:pPr>
            <w:r>
              <w:rPr>
                <w:rFonts w:ascii="Times New Roman" w:hAnsi="Times New Roman" w:eastAsia="宋体"/>
                <w:b w:val="0"/>
                <w:sz w:val="21"/>
              </w:rPr>
              <w:t xml:space="preserve">   6.4 验收矩阵　6.5 性能基线　6.6 采集过程中发现的一处真实缺陷</w:t>
            </w:r>
          </w:p>
          <w:p>
            <w:pPr>
              <w:spacing w:line="240" w:lineRule="auto" w:before="0" w:after="0"/>
              <w:jc w:val="left"/>
            </w:pPr>
            <w:r>
              <w:rPr>
                <w:rFonts w:ascii="Times New Roman" w:hAnsi="Times New Roman" w:eastAsia="宋体"/>
                <w:b w:val="0"/>
                <w:sz w:val="21"/>
              </w:rPr>
              <w:t>7. 总结与展望</w:t>
            </w:r>
          </w:p>
          <w:p>
            <w:pPr>
              <w:spacing w:line="240" w:lineRule="auto" w:before="0" w:after="0"/>
              <w:jc w:val="left"/>
            </w:pPr>
            <w:r>
              <w:rPr>
                <w:rFonts w:ascii="Times New Roman" w:hAnsi="Times New Roman" w:eastAsia="宋体"/>
                <w:b w:val="0"/>
                <w:sz w:val="21"/>
              </w:rPr>
              <w:t xml:space="preserve">   7.1 工作总结　7.2 主要贡献　7.3 不足　7.4 展望</w:t>
            </w:r>
          </w:p>
          <w:p>
            <w:pPr>
              <w:spacing w:line="240" w:lineRule="auto" w:before="0" w:after="0"/>
              <w:jc w:val="left"/>
            </w:pPr>
            <w:r>
              <w:rPr>
                <w:rFonts w:ascii="Times New Roman" w:hAnsi="Times New Roman" w:eastAsia="宋体"/>
                <w:b w:val="0"/>
                <w:sz w:val="21"/>
              </w:rPr>
              <w:t>参考文献　致谢　附录（A 术语与缩略语 / B 关键实测数字台账 / C 已知限制汇总 / D 复现命令清单 / E 图表清单）</w:t>
            </w:r>
          </w:p>
        </w:tc>
      </w:tr>
      <w:tr w:rsidR="00A95CB9" w:rsidTr="00E517A1">
        <w:trPr>
          <w:trHeight w:val="1965"/>
          <w:jc w:val="center"/>
        </w:trPr>
        <w:tc>
          <w:tcPr>
            <w:tcW w:w="875" w:type="dxa"/>
            <w:vMerge w:val="restart"/>
            <w:tcBorders>
              <w:top w:val="nil"/>
              <w:left w:val="single" w:sz="6" w:space="0" w:color="000000"/>
              <w:bottom w:val="single" w:sz="6" w:space="0" w:color="000000"/>
              <w:right w:val="single" w:sz="6" w:space="0" w:color="000000"/>
            </w:tcBorders>
            <w:vAlign w:val="center"/>
          </w:tcPr>
          <w:p w:rsidR="00A95CB9" w:rsidRDefault="00A95CB9" w:rsidP="00E517A1">
            <w:pPr>
              <w:jc w:val="center"/>
              <w:rPr>
                <w:rFonts w:ascii="宋体" w:hAnsi="宋体"/>
                <w:color w:val="000000" w:themeColor="text1"/>
              </w:rPr>
            </w:pPr>
            <w:r>
              <w:rPr>
                <w:rFonts w:ascii="宋体" w:hAnsi="宋体" w:hint="eastAsia"/>
                <w:color w:val="000000" w:themeColor="text1"/>
              </w:rPr>
              <w:t>指导教师意见</w:t>
            </w:r>
          </w:p>
        </w:tc>
        <w:tc>
          <w:tcPr>
            <w:tcW w:w="8329" w:type="dxa"/>
            <w:gridSpan w:val="8"/>
            <w:tcBorders>
              <w:top w:val="single" w:sz="6" w:space="0" w:color="000000"/>
              <w:left w:val="nil"/>
              <w:bottom w:val="single" w:sz="4" w:space="0" w:color="auto"/>
              <w:right w:val="single" w:sz="6" w:space="0" w:color="000000"/>
            </w:tcBorders>
          </w:tcPr>
          <w:p>
            <w:pPr>
              <w:spacing w:line="240" w:lineRule="auto" w:before="0" w:after="0"/>
              <w:jc w:val="left"/>
            </w:pPr>
            <w:r/>
            <w:r>
              <w:rPr>
                <w:rFonts w:ascii="Times New Roman" w:hAnsi="Times New Roman" w:eastAsia="宋体"/>
                <w:b w:val="0"/>
                <w:sz w:val="21"/>
              </w:rPr>
            </w:r>
          </w:p>
        </w:tc>
      </w:tr>
      <w:tr w:rsidR="00A95CB9" w:rsidTr="00E517A1">
        <w:trPr>
          <w:trHeight w:val="420"/>
          <w:jc w:val="center"/>
        </w:trPr>
        <w:tc>
          <w:tcPr>
            <w:tcW w:w="875" w:type="dxa"/>
            <w:vMerge/>
            <w:tcBorders>
              <w:top w:val="nil"/>
              <w:left w:val="single" w:sz="6" w:space="0" w:color="000000"/>
              <w:bottom w:val="single" w:sz="6" w:space="0" w:color="000000"/>
              <w:right w:val="single" w:sz="6" w:space="0" w:color="000000"/>
            </w:tcBorders>
            <w:vAlign w:val="center"/>
          </w:tcPr>
          <w:p w:rsidR="00A95CB9" w:rsidRDefault="00A95CB9" w:rsidP="00E517A1">
            <w:pPr>
              <w:widowControl/>
              <w:jc w:val="left"/>
              <w:rPr>
                <w:rFonts w:ascii="宋体" w:hAnsi="宋体"/>
                <w:color w:val="000000" w:themeColor="text1"/>
              </w:rPr>
            </w:pPr>
          </w:p>
        </w:tc>
        <w:tc>
          <w:tcPr>
            <w:tcW w:w="607" w:type="dxa"/>
            <w:tcBorders>
              <w:top w:val="single" w:sz="4" w:space="0" w:color="auto"/>
              <w:left w:val="nil"/>
              <w:bottom w:val="single" w:sz="6" w:space="0" w:color="000000"/>
              <w:right w:val="single" w:sz="4" w:space="0" w:color="auto"/>
            </w:tcBorders>
            <w:vAlign w:val="center"/>
          </w:tcPr>
          <w:p w:rsidR="00A95CB9" w:rsidRDefault="00A95CB9" w:rsidP="00E517A1">
            <w:pPr>
              <w:ind w:firstLineChars="50" w:firstLine="105"/>
              <w:rPr>
                <w:rFonts w:ascii="宋体" w:hAnsi="宋体"/>
                <w:color w:val="000000" w:themeColor="text1"/>
              </w:rPr>
            </w:pPr>
            <w:r>
              <w:rPr>
                <w:rFonts w:ascii="宋体" w:hAnsi="宋体" w:hint="eastAsia"/>
                <w:color w:val="000000" w:themeColor="text1"/>
              </w:rPr>
              <w:t>签名</w:t>
            </w:r>
          </w:p>
        </w:tc>
        <w:tc>
          <w:tcPr>
            <w:tcW w:w="3137" w:type="dxa"/>
            <w:gridSpan w:val="3"/>
            <w:tcBorders>
              <w:top w:val="single" w:sz="4" w:space="0" w:color="auto"/>
              <w:left w:val="nil"/>
              <w:bottom w:val="single" w:sz="6" w:space="0" w:color="000000"/>
              <w:right w:val="single" w:sz="4" w:space="0" w:color="auto"/>
            </w:tcBorders>
            <w:vAlign w:val="center"/>
          </w:tcPr>
          <w:p>
            <w:pPr>
              <w:spacing w:line="240" w:lineRule="auto" w:before="0" w:after="0"/>
              <w:jc w:val="left"/>
            </w:pPr>
            <w:r/>
            <w:r>
              <w:rPr>
                <w:rFonts w:ascii="Times New Roman" w:hAnsi="Times New Roman" w:eastAsia="宋体"/>
                <w:b w:val="0"/>
                <w:sz w:val="21"/>
              </w:rPr>
            </w:r>
          </w:p>
        </w:tc>
        <w:tc>
          <w:tcPr>
            <w:tcW w:w="840" w:type="dxa"/>
            <w:tcBorders>
              <w:top w:val="single" w:sz="4" w:space="0" w:color="auto"/>
              <w:left w:val="nil"/>
              <w:bottom w:val="single" w:sz="6" w:space="0" w:color="000000"/>
              <w:right w:val="single" w:sz="4" w:space="0" w:color="auto"/>
            </w:tcBorders>
            <w:vAlign w:val="center"/>
          </w:tcPr>
          <w:p w:rsidR="00A95CB9" w:rsidRDefault="00A95CB9" w:rsidP="00E517A1">
            <w:pPr>
              <w:ind w:firstLineChars="100" w:firstLine="210"/>
              <w:rPr>
                <w:rFonts w:ascii="宋体" w:hAnsi="宋体"/>
                <w:color w:val="000000" w:themeColor="text1"/>
              </w:rPr>
            </w:pPr>
            <w:r>
              <w:rPr>
                <w:rFonts w:ascii="宋体" w:hAnsi="宋体" w:hint="eastAsia"/>
                <w:color w:val="000000" w:themeColor="text1"/>
              </w:rPr>
              <w:t>时间</w:t>
            </w:r>
          </w:p>
        </w:tc>
        <w:tc>
          <w:tcPr>
            <w:tcW w:w="3745" w:type="dxa"/>
            <w:gridSpan w:val="3"/>
            <w:tcBorders>
              <w:top w:val="single" w:sz="4" w:space="0" w:color="auto"/>
              <w:left w:val="nil"/>
              <w:bottom w:val="single" w:sz="6" w:space="0" w:color="000000"/>
              <w:right w:val="single" w:sz="6" w:space="0" w:color="000000"/>
            </w:tcBorders>
            <w:vAlign w:val="center"/>
          </w:tcPr>
          <w:p>
            <w:pPr>
              <w:spacing w:line="240" w:lineRule="auto" w:before="0" w:after="0"/>
              <w:jc w:val="left"/>
            </w:pPr>
            <w:r/>
            <w:r>
              <w:rPr>
                <w:rFonts w:ascii="Times New Roman" w:hAnsi="Times New Roman" w:eastAsia="宋体"/>
                <w:b w:val="0"/>
                <w:sz w:val="21"/>
              </w:rPr>
            </w:r>
          </w:p>
          <w:p>
            <w:pPr>
              <w:spacing w:line="240" w:lineRule="auto" w:before="0" w:after="0"/>
              <w:jc w:val="left"/>
            </w:pPr>
            <w:r>
              <w:rPr>
                <w:rFonts w:ascii="Times New Roman" w:hAnsi="Times New Roman" w:eastAsia="宋体"/>
                <w:b w:val="0"/>
                <w:sz w:val="21"/>
              </w:rPr>
              <w:t>年      月      日</w:t>
            </w:r>
          </w:p>
        </w:tc>
      </w:tr>
    </w:tbl>
    <w:p w:rsidR="00A95CB9" w:rsidRDefault="00A95CB9" w:rsidP="00A95CB9">
      <w:pPr>
        <w:ind w:firstLineChars="200" w:firstLine="360"/>
        <w:rPr>
          <w:color w:val="FF0000"/>
          <w:sz w:val="18"/>
          <w:szCs w:val="18"/>
        </w:rPr>
      </w:pPr>
      <w:r>
        <w:rPr>
          <w:rFonts w:ascii="宋体" w:hAnsi="宋体" w:hint="eastAsia"/>
          <w:color w:val="FF0000"/>
          <w:sz w:val="18"/>
          <w:szCs w:val="18"/>
        </w:rPr>
        <w:t>说明：用A4纸张输出，表题宋体三号字，内容五号字，单倍行距，不够可以扩展为多页，双面打印，注意排版，指导教师意见处必须手写，其它内容打印，本任务书一式两份。（本说明打印时删除）</w:t>
      </w:r>
    </w:p>
    <w:p w:rsidR="00532135" w:rsidRDefault="00532135"/>
    <w:sectPr w:rsidR="0053213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31962" w:rsidRDefault="00631962" w:rsidP="00A95CB9">
      <w:r>
        <w:separator/>
      </w:r>
    </w:p>
  </w:endnote>
  <w:endnote w:type="continuationSeparator" w:id="0">
    <w:p w:rsidR="00631962" w:rsidRDefault="00631962" w:rsidP="00A95C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31962" w:rsidRDefault="00631962" w:rsidP="00A95CB9">
      <w:r>
        <w:separator/>
      </w:r>
    </w:p>
  </w:footnote>
  <w:footnote w:type="continuationSeparator" w:id="0">
    <w:p w:rsidR="00631962" w:rsidRDefault="00631962" w:rsidP="00A95CB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757A"/>
    <w:rsid w:val="0018757A"/>
    <w:rsid w:val="00532135"/>
    <w:rsid w:val="00631962"/>
    <w:rsid w:val="008271C6"/>
    <w:rsid w:val="00A95CB9"/>
    <w:rsid w:val="00F457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0747F4D1-8EAB-43E6-A2C0-4B5C28178A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95CB9"/>
    <w:pPr>
      <w:widowControl w:val="0"/>
      <w:jc w:val="both"/>
    </w:pPr>
    <w:rPr>
      <w:rFonts w:ascii="Times New Roman" w:eastAsia="宋体" w:hAnsi="Times New Roman" w:cs="Times New Roman"/>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A95CB9"/>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Char">
    <w:name w:val="页眉 Char"/>
    <w:basedOn w:val="a0"/>
    <w:link w:val="a3"/>
    <w:uiPriority w:val="99"/>
    <w:rsid w:val="00A95CB9"/>
    <w:rPr>
      <w:sz w:val="18"/>
      <w:szCs w:val="18"/>
    </w:rPr>
  </w:style>
  <w:style w:type="paragraph" w:styleId="a4">
    <w:name w:val="footer"/>
    <w:basedOn w:val="a"/>
    <w:link w:val="Char0"/>
    <w:uiPriority w:val="99"/>
    <w:unhideWhenUsed/>
    <w:rsid w:val="00A95CB9"/>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Char0">
    <w:name w:val="页脚 Char"/>
    <w:basedOn w:val="a0"/>
    <w:link w:val="a4"/>
    <w:uiPriority w:val="99"/>
    <w:rsid w:val="00A95CB9"/>
    <w:rPr>
      <w:sz w:val="18"/>
      <w:szCs w:val="18"/>
    </w:rPr>
  </w:style>
  <w:style w:type="paragraph" w:styleId="a5">
    <w:name w:val="Body Text Indent"/>
    <w:basedOn w:val="a"/>
    <w:link w:val="Char1"/>
    <w:uiPriority w:val="99"/>
    <w:unhideWhenUsed/>
    <w:qFormat/>
    <w:rsid w:val="00A95CB9"/>
    <w:pPr>
      <w:spacing w:before="100" w:beforeAutospacing="1" w:after="120"/>
      <w:ind w:leftChars="200" w:left="420"/>
    </w:pPr>
  </w:style>
  <w:style w:type="character" w:customStyle="1" w:styleId="Char1">
    <w:name w:val="正文文本缩进 Char"/>
    <w:basedOn w:val="a0"/>
    <w:link w:val="a5"/>
    <w:uiPriority w:val="99"/>
    <w:qFormat/>
    <w:rsid w:val="00A95CB9"/>
    <w:rPr>
      <w:rFonts w:ascii="Times New Roman" w:eastAsia="宋体" w:hAnsi="Times New Roman"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63</Words>
  <Characters>363</Characters>
  <Application>Microsoft Office Word</Application>
  <DocSecurity>0</DocSecurity>
  <Lines>3</Lines>
  <Paragraphs>1</Paragraphs>
  <ScaleCrop>false</ScaleCrop>
  <Company>微软中国</Company>
  <LinksUpToDate>false</LinksUpToDate>
  <CharactersWithSpaces>425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3</cp:revision>
  <dcterms:created xsi:type="dcterms:W3CDTF">2017-10-24T08:43:00Z</dcterms:created>
  <dcterms:modified xsi:type="dcterms:W3CDTF">2019-09-16T08:36:00Z</dcterms:modified>
</cp:coreProperties>
</file>