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CB9" w:rsidRDefault="008271C6" w:rsidP="00A95CB9">
      <w:pPr>
        <w:jc w:val="center"/>
        <w:outlineLvl w:val="0"/>
        <w:rPr>
          <w:rFonts w:ascii="宋体" w:hAnsi="宋体"/>
          <w:color w:val="000000" w:themeColor="text1"/>
        </w:rPr>
      </w:pPr>
      <w:bookmarkStart w:id="0" w:name="_Toc28190"/>
      <w:r w:rsidRPr="008271C6">
        <w:rPr>
          <w:rFonts w:ascii="宋体" w:hAnsi="宋体" w:hint="eastAsia"/>
          <w:b/>
          <w:bCs/>
          <w:color w:val="000000" w:themeColor="text1"/>
          <w:sz w:val="32"/>
          <w:szCs w:val="32"/>
        </w:rPr>
        <w:t xml:space="preserve">湖南工商大学2027 届毕业论文(设计)开题报告  </w:t>
      </w:r>
      <w:bookmarkStart w:id="1" w:name="_GoBack"/>
      <w:bookmarkEnd w:id="1"/>
      <w:r w:rsidR="00A95CB9">
        <w:rPr>
          <w:rFonts w:ascii="宋体" w:hAnsi="宋体" w:hint="eastAsia"/>
          <w:b/>
          <w:bCs/>
          <w:color w:val="000000" w:themeColor="text1"/>
          <w:sz w:val="32"/>
          <w:szCs w:val="32"/>
        </w:rPr>
      </w:r>
      <w:r w:rsidR="00A95CB9">
        <w:rPr>
          <w:rFonts w:ascii="宋体" w:hAnsi="宋体" w:hint="eastAsia"/>
          <w:b/>
          <w:bCs/>
          <w:color w:val="000000" w:themeColor="text1"/>
          <w:sz w:val="32"/>
          <w:szCs w:val="32"/>
          <w:u w:val="single"/>
        </w:rPr>
      </w:r>
      <w:r w:rsidR="00A95CB9">
        <w:rPr>
          <w:rFonts w:ascii="宋体" w:hAnsi="宋体" w:hint="eastAsia"/>
          <w:b/>
          <w:bCs/>
          <w:color w:val="000000" w:themeColor="text1"/>
          <w:sz w:val="32"/>
          <w:szCs w:val="32"/>
        </w:rPr>
      </w:r>
      <w:bookmarkEnd w:id="0"/>
      <w:r w:rsidR="00A95CB9">
        <w:rPr>
          <w:rFonts w:ascii="宋体" w:hAnsi="宋体" w:hint="eastAsia"/>
          <w:color w:val="000000" w:themeColor="text1"/>
        </w:rPr>
      </w:r>
    </w:p>
    <w:p w:rsidR="00A95CB9" w:rsidRDefault="00A95CB9" w:rsidP="00A95CB9">
      <w:pPr>
        <w:jc w:val="center"/>
        <w:rPr>
          <w:color w:val="000000" w:themeColor="text1"/>
        </w:rPr>
      </w:pPr>
      <w:r>
        <w:rPr>
          <w:rFonts w:ascii="宋体" w:hAnsi="宋体" w:hint="eastAsia"/>
          <w:color w:val="000000" w:themeColor="text1"/>
        </w:rPr>
        <w:t xml:space="preserve">                    </w:t>
      </w:r>
    </w:p>
    <w:tbl>
      <w:tblPr>
        <w:tblW w:w="9204" w:type="dxa"/>
        <w:jc w:val="center"/>
        <w:tblLayout w:type="fixed"/>
        <w:tblCellMar>
          <w:left w:w="28" w:type="dxa"/>
          <w:right w:w="28" w:type="dxa"/>
        </w:tblCellMar>
        <w:tblLook w:val="04A0" w:firstRow="1" w:lastRow="0" w:firstColumn="1" w:lastColumn="0" w:noHBand="0" w:noVBand="1"/>
      </w:tblPr>
      <w:tblGrid>
        <w:gridCol w:w="875"/>
        <w:gridCol w:w="607"/>
        <w:gridCol w:w="617"/>
        <w:gridCol w:w="697"/>
        <w:gridCol w:w="1823"/>
        <w:gridCol w:w="840"/>
        <w:gridCol w:w="697"/>
        <w:gridCol w:w="1155"/>
        <w:gridCol w:w="1893"/>
      </w:tblGrid>
      <w:tr w:rsidR="00A95CB9" w:rsidTr="00E517A1">
        <w:trPr>
          <w:trHeight w:val="449"/>
          <w:jc w:val="center"/>
        </w:trPr>
        <w:tc>
          <w:tcPr>
            <w:tcW w:w="875" w:type="dxa"/>
            <w:vMerge w:val="restart"/>
            <w:tcBorders>
              <w:top w:val="single" w:sz="6" w:space="0" w:color="000000"/>
              <w:left w:val="single" w:sz="6" w:space="0" w:color="000000"/>
              <w:bottom w:val="single" w:sz="6" w:space="0" w:color="000000"/>
              <w:right w:val="single" w:sz="6" w:space="0" w:color="000000"/>
            </w:tcBorders>
            <w:vAlign w:val="center"/>
          </w:tcPr>
          <w:p w:rsidR="00A95CB9" w:rsidRDefault="00A95CB9" w:rsidP="00E517A1">
            <w:pPr>
              <w:jc w:val="center"/>
              <w:rPr>
                <w:rFonts w:ascii="宋体" w:hAnsi="宋体"/>
                <w:color w:val="000000" w:themeColor="text1"/>
              </w:rPr>
            </w:pPr>
            <w:r>
              <w:rPr>
                <w:rFonts w:ascii="宋体" w:hAnsi="宋体" w:hint="eastAsia"/>
                <w:color w:val="000000" w:themeColor="text1"/>
              </w:rPr>
              <w:t>姓名</w:t>
            </w:r>
          </w:p>
        </w:tc>
        <w:tc>
          <w:tcPr>
            <w:tcW w:w="1224" w:type="dxa"/>
            <w:gridSpan w:val="2"/>
            <w:vMerge w:val="restart"/>
            <w:tcBorders>
              <w:top w:val="single" w:sz="6" w:space="0" w:color="000000"/>
              <w:left w:val="nil"/>
              <w:bottom w:val="single" w:sz="6" w:space="0" w:color="000000"/>
              <w:right w:val="single" w:sz="4" w:space="0" w:color="auto"/>
            </w:tcBorders>
            <w:vAlign w:val="center"/>
          </w:tcPr>
          <w:p>
            <w:pPr>
              <w:spacing w:line="240" w:lineRule="auto" w:before="0" w:after="0"/>
              <w:jc w:val="center"/>
            </w:pPr>
            <w:r/>
            <w:r>
              <w:rPr>
                <w:rFonts w:ascii="Times New Roman" w:hAnsi="Times New Roman" w:eastAsia="宋体"/>
                <w:b w:val="0"/>
                <w:sz w:val="21"/>
              </w:rPr>
              <w:t>蒋树阳</w:t>
            </w:r>
          </w:p>
        </w:tc>
        <w:tc>
          <w:tcPr>
            <w:tcW w:w="697" w:type="dxa"/>
            <w:vMerge w:val="restart"/>
            <w:tcBorders>
              <w:top w:val="single" w:sz="6" w:space="0" w:color="000000"/>
              <w:left w:val="nil"/>
              <w:bottom w:val="single" w:sz="6" w:space="0" w:color="000000"/>
              <w:right w:val="single" w:sz="4" w:space="0" w:color="auto"/>
            </w:tcBorders>
            <w:vAlign w:val="center"/>
          </w:tcPr>
          <w:p w:rsidR="00A95CB9" w:rsidRDefault="00A95CB9" w:rsidP="00E517A1">
            <w:pPr>
              <w:jc w:val="center"/>
              <w:rPr>
                <w:rFonts w:ascii="宋体" w:hAnsi="宋体"/>
                <w:color w:val="000000" w:themeColor="text1"/>
              </w:rPr>
            </w:pPr>
            <w:r>
              <w:rPr>
                <w:rFonts w:ascii="宋体" w:hAnsi="宋体" w:hint="eastAsia"/>
                <w:color w:val="000000" w:themeColor="text1"/>
              </w:rPr>
              <w:t>学院</w:t>
            </w:r>
          </w:p>
        </w:tc>
        <w:tc>
          <w:tcPr>
            <w:tcW w:w="3360" w:type="dxa"/>
            <w:gridSpan w:val="3"/>
            <w:vMerge w:val="restart"/>
            <w:tcBorders>
              <w:top w:val="single" w:sz="6" w:space="0" w:color="000000"/>
              <w:left w:val="nil"/>
              <w:bottom w:val="single" w:sz="6" w:space="0" w:color="000000"/>
              <w:right w:val="single" w:sz="6" w:space="0" w:color="000000"/>
            </w:tcBorders>
            <w:vAlign w:val="center"/>
          </w:tcPr>
          <w:p>
            <w:pPr>
              <w:spacing w:line="240" w:lineRule="auto" w:before="0" w:after="0"/>
              <w:jc w:val="center"/>
            </w:pPr>
            <w:r/>
            <w:r>
              <w:rPr>
                <w:rFonts w:ascii="Times New Roman" w:hAnsi="Times New Roman" w:eastAsia="宋体"/>
                <w:b w:val="0"/>
                <w:sz w:val="21"/>
              </w:rPr>
              <w:t>前沿交叉学院</w:t>
            </w:r>
          </w:p>
        </w:tc>
        <w:tc>
          <w:tcPr>
            <w:tcW w:w="1155" w:type="dxa"/>
            <w:tcBorders>
              <w:top w:val="single" w:sz="6" w:space="0" w:color="000000"/>
              <w:left w:val="nil"/>
              <w:bottom w:val="single" w:sz="6" w:space="0" w:color="000000"/>
              <w:right w:val="single" w:sz="6" w:space="0" w:color="000000"/>
            </w:tcBorders>
            <w:vAlign w:val="center"/>
          </w:tcPr>
          <w:p w:rsidR="00A95CB9" w:rsidRDefault="00A95CB9" w:rsidP="00E517A1">
            <w:pPr>
              <w:jc w:val="center"/>
              <w:rPr>
                <w:rFonts w:ascii="宋体" w:hAnsi="宋体"/>
                <w:color w:val="000000" w:themeColor="text1"/>
              </w:rPr>
            </w:pPr>
            <w:r>
              <w:rPr>
                <w:rFonts w:ascii="宋体" w:hAnsi="宋体" w:hint="eastAsia"/>
                <w:color w:val="000000" w:themeColor="text1"/>
              </w:rPr>
              <w:t>学    号</w:t>
            </w:r>
          </w:p>
        </w:tc>
        <w:tc>
          <w:tcPr>
            <w:tcW w:w="1893" w:type="dxa"/>
            <w:tcBorders>
              <w:top w:val="single" w:sz="6" w:space="0" w:color="000000"/>
              <w:left w:val="nil"/>
              <w:bottom w:val="single" w:sz="6" w:space="0" w:color="000000"/>
              <w:right w:val="single" w:sz="6" w:space="0" w:color="000000"/>
            </w:tcBorders>
            <w:vAlign w:val="center"/>
          </w:tcPr>
          <w:p>
            <w:pPr>
              <w:spacing w:line="240" w:lineRule="auto" w:before="0" w:after="0"/>
              <w:jc w:val="center"/>
            </w:pPr>
            <w:r/>
            <w:r>
              <w:rPr>
                <w:rFonts w:ascii="Times New Roman" w:hAnsi="Times New Roman" w:eastAsia="宋体"/>
                <w:b w:val="0"/>
                <w:sz w:val="21"/>
              </w:rPr>
              <w:t>2325010007</w:t>
            </w:r>
          </w:p>
        </w:tc>
      </w:tr>
      <w:tr w:rsidR="00A95CB9" w:rsidTr="00E517A1">
        <w:trPr>
          <w:trHeight w:val="435"/>
          <w:jc w:val="center"/>
        </w:trPr>
        <w:tc>
          <w:tcPr>
            <w:tcW w:w="875" w:type="dxa"/>
            <w:vMerge/>
            <w:tcBorders>
              <w:top w:val="single" w:sz="6" w:space="0" w:color="000000"/>
              <w:left w:val="single" w:sz="6" w:space="0" w:color="000000"/>
              <w:bottom w:val="single" w:sz="6" w:space="0" w:color="000000"/>
              <w:right w:val="single" w:sz="6" w:space="0" w:color="000000"/>
            </w:tcBorders>
            <w:vAlign w:val="center"/>
          </w:tcPr>
          <w:p w:rsidR="00A95CB9" w:rsidRDefault="00A95CB9" w:rsidP="00E517A1">
            <w:pPr>
              <w:widowControl/>
              <w:jc w:val="left"/>
              <w:rPr>
                <w:rFonts w:ascii="宋体" w:hAnsi="宋体"/>
                <w:color w:val="000000" w:themeColor="text1"/>
              </w:rPr>
            </w:pPr>
          </w:p>
        </w:tc>
        <w:tc>
          <w:tcPr>
            <w:tcW w:w="1224" w:type="dxa"/>
            <w:gridSpan w:val="2"/>
            <w:vMerge/>
            <w:tcBorders>
              <w:top w:val="single" w:sz="6" w:space="0" w:color="000000"/>
              <w:left w:val="nil"/>
              <w:bottom w:val="single" w:sz="6" w:space="0" w:color="000000"/>
              <w:right w:val="single" w:sz="4" w:space="0" w:color="auto"/>
            </w:tcBorders>
            <w:vAlign w:val="center"/>
          </w:tcPr>
          <w:p w:rsidR="00A95CB9" w:rsidRDefault="00A95CB9" w:rsidP="00E517A1">
            <w:pPr>
              <w:widowControl/>
              <w:jc w:val="left"/>
              <w:rPr>
                <w:rFonts w:ascii="宋体" w:hAnsi="宋体"/>
                <w:color w:val="000000" w:themeColor="text1"/>
              </w:rPr>
            </w:pPr>
          </w:p>
        </w:tc>
        <w:tc>
          <w:tcPr>
            <w:tcW w:w="697" w:type="dxa"/>
            <w:vMerge/>
            <w:tcBorders>
              <w:top w:val="single" w:sz="6" w:space="0" w:color="000000"/>
              <w:left w:val="nil"/>
              <w:bottom w:val="single" w:sz="6" w:space="0" w:color="000000"/>
              <w:right w:val="single" w:sz="4" w:space="0" w:color="auto"/>
            </w:tcBorders>
            <w:vAlign w:val="center"/>
          </w:tcPr>
          <w:p w:rsidR="00A95CB9" w:rsidRDefault="00A95CB9" w:rsidP="00E517A1">
            <w:pPr>
              <w:widowControl/>
              <w:jc w:val="left"/>
              <w:rPr>
                <w:rFonts w:ascii="宋体" w:hAnsi="宋体"/>
                <w:color w:val="000000" w:themeColor="text1"/>
              </w:rPr>
            </w:pPr>
          </w:p>
        </w:tc>
        <w:tc>
          <w:tcPr>
            <w:tcW w:w="3360" w:type="dxa"/>
            <w:gridSpan w:val="3"/>
            <w:vMerge/>
            <w:tcBorders>
              <w:top w:val="single" w:sz="6" w:space="0" w:color="000000"/>
              <w:left w:val="nil"/>
              <w:bottom w:val="single" w:sz="6" w:space="0" w:color="000000"/>
              <w:right w:val="single" w:sz="6" w:space="0" w:color="000000"/>
            </w:tcBorders>
            <w:vAlign w:val="center"/>
          </w:tcPr>
          <w:p w:rsidR="00A95CB9" w:rsidRDefault="00A95CB9" w:rsidP="00E517A1">
            <w:pPr>
              <w:widowControl/>
              <w:jc w:val="left"/>
              <w:rPr>
                <w:rFonts w:ascii="宋体" w:hAnsi="宋体"/>
                <w:color w:val="000000" w:themeColor="text1"/>
              </w:rPr>
            </w:pPr>
          </w:p>
        </w:tc>
        <w:tc>
          <w:tcPr>
            <w:tcW w:w="1155" w:type="dxa"/>
            <w:tcBorders>
              <w:top w:val="single" w:sz="6" w:space="0" w:color="000000"/>
              <w:left w:val="nil"/>
              <w:bottom w:val="single" w:sz="6" w:space="0" w:color="000000"/>
              <w:right w:val="single" w:sz="6" w:space="0" w:color="000000"/>
            </w:tcBorders>
            <w:vAlign w:val="center"/>
          </w:tcPr>
          <w:p w:rsidR="00A95CB9" w:rsidRDefault="00A95CB9" w:rsidP="00E517A1">
            <w:pPr>
              <w:jc w:val="center"/>
              <w:rPr>
                <w:rFonts w:ascii="宋体" w:hAnsi="宋体"/>
                <w:color w:val="000000" w:themeColor="text1"/>
              </w:rPr>
            </w:pPr>
            <w:r>
              <w:rPr>
                <w:rFonts w:ascii="宋体" w:hAnsi="宋体" w:hint="eastAsia"/>
                <w:color w:val="000000" w:themeColor="text1"/>
              </w:rPr>
              <w:t>专业班级</w:t>
            </w:r>
          </w:p>
        </w:tc>
        <w:tc>
          <w:tcPr>
            <w:tcW w:w="1893" w:type="dxa"/>
            <w:tcBorders>
              <w:top w:val="single" w:sz="6" w:space="0" w:color="000000"/>
              <w:left w:val="nil"/>
              <w:bottom w:val="single" w:sz="6" w:space="0" w:color="000000"/>
              <w:right w:val="single" w:sz="6" w:space="0" w:color="000000"/>
            </w:tcBorders>
            <w:vAlign w:val="center"/>
          </w:tcPr>
          <w:p>
            <w:pPr>
              <w:spacing w:line="240" w:lineRule="auto" w:before="0" w:after="0"/>
              <w:jc w:val="center"/>
            </w:pPr>
            <w:r/>
            <w:r>
              <w:rPr>
                <w:rFonts w:ascii="Times New Roman" w:hAnsi="Times New Roman" w:eastAsia="宋体"/>
                <w:b w:val="0"/>
                <w:sz w:val="21"/>
              </w:rPr>
              <w:t>大数据2303</w:t>
            </w:r>
          </w:p>
        </w:tc>
      </w:tr>
      <w:tr w:rsidR="00A95CB9" w:rsidTr="00E517A1">
        <w:trPr>
          <w:trHeight w:val="435"/>
          <w:jc w:val="center"/>
        </w:trPr>
        <w:tc>
          <w:tcPr>
            <w:tcW w:w="875" w:type="dxa"/>
            <w:tcBorders>
              <w:top w:val="single" w:sz="6" w:space="0" w:color="000000"/>
              <w:left w:val="single" w:sz="6" w:space="0" w:color="000000"/>
              <w:bottom w:val="single" w:sz="6" w:space="0" w:color="000000"/>
              <w:right w:val="single" w:sz="6" w:space="0" w:color="000000"/>
            </w:tcBorders>
            <w:vAlign w:val="center"/>
          </w:tcPr>
          <w:p w:rsidR="00A95CB9" w:rsidRDefault="00A95CB9" w:rsidP="00E517A1">
            <w:pPr>
              <w:widowControl/>
              <w:jc w:val="center"/>
              <w:rPr>
                <w:rFonts w:ascii="宋体" w:hAnsi="宋体"/>
                <w:color w:val="000000" w:themeColor="text1"/>
              </w:rPr>
            </w:pPr>
            <w:r>
              <w:rPr>
                <w:rFonts w:ascii="宋体" w:hAnsi="宋体" w:hint="eastAsia"/>
                <w:color w:val="000000" w:themeColor="text1"/>
              </w:rPr>
              <w:t>题目</w:t>
            </w:r>
          </w:p>
        </w:tc>
        <w:tc>
          <w:tcPr>
            <w:tcW w:w="8329" w:type="dxa"/>
            <w:gridSpan w:val="8"/>
            <w:tcBorders>
              <w:top w:val="single" w:sz="6" w:space="0" w:color="000000"/>
              <w:left w:val="nil"/>
              <w:bottom w:val="single" w:sz="6" w:space="0" w:color="000000"/>
              <w:right w:val="single" w:sz="6" w:space="0" w:color="000000"/>
            </w:tcBorders>
            <w:vAlign w:val="center"/>
          </w:tcPr>
          <w:p>
            <w:pPr>
              <w:spacing w:line="240" w:lineRule="auto" w:before="0" w:after="0"/>
              <w:jc w:val="left"/>
            </w:pPr>
            <w:r/>
            <w:r>
              <w:rPr>
                <w:rFonts w:ascii="Times New Roman" w:hAnsi="Times New Roman" w:eastAsia="宋体"/>
                <w:b w:val="0"/>
                <w:sz w:val="21"/>
              </w:rPr>
              <w:t>基于 Lakehouse 与 AI Agent 的批流一体智能数据分析平台</w:t>
            </w:r>
          </w:p>
        </w:tc>
      </w:tr>
      <w:tr w:rsidR="00A95CB9" w:rsidTr="00E517A1">
        <w:trPr>
          <w:trHeight w:val="2343"/>
          <w:jc w:val="center"/>
        </w:trPr>
        <w:tc>
          <w:tcPr>
            <w:tcW w:w="875" w:type="dxa"/>
            <w:tcBorders>
              <w:top w:val="single" w:sz="6" w:space="0" w:color="000000"/>
              <w:left w:val="single" w:sz="6" w:space="0" w:color="000000"/>
              <w:bottom w:val="single" w:sz="6" w:space="0" w:color="000000"/>
              <w:right w:val="single" w:sz="6" w:space="0" w:color="000000"/>
            </w:tcBorders>
          </w:tcPr>
          <w:p w:rsidR="00A95CB9" w:rsidRDefault="00A95CB9" w:rsidP="00E517A1">
            <w:pPr>
              <w:jc w:val="center"/>
              <w:rPr>
                <w:rFonts w:ascii="宋体" w:hAnsi="宋体"/>
                <w:color w:val="000000" w:themeColor="text1"/>
              </w:rPr>
            </w:pPr>
            <w:r>
              <w:rPr>
                <w:rFonts w:ascii="宋体" w:hAnsi="宋体" w:hint="eastAsia"/>
                <w:color w:val="000000" w:themeColor="text1"/>
              </w:rPr>
              <w:t>文</w:t>
            </w:r>
          </w:p>
          <w:p w:rsidR="00A95CB9" w:rsidRDefault="00A95CB9" w:rsidP="00E517A1">
            <w:pPr>
              <w:jc w:val="center"/>
              <w:rPr>
                <w:rFonts w:ascii="宋体" w:hAnsi="宋体"/>
                <w:color w:val="000000" w:themeColor="text1"/>
              </w:rPr>
            </w:pPr>
          </w:p>
          <w:p w:rsidR="00A95CB9" w:rsidRDefault="00A95CB9" w:rsidP="00E517A1">
            <w:pPr>
              <w:jc w:val="center"/>
              <w:rPr>
                <w:rFonts w:ascii="宋体" w:hAnsi="宋体"/>
                <w:color w:val="000000" w:themeColor="text1"/>
              </w:rPr>
            </w:pPr>
            <w:r>
              <w:rPr>
                <w:rFonts w:ascii="宋体" w:hAnsi="宋体" w:hint="eastAsia"/>
                <w:color w:val="000000" w:themeColor="text1"/>
              </w:rPr>
              <w:t>献</w:t>
            </w:r>
          </w:p>
          <w:p w:rsidR="00A95CB9" w:rsidRDefault="00A95CB9" w:rsidP="00E517A1">
            <w:pPr>
              <w:jc w:val="center"/>
              <w:rPr>
                <w:rFonts w:ascii="宋体" w:hAnsi="宋体"/>
                <w:color w:val="000000" w:themeColor="text1"/>
              </w:rPr>
            </w:pPr>
          </w:p>
          <w:p w:rsidR="00A95CB9" w:rsidRDefault="00A95CB9" w:rsidP="00E517A1">
            <w:pPr>
              <w:jc w:val="center"/>
              <w:rPr>
                <w:rFonts w:ascii="宋体" w:hAnsi="宋体"/>
                <w:color w:val="000000" w:themeColor="text1"/>
              </w:rPr>
            </w:pPr>
            <w:r>
              <w:rPr>
                <w:rFonts w:ascii="宋体" w:hAnsi="宋体" w:hint="eastAsia"/>
                <w:color w:val="000000" w:themeColor="text1"/>
              </w:rPr>
              <w:t>综</w:t>
            </w:r>
          </w:p>
          <w:p w:rsidR="00A95CB9" w:rsidRDefault="00A95CB9" w:rsidP="00E517A1">
            <w:pPr>
              <w:jc w:val="center"/>
              <w:rPr>
                <w:rFonts w:ascii="宋体" w:hAnsi="宋体"/>
                <w:color w:val="000000" w:themeColor="text1"/>
              </w:rPr>
            </w:pPr>
          </w:p>
          <w:p w:rsidR="00A95CB9" w:rsidRDefault="00A95CB9" w:rsidP="00E517A1">
            <w:pPr>
              <w:jc w:val="center"/>
              <w:rPr>
                <w:rFonts w:ascii="宋体" w:hAnsi="宋体"/>
                <w:color w:val="000000" w:themeColor="text1"/>
              </w:rPr>
            </w:pPr>
            <w:r>
              <w:rPr>
                <w:rFonts w:ascii="宋体" w:hAnsi="宋体" w:hint="eastAsia"/>
                <w:color w:val="000000" w:themeColor="text1"/>
              </w:rPr>
              <w:t>述</w:t>
            </w:r>
          </w:p>
        </w:tc>
        <w:tc>
          <w:tcPr>
            <w:tcW w:w="8329" w:type="dxa"/>
            <w:gridSpan w:val="8"/>
            <w:tcBorders>
              <w:top w:val="single" w:sz="6" w:space="0" w:color="000000"/>
              <w:left w:val="nil"/>
              <w:bottom w:val="single" w:sz="6" w:space="0" w:color="000000"/>
              <w:right w:val="single" w:sz="6" w:space="0" w:color="000000"/>
            </w:tcBorders>
          </w:tcPr>
          <w:p>
            <w:pPr>
              <w:spacing w:line="240" w:lineRule="auto" w:before="0" w:after="0"/>
              <w:jc w:val="left"/>
            </w:pPr>
            <w:r/>
            <w:r>
              <w:rPr>
                <w:rFonts w:ascii="Times New Roman" w:hAnsi="Times New Roman" w:eastAsia="宋体"/>
                <w:b w:val="0"/>
                <w:sz w:val="21"/>
              </w:rPr>
              <w:t>一、研究背景</w:t>
            </w:r>
          </w:p>
          <w:p>
            <w:pPr>
              <w:spacing w:line="240" w:lineRule="auto" w:before="0" w:after="0"/>
              <w:jc w:val="left"/>
            </w:pPr>
            <w:r>
              <w:rPr>
                <w:rFonts w:ascii="Times New Roman" w:hAnsi="Times New Roman" w:eastAsia="宋体"/>
                <w:b w:val="0"/>
                <w:sz w:val="21"/>
              </w:rPr>
            </w:r>
          </w:p>
          <w:p>
            <w:pPr>
              <w:spacing w:line="240" w:lineRule="auto" w:before="0" w:after="0"/>
              <w:jc w:val="left"/>
            </w:pPr>
            <w:r>
              <w:rPr>
                <w:rFonts w:ascii="Times New Roman" w:hAnsi="Times New Roman" w:eastAsia="宋体"/>
                <w:b w:val="0"/>
                <w:sz w:val="21"/>
              </w:rPr>
              <w:t>电商业务的数据同时以两种形态产生。一类是点击、加购、下单、支付、退款等持续不断的事件流，业务对时效性的要求是秒级；另一类是日级、月级的经营分析，对准确性与可回溯性的要求高于时效性。传统做法把两者建成两套独立系统：实时侧由流处理引擎产出看板指标，离线侧由批处理引擎产出报表。代价是同一个指标存在两份实现，口径容易分叉；一旦实时与离线对同一个"GMV"给出不同数值，建立在其上的经营判断与智能应用就失去了依据。</w:t>
            </w:r>
          </w:p>
          <w:p>
            <w:pPr>
              <w:spacing w:line="240" w:lineRule="auto" w:before="0" w:after="0"/>
              <w:jc w:val="left"/>
            </w:pPr>
            <w:r>
              <w:rPr>
                <w:rFonts w:ascii="Times New Roman" w:hAnsi="Times New Roman" w:eastAsia="宋体"/>
                <w:b w:val="0"/>
                <w:sz w:val="21"/>
              </w:rPr>
            </w:r>
          </w:p>
          <w:p>
            <w:pPr>
              <w:spacing w:line="240" w:lineRule="auto" w:before="0" w:after="0"/>
              <w:jc w:val="left"/>
            </w:pPr>
            <w:r>
              <w:rPr>
                <w:rFonts w:ascii="Times New Roman" w:hAnsi="Times New Roman" w:eastAsia="宋体"/>
                <w:b w:val="0"/>
                <w:sz w:val="21"/>
              </w:rPr>
              <w:t>这一问题的本质不是"引擎选型"，而是**指标口径的单一事实源缺失**。流处理与批处理在事件时间语义、去重近似算法、除法精度与缺失值约定上的差异，都会让"同一个数"变成两个数。要证明两条链路算的是同一个数，仅靠"两条链路都跑通了"是不够的，必须给出可证伪的逐项比对证据。</w:t>
            </w:r>
          </w:p>
          <w:p>
            <w:pPr>
              <w:spacing w:line="240" w:lineRule="auto" w:before="0" w:after="0"/>
              <w:jc w:val="left"/>
            </w:pPr>
            <w:r>
              <w:rPr>
                <w:rFonts w:ascii="Times New Roman" w:hAnsi="Times New Roman" w:eastAsia="宋体"/>
                <w:b w:val="0"/>
                <w:sz w:val="21"/>
              </w:rPr>
            </w:r>
          </w:p>
          <w:p>
            <w:pPr>
              <w:spacing w:line="240" w:lineRule="auto" w:before="0" w:after="0"/>
              <w:jc w:val="left"/>
            </w:pPr>
            <w:r>
              <w:rPr>
                <w:rFonts w:ascii="Times New Roman" w:hAnsi="Times New Roman" w:eastAsia="宋体"/>
                <w:b w:val="0"/>
                <w:sz w:val="21"/>
              </w:rPr>
              <w:t>二、国内外研究状况</w:t>
            </w:r>
          </w:p>
          <w:p>
            <w:pPr>
              <w:spacing w:line="240" w:lineRule="auto" w:before="0" w:after="0"/>
              <w:jc w:val="left"/>
            </w:pPr>
            <w:r>
              <w:rPr>
                <w:rFonts w:ascii="Times New Roman" w:hAnsi="Times New Roman" w:eastAsia="宋体"/>
                <w:b w:val="0"/>
                <w:sz w:val="21"/>
              </w:rPr>
            </w:r>
          </w:p>
          <w:p>
            <w:pPr>
              <w:spacing w:line="240" w:lineRule="auto" w:before="0" w:after="0"/>
              <w:jc w:val="left"/>
            </w:pPr>
            <w:r>
              <w:rPr>
                <w:rFonts w:ascii="Times New Roman" w:hAnsi="Times New Roman" w:eastAsia="宋体"/>
                <w:b w:val="0"/>
                <w:sz w:val="21"/>
              </w:rPr>
              <w:t>（1）流批一体的引擎路线。Flink 提出以统一的运行时同时承载流与批，用事件时间与水位线处理乱序数据，把批视为有界流；Spark 则以弹性分布式数据集（RDD）与结构化 API 为批处理基础，并用微批方式扩展流处理。两条路线都在向"一套代码、两种执行"演进，但**都没有解决"口径由谁定义"这一治理问题**——引擎一致不等于指标定义一致。</w:t>
            </w:r>
          </w:p>
          <w:p>
            <w:pPr>
              <w:spacing w:line="240" w:lineRule="auto" w:before="0" w:after="0"/>
              <w:jc w:val="left"/>
            </w:pPr>
            <w:r>
              <w:rPr>
                <w:rFonts w:ascii="Times New Roman" w:hAnsi="Times New Roman" w:eastAsia="宋体"/>
                <w:b w:val="0"/>
                <w:sz w:val="21"/>
              </w:rPr>
            </w:r>
          </w:p>
          <w:p>
            <w:pPr>
              <w:spacing w:line="240" w:lineRule="auto" w:before="0" w:after="0"/>
              <w:jc w:val="left"/>
            </w:pPr>
            <w:r>
              <w:rPr>
                <w:rFonts w:ascii="Times New Roman" w:hAnsi="Times New Roman" w:eastAsia="宋体"/>
                <w:b w:val="0"/>
                <w:sz w:val="21"/>
              </w:rPr>
              <w:t>（2）湖仓一体与开放表格式。Lakehouse 主张在低成本对象存储上以开放表格式（如 Apache Iceberg）同时提供数仓的事务能力与数据湖的灵活性，用元数据层实现快照隔离、模式演进与时间旅行。Iceberg 的 v2 规范引入了行级删除与更完善的快照语义，使其可以承担"可回溯的事实层"。但湖仓解决的是**存储与事务**问题，逐窗口对账这类**跨链路一致性验证**仍需自行设计判据。</w:t>
            </w:r>
          </w:p>
          <w:p>
            <w:pPr>
              <w:spacing w:line="240" w:lineRule="auto" w:before="0" w:after="0"/>
              <w:jc w:val="left"/>
            </w:pPr>
            <w:r>
              <w:rPr>
                <w:rFonts w:ascii="Times New Roman" w:hAnsi="Times New Roman" w:eastAsia="宋体"/>
                <w:b w:val="0"/>
                <w:sz w:val="21"/>
              </w:rPr>
            </w:r>
          </w:p>
          <w:p>
            <w:pPr>
              <w:spacing w:line="240" w:lineRule="auto" w:before="0" w:after="0"/>
              <w:jc w:val="left"/>
            </w:pPr>
            <w:r>
              <w:rPr>
                <w:rFonts w:ascii="Times New Roman" w:hAnsi="Times New Roman" w:eastAsia="宋体"/>
                <w:b w:val="0"/>
                <w:sz w:val="21"/>
              </w:rPr>
              <w:t>（3）数据质量与可观测性。业界普遍采用"校验即配置"的方式管理数据质量：每条校验是一段返回标量的 SQL 加一个判定算子，由统一引擎解释执行，失败时以非零退出码结束以便被调度系统拦截。这一形态的价值在于可枚举、可审计、可复现，而不是把校验写成散落的脚本分支。</w:t>
            </w:r>
          </w:p>
          <w:p>
            <w:pPr>
              <w:spacing w:line="240" w:lineRule="auto" w:before="0" w:after="0"/>
              <w:jc w:val="left"/>
            </w:pPr>
            <w:r>
              <w:rPr>
                <w:rFonts w:ascii="Times New Roman" w:hAnsi="Times New Roman" w:eastAsia="宋体"/>
                <w:b w:val="0"/>
                <w:sz w:val="21"/>
              </w:rPr>
            </w:r>
          </w:p>
          <w:p>
            <w:pPr>
              <w:spacing w:line="240" w:lineRule="auto" w:before="0" w:after="0"/>
              <w:jc w:val="left"/>
            </w:pPr>
            <w:r>
              <w:rPr>
                <w:rFonts w:ascii="Times New Roman" w:hAnsi="Times New Roman" w:eastAsia="宋体"/>
                <w:b w:val="0"/>
                <w:sz w:val="21"/>
              </w:rPr>
              <w:t>（4）大模型与数据问答。ReAct 提出"推理—行动"交替的范式，让模型在调用工具后根据真实返回修正计划；检索增强生成（RAG）通过先检索可信语料再生成，缓解模型在缺乏依据时编造内容的问题。BM25 作为经典的词法排序函数，在语料规模有限、且回答必须给出可核对来源的场景下，仍具竞争力。Model Context Protocol（MCP）则把工具能力以标准协议暴露，使"同一份只读能力"能被不同客户端复用。这一方向的**共同风险是"看起来对"**：模型可能在查询失败后仍给出具体数字，因此必须由工程手段而非提示词来保证"失败即失败"。</w:t>
            </w:r>
          </w:p>
          <w:p>
            <w:pPr>
              <w:spacing w:line="240" w:lineRule="auto" w:before="0" w:after="0"/>
              <w:jc w:val="left"/>
            </w:pPr>
            <w:r>
              <w:rPr>
                <w:rFonts w:ascii="Times New Roman" w:hAnsi="Times New Roman" w:eastAsia="宋体"/>
                <w:b w:val="0"/>
                <w:sz w:val="21"/>
              </w:rPr>
            </w:r>
          </w:p>
          <w:p>
            <w:pPr>
              <w:spacing w:line="240" w:lineRule="auto" w:before="0" w:after="0"/>
              <w:jc w:val="left"/>
            </w:pPr>
            <w:r>
              <w:rPr>
                <w:rFonts w:ascii="Times New Roman" w:hAnsi="Times New Roman" w:eastAsia="宋体"/>
                <w:b w:val="0"/>
                <w:sz w:val="21"/>
              </w:rPr>
              <w:t>三、发展趋势</w:t>
            </w:r>
          </w:p>
          <w:p>
            <w:pPr>
              <w:spacing w:line="240" w:lineRule="auto" w:before="0" w:after="0"/>
              <w:jc w:val="left"/>
            </w:pPr>
            <w:r>
              <w:rPr>
                <w:rFonts w:ascii="Times New Roman" w:hAnsi="Times New Roman" w:eastAsia="宋体"/>
                <w:b w:val="0"/>
                <w:sz w:val="21"/>
              </w:rPr>
            </w:r>
          </w:p>
          <w:p>
            <w:pPr>
              <w:spacing w:line="240" w:lineRule="auto" w:before="0" w:after="0"/>
              <w:jc w:val="left"/>
            </w:pPr>
            <w:r>
              <w:rPr>
                <w:rFonts w:ascii="Times New Roman" w:hAnsi="Times New Roman" w:eastAsia="宋体"/>
                <w:b w:val="0"/>
                <w:sz w:val="21"/>
              </w:rPr>
              <w:t>综合上述，可以看到三条汇流：其一，实时与离线的边界在引擎层面逐渐消失，但在**指标定义与验证**层面反而更需要显式治理；其二，湖仓开放表格式正在成为事实层的默认选择，使数据可回溯、可迁移；其三，大模型进入数据栈的入口不是"替代 SQL"，而是**编排与解释**——把自然语言翻译为受约束的只读查询，并把证据（用了哪些表、执行了什么 SQL）一并呈现给使用者。</w:t>
            </w:r>
          </w:p>
          <w:p>
            <w:pPr>
              <w:spacing w:line="240" w:lineRule="auto" w:before="0" w:after="0"/>
              <w:jc w:val="left"/>
            </w:pPr>
            <w:r>
              <w:rPr>
                <w:rFonts w:ascii="Times New Roman" w:hAnsi="Times New Roman" w:eastAsia="宋体"/>
                <w:b w:val="0"/>
                <w:sz w:val="21"/>
              </w:rPr>
            </w:r>
          </w:p>
          <w:p>
            <w:pPr>
              <w:spacing w:line="240" w:lineRule="auto" w:before="0" w:after="0"/>
              <w:jc w:val="left"/>
            </w:pPr>
            <w:r>
              <w:rPr>
                <w:rFonts w:ascii="Times New Roman" w:hAnsi="Times New Roman" w:eastAsia="宋体"/>
                <w:b w:val="0"/>
                <w:sz w:val="21"/>
              </w:rPr>
              <w:t>四、对本人研究的启发</w:t>
            </w:r>
          </w:p>
          <w:p>
            <w:pPr>
              <w:spacing w:line="240" w:lineRule="auto" w:before="0" w:after="0"/>
              <w:jc w:val="left"/>
            </w:pPr>
            <w:r>
              <w:rPr>
                <w:rFonts w:ascii="Times New Roman" w:hAnsi="Times New Roman" w:eastAsia="宋体"/>
                <w:b w:val="0"/>
                <w:sz w:val="21"/>
              </w:rPr>
            </w:r>
          </w:p>
          <w:p>
            <w:pPr>
              <w:spacing w:line="240" w:lineRule="auto" w:before="0" w:after="0"/>
              <w:jc w:val="left"/>
            </w:pPr>
            <w:r>
              <w:rPr>
                <w:rFonts w:ascii="Times New Roman" w:hAnsi="Times New Roman" w:eastAsia="宋体"/>
                <w:b w:val="0"/>
                <w:sz w:val="21"/>
              </w:rPr>
              <w:t>上述工作给本设计确定了四条边界：</w:t>
            </w:r>
          </w:p>
          <w:p>
            <w:pPr>
              <w:spacing w:line="240" w:lineRule="auto" w:before="0" w:after="0"/>
              <w:jc w:val="left"/>
            </w:pPr>
            <w:r>
              <w:rPr>
                <w:rFonts w:ascii="Times New Roman" w:hAnsi="Times New Roman" w:eastAsia="宋体"/>
                <w:b w:val="0"/>
                <w:sz w:val="21"/>
              </w:rPr>
            </w:r>
          </w:p>
          <w:p>
            <w:pPr>
              <w:spacing w:line="240" w:lineRule="auto" w:before="0" w:after="0"/>
              <w:jc w:val="left"/>
            </w:pPr>
            <w:r>
              <w:rPr>
                <w:rFonts w:ascii="Times New Roman" w:hAnsi="Times New Roman" w:eastAsia="宋体"/>
                <w:b w:val="0"/>
                <w:sz w:val="21"/>
              </w:rPr>
              <w:t>第一，**先工程、再智能**。必须先让数据可靠、准确、可查询、可治理，再让 Agent 使用数据；反过来做（先做聊天机器人再找数据）会把口径问题埋进模型回答里，且难以定位。</w:t>
            </w:r>
          </w:p>
          <w:p>
            <w:pPr>
              <w:spacing w:line="240" w:lineRule="auto" w:before="0" w:after="0"/>
              <w:jc w:val="left"/>
            </w:pPr>
            <w:r>
              <w:rPr>
                <w:rFonts w:ascii="Times New Roman" w:hAnsi="Times New Roman" w:eastAsia="宋体"/>
                <w:b w:val="0"/>
                <w:sz w:val="21"/>
              </w:rPr>
            </w:r>
          </w:p>
          <w:p>
            <w:pPr>
              <w:spacing w:line="240" w:lineRule="auto" w:before="0" w:after="0"/>
              <w:jc w:val="left"/>
            </w:pPr>
            <w:r>
              <w:rPr>
                <w:rFonts w:ascii="Times New Roman" w:hAnsi="Times New Roman" w:eastAsia="宋体"/>
                <w:b w:val="0"/>
                <w:sz w:val="21"/>
              </w:rPr>
              <w:t>第二，**一致性主张必须是可证伪的**。受湖仓"开放表格式 + 快照"与流处理"事件时间窗口"的启发，本设计选择"按 window_start 全外连接、缺失侧补 0、逐窗口比对判据列"的对账方式，并明确声明其覆盖范围（对账区间内、计数类判据）与不覆盖之处（区间外、派生比率列）。</w:t>
            </w:r>
          </w:p>
          <w:p>
            <w:pPr>
              <w:spacing w:line="240" w:lineRule="auto" w:before="0" w:after="0"/>
              <w:jc w:val="left"/>
            </w:pPr>
            <w:r>
              <w:rPr>
                <w:rFonts w:ascii="Times New Roman" w:hAnsi="Times New Roman" w:eastAsia="宋体"/>
                <w:b w:val="0"/>
                <w:sz w:val="21"/>
              </w:rPr>
            </w:r>
          </w:p>
          <w:p>
            <w:pPr>
              <w:spacing w:line="240" w:lineRule="auto" w:before="0" w:after="0"/>
              <w:jc w:val="left"/>
            </w:pPr>
            <w:r>
              <w:rPr>
                <w:rFonts w:ascii="Times New Roman" w:hAnsi="Times New Roman" w:eastAsia="宋体"/>
                <w:b w:val="0"/>
                <w:sz w:val="21"/>
              </w:rPr>
              <w:t>第三，**口径必须单点定义**。实时链路、离线链路与问答 Agent 共用同一份指标口径文件，且以它作为唯一权威；这直接来自"两份实现必然分叉"的教训。</w:t>
            </w:r>
          </w:p>
          <w:p>
            <w:pPr>
              <w:spacing w:line="240" w:lineRule="auto" w:before="0" w:after="0"/>
              <w:jc w:val="left"/>
            </w:pPr>
            <w:r>
              <w:rPr>
                <w:rFonts w:ascii="Times New Roman" w:hAnsi="Times New Roman" w:eastAsia="宋体"/>
                <w:b w:val="0"/>
                <w:sz w:val="21"/>
              </w:rPr>
            </w:r>
          </w:p>
          <w:p>
            <w:pPr>
              <w:spacing w:line="240" w:lineRule="auto" w:before="0" w:after="0"/>
              <w:jc w:val="left"/>
            </w:pPr>
            <w:r>
              <w:rPr>
                <w:rFonts w:ascii="Times New Roman" w:hAnsi="Times New Roman" w:eastAsia="宋体"/>
                <w:b w:val="0"/>
                <w:sz w:val="21"/>
              </w:rPr>
              <w:t>第四，**工具能力要最小且可审计**。受 MCP 与 ReAct 的启发，问答 Agent 不持有数据库凭据，只能经 HTTP 调用只读数据服务；SQL 必须经安全守卫（仅 SELECT、表白名单、强制 LIMIT），回答必须附带实际执行的 SQL 与所用表。</w:t>
            </w:r>
          </w:p>
          <w:p>
            <w:pPr>
              <w:spacing w:line="240" w:lineRule="auto" w:before="0" w:after="0"/>
              <w:jc w:val="left"/>
            </w:pPr>
            <w:r>
              <w:rPr>
                <w:rFonts w:ascii="Times New Roman" w:hAnsi="Times New Roman" w:eastAsia="宋体"/>
                <w:b w:val="0"/>
                <w:sz w:val="21"/>
              </w:rPr>
            </w:r>
          </w:p>
          <w:p>
            <w:pPr>
              <w:spacing w:line="240" w:lineRule="auto" w:before="0" w:after="0"/>
              <w:jc w:val="left"/>
            </w:pPr>
            <w:r>
              <w:rPr>
                <w:rFonts w:ascii="Times New Roman" w:hAnsi="Times New Roman" w:eastAsia="宋体"/>
                <w:b w:val="0"/>
                <w:sz w:val="21"/>
              </w:rPr>
              <w:t>附：参考文献目录见下方"研究思路与研究方法"之后所列（与论文正文参考文献一致，共 15 条）。</w:t>
            </w:r>
          </w:p>
        </w:tc>
      </w:tr>
      <w:tr w:rsidR="00A95CB9" w:rsidTr="00E517A1">
        <w:trPr>
          <w:trHeight w:val="2506"/>
          <w:jc w:val="center"/>
        </w:trPr>
        <w:tc>
          <w:tcPr>
            <w:tcW w:w="875" w:type="dxa"/>
            <w:tcBorders>
              <w:top w:val="single" w:sz="6" w:space="0" w:color="000000"/>
              <w:left w:val="single" w:sz="6" w:space="0" w:color="000000"/>
              <w:bottom w:val="single" w:sz="4" w:space="0" w:color="auto"/>
              <w:right w:val="single" w:sz="6" w:space="0" w:color="000000"/>
            </w:tcBorders>
            <w:vAlign w:val="center"/>
          </w:tcPr>
          <w:p w:rsidR="00A95CB9" w:rsidRDefault="00A95CB9" w:rsidP="00E517A1">
            <w:pPr>
              <w:jc w:val="center"/>
              <w:rPr>
                <w:rFonts w:ascii="宋体" w:hAnsi="宋体"/>
                <w:color w:val="000000" w:themeColor="text1"/>
              </w:rPr>
            </w:pPr>
            <w:r>
              <w:rPr>
                <w:rFonts w:ascii="宋体" w:hAnsi="宋体" w:hint="eastAsia"/>
                <w:color w:val="000000" w:themeColor="text1"/>
              </w:rPr>
              <w:t>研究思路与研究方法</w:t>
            </w:r>
          </w:p>
        </w:tc>
        <w:tc>
          <w:tcPr>
            <w:tcW w:w="8329" w:type="dxa"/>
            <w:gridSpan w:val="8"/>
            <w:tcBorders>
              <w:top w:val="single" w:sz="6" w:space="0" w:color="000000"/>
              <w:left w:val="nil"/>
              <w:bottom w:val="single" w:sz="4" w:space="0" w:color="auto"/>
              <w:right w:val="single" w:sz="6" w:space="0" w:color="000000"/>
            </w:tcBorders>
          </w:tcPr>
          <w:p>
            <w:pPr>
              <w:spacing w:line="240" w:lineRule="auto" w:before="0" w:after="0"/>
              <w:jc w:val="left"/>
            </w:pPr>
            <w:r/>
            <w:r>
              <w:rPr>
                <w:rFonts w:ascii="Times New Roman" w:hAnsi="Times New Roman" w:eastAsia="宋体"/>
                <w:b w:val="0"/>
                <w:sz w:val="21"/>
              </w:rPr>
              <w:t>一、研究思路</w:t>
            </w:r>
          </w:p>
          <w:p>
            <w:pPr>
              <w:spacing w:line="240" w:lineRule="auto" w:before="0" w:after="0"/>
              <w:jc w:val="left"/>
            </w:pPr>
            <w:r>
              <w:rPr>
                <w:rFonts w:ascii="Times New Roman" w:hAnsi="Times New Roman" w:eastAsia="宋体"/>
                <w:b w:val="0"/>
                <w:sz w:val="21"/>
              </w:rPr>
            </w:r>
          </w:p>
          <w:p>
            <w:pPr>
              <w:spacing w:line="240" w:lineRule="auto" w:before="0" w:after="0"/>
              <w:jc w:val="left"/>
            </w:pPr>
            <w:r>
              <w:rPr>
                <w:rFonts w:ascii="Times New Roman" w:hAnsi="Times New Roman" w:eastAsia="宋体"/>
                <w:b w:val="0"/>
                <w:sz w:val="21"/>
              </w:rPr>
              <w:t>以"两条独立链路算同一个数"为主线，按"数据可靠 → 数据准确 → 数据可查询 → 数据可治理 → Agent 使用数据"的顺序推进，每一步都留下可复核的证据：</w:t>
            </w:r>
          </w:p>
          <w:p>
            <w:pPr>
              <w:spacing w:line="240" w:lineRule="auto" w:before="0" w:after="0"/>
              <w:jc w:val="left"/>
            </w:pPr>
            <w:r>
              <w:rPr>
                <w:rFonts w:ascii="Times New Roman" w:hAnsi="Times New Roman" w:eastAsia="宋体"/>
                <w:b w:val="0"/>
                <w:sz w:val="21"/>
              </w:rPr>
            </w:r>
          </w:p>
          <w:p>
            <w:pPr>
              <w:spacing w:line="240" w:lineRule="auto" w:before="0" w:after="0"/>
              <w:jc w:val="left"/>
            </w:pPr>
            <w:r>
              <w:rPr>
                <w:rFonts w:ascii="Times New Roman" w:hAnsi="Times New Roman" w:eastAsia="宋体"/>
                <w:b w:val="0"/>
                <w:sz w:val="21"/>
              </w:rPr>
              <w:t>（1）先建可复现的数据底座：程序生成合成数据，固定随机种子，并在生成期强制业务约束（引用完整性、金额关系、时间因果、漏斗逐级收窄），使"数据是否正确"本身不成为变量；</w:t>
            </w:r>
          </w:p>
          <w:p>
            <w:pPr>
              <w:spacing w:line="240" w:lineRule="auto" w:before="0" w:after="0"/>
              <w:jc w:val="left"/>
            </w:pPr>
            <w:r>
              <w:rPr>
                <w:rFonts w:ascii="Times New Roman" w:hAnsi="Times New Roman" w:eastAsia="宋体"/>
                <w:b w:val="0"/>
                <w:sz w:val="21"/>
              </w:rPr>
              <w:t>（2）再建两条独立链路，并让它们共用同一份指标口径定义；</w:t>
            </w:r>
          </w:p>
          <w:p>
            <w:pPr>
              <w:spacing w:line="240" w:lineRule="auto" w:before="0" w:after="0"/>
              <w:jc w:val="left"/>
            </w:pPr>
            <w:r>
              <w:rPr>
                <w:rFonts w:ascii="Times New Roman" w:hAnsi="Times New Roman" w:eastAsia="宋体"/>
                <w:b w:val="0"/>
                <w:sz w:val="21"/>
              </w:rPr>
              <w:t>（3）用逐窗口交叉对账把"两条链路一致"变成可证伪的断言，并显式披露判据范围与静默窗口；</w:t>
            </w:r>
          </w:p>
          <w:p>
            <w:pPr>
              <w:spacing w:line="240" w:lineRule="auto" w:before="0" w:after="0"/>
              <w:jc w:val="left"/>
            </w:pPr>
            <w:r>
              <w:rPr>
                <w:rFonts w:ascii="Times New Roman" w:hAnsi="Times New Roman" w:eastAsia="宋体"/>
                <w:b w:val="0"/>
                <w:sz w:val="21"/>
              </w:rPr>
              <w:t>（4）在一致的数据之上再叠加治理（质量校验 + 监控）与服务（只读数据服务 + 看板）；</w:t>
            </w:r>
          </w:p>
          <w:p>
            <w:pPr>
              <w:spacing w:line="240" w:lineRule="auto" w:before="0" w:after="0"/>
              <w:jc w:val="left"/>
            </w:pPr>
            <w:r>
              <w:rPr>
                <w:rFonts w:ascii="Times New Roman" w:hAnsi="Times New Roman" w:eastAsia="宋体"/>
                <w:b w:val="0"/>
                <w:sz w:val="21"/>
              </w:rPr>
              <w:t>（5）最后让 Agent 使用数据，并用进程边界（Agent 不持有凭据）与 SQL 守卫保证安全边界。</w:t>
            </w:r>
          </w:p>
          <w:p>
            <w:pPr>
              <w:spacing w:line="240" w:lineRule="auto" w:before="0" w:after="0"/>
              <w:jc w:val="left"/>
            </w:pPr>
            <w:r>
              <w:rPr>
                <w:rFonts w:ascii="Times New Roman" w:hAnsi="Times New Roman" w:eastAsia="宋体"/>
                <w:b w:val="0"/>
                <w:sz w:val="21"/>
              </w:rPr>
            </w:r>
          </w:p>
          <w:p>
            <w:pPr>
              <w:spacing w:line="240" w:lineRule="auto" w:before="0" w:after="0"/>
              <w:jc w:val="left"/>
            </w:pPr>
            <w:r>
              <w:rPr>
                <w:rFonts w:ascii="Times New Roman" w:hAnsi="Times New Roman" w:eastAsia="宋体"/>
                <w:b w:val="0"/>
                <w:sz w:val="21"/>
              </w:rPr>
              <w:t>二、研究方法</w:t>
            </w:r>
          </w:p>
          <w:p>
            <w:pPr>
              <w:spacing w:line="240" w:lineRule="auto" w:before="0" w:after="0"/>
              <w:jc w:val="left"/>
            </w:pPr>
            <w:r>
              <w:rPr>
                <w:rFonts w:ascii="Times New Roman" w:hAnsi="Times New Roman" w:eastAsia="宋体"/>
                <w:b w:val="0"/>
                <w:sz w:val="21"/>
              </w:rPr>
            </w:r>
          </w:p>
          <w:p>
            <w:pPr>
              <w:spacing w:line="240" w:lineRule="auto" w:before="0" w:after="0"/>
              <w:jc w:val="left"/>
            </w:pPr>
            <w:r>
              <w:rPr>
                <w:rFonts w:ascii="Times New Roman" w:hAnsi="Times New Roman" w:eastAsia="宋体"/>
                <w:b w:val="0"/>
                <w:sz w:val="21"/>
              </w:rPr>
              <w:t>（1）**实测驱动**：所有结论以实际运行结果为准；对版本行为差异、内存约束、超时与重试等问题，一律以复现实验定位，不凭经验判断。凡无法取得实测依据的内容，写作"未采集"而不估算。</w:t>
            </w:r>
          </w:p>
          <w:p>
            <w:pPr>
              <w:spacing w:line="240" w:lineRule="auto" w:before="0" w:after="0"/>
              <w:jc w:val="left"/>
            </w:pPr>
            <w:r>
              <w:rPr>
                <w:rFonts w:ascii="Times New Roman" w:hAnsi="Times New Roman" w:eastAsia="宋体"/>
                <w:b w:val="0"/>
                <w:sz w:val="21"/>
              </w:rPr>
            </w:r>
          </w:p>
          <w:p>
            <w:pPr>
              <w:spacing w:line="240" w:lineRule="auto" w:before="0" w:after="0"/>
              <w:jc w:val="left"/>
            </w:pPr>
            <w:r>
              <w:rPr>
                <w:rFonts w:ascii="Times New Roman" w:hAnsi="Times New Roman" w:eastAsia="宋体"/>
                <w:b w:val="0"/>
                <w:sz w:val="21"/>
              </w:rPr>
              <w:t>（2）**对照实验**：对关键判断构造反证，例如"故意让一条校验失败以证明退出码非 0"、"故意把批次下界设为未来时刻以证明取不到本次批次时会失败而不是退回历史批次"。</w:t>
            </w:r>
          </w:p>
          <w:p>
            <w:pPr>
              <w:spacing w:line="240" w:lineRule="auto" w:before="0" w:after="0"/>
              <w:jc w:val="left"/>
            </w:pPr>
            <w:r>
              <w:rPr>
                <w:rFonts w:ascii="Times New Roman" w:hAnsi="Times New Roman" w:eastAsia="宋体"/>
                <w:b w:val="0"/>
                <w:sz w:val="21"/>
              </w:rPr>
            </w:r>
          </w:p>
          <w:p>
            <w:pPr>
              <w:spacing w:line="240" w:lineRule="auto" w:before="0" w:after="0"/>
              <w:jc w:val="left"/>
            </w:pPr>
            <w:r>
              <w:rPr>
                <w:rFonts w:ascii="Times New Roman" w:hAnsi="Times New Roman" w:eastAsia="宋体"/>
                <w:b w:val="0"/>
                <w:sz w:val="21"/>
              </w:rPr>
              <w:t>（3）**判据先验证**：判据本身也需要被检验。本设计中的对账判据经过两次打磨（分区列导致的假失败；比率列从"两侧相等"改为"每侧按自己计数重算"），方向都是变严。</w:t>
            </w:r>
          </w:p>
          <w:p>
            <w:pPr>
              <w:spacing w:line="240" w:lineRule="auto" w:before="0" w:after="0"/>
              <w:jc w:val="left"/>
            </w:pPr>
            <w:r>
              <w:rPr>
                <w:rFonts w:ascii="Times New Roman" w:hAnsi="Times New Roman" w:eastAsia="宋体"/>
                <w:b w:val="0"/>
                <w:sz w:val="21"/>
              </w:rPr>
            </w:r>
          </w:p>
          <w:p>
            <w:pPr>
              <w:spacing w:line="240" w:lineRule="auto" w:before="0" w:after="0"/>
              <w:jc w:val="left"/>
            </w:pPr>
            <w:r>
              <w:rPr>
                <w:rFonts w:ascii="Times New Roman" w:hAnsi="Times New Roman" w:eastAsia="宋体"/>
                <w:b w:val="0"/>
                <w:sz w:val="21"/>
              </w:rPr>
              <w:t>（4）**范围与结论一起写**：任何一致性结论都必须连同其覆盖范围、口径与已知缺陷一起表述。</w:t>
            </w:r>
          </w:p>
          <w:p>
            <w:pPr>
              <w:spacing w:line="240" w:lineRule="auto" w:before="0" w:after="0"/>
              <w:jc w:val="left"/>
            </w:pPr>
            <w:r>
              <w:rPr>
                <w:rFonts w:ascii="Times New Roman" w:hAnsi="Times New Roman" w:eastAsia="宋体"/>
                <w:b w:val="0"/>
                <w:sz w:val="21"/>
              </w:rPr>
            </w:r>
          </w:p>
          <w:p>
            <w:pPr>
              <w:spacing w:line="240" w:lineRule="auto" w:before="0" w:after="0"/>
              <w:jc w:val="left"/>
            </w:pPr>
            <w:r>
              <w:rPr>
                <w:rFonts w:ascii="Times New Roman" w:hAnsi="Times New Roman" w:eastAsia="宋体"/>
                <w:b w:val="0"/>
                <w:sz w:val="21"/>
              </w:rPr>
              <w:t>（5）**一键可复现**：每个阶段提供验收脚本，使结论可被第三方重放。</w:t>
            </w:r>
          </w:p>
          <w:p>
            <w:pPr>
              <w:spacing w:line="240" w:lineRule="auto" w:before="0" w:after="0"/>
              <w:jc w:val="left"/>
            </w:pPr>
            <w:r>
              <w:rPr>
                <w:rFonts w:ascii="Times New Roman" w:hAnsi="Times New Roman" w:eastAsia="宋体"/>
                <w:b w:val="0"/>
                <w:sz w:val="21"/>
              </w:rPr>
            </w:r>
          </w:p>
          <w:p>
            <w:pPr>
              <w:spacing w:line="240" w:lineRule="auto" w:before="0" w:after="0"/>
              <w:jc w:val="left"/>
            </w:pPr>
            <w:r>
              <w:rPr>
                <w:rFonts w:ascii="Times New Roman" w:hAnsi="Times New Roman" w:eastAsia="宋体"/>
                <w:b w:val="0"/>
                <w:sz w:val="21"/>
              </w:rPr>
              <w:t>四、写作提纲</w:t>
            </w:r>
          </w:p>
          <w:p>
            <w:pPr>
              <w:spacing w:line="240" w:lineRule="auto" w:before="0" w:after="0"/>
              <w:jc w:val="left"/>
            </w:pPr>
            <w:r>
              <w:rPr>
                <w:rFonts w:ascii="Times New Roman" w:hAnsi="Times New Roman" w:eastAsia="宋体"/>
                <w:b w:val="0"/>
                <w:sz w:val="21"/>
              </w:rPr>
            </w:r>
          </w:p>
          <w:p>
            <w:pPr>
              <w:spacing w:line="240" w:lineRule="auto" w:before="0" w:after="0"/>
              <w:jc w:val="left"/>
            </w:pPr>
            <w:r>
              <w:rPr>
                <w:rFonts w:ascii="Times New Roman" w:hAnsi="Times New Roman" w:eastAsia="宋体"/>
                <w:b w:val="0"/>
                <w:sz w:val="21"/>
              </w:rPr>
              <w:t>1. 绪论（研究背景、意义、国内外研究现状、主要工作、组织结构）</w:t>
            </w:r>
          </w:p>
          <w:p>
            <w:pPr>
              <w:spacing w:line="240" w:lineRule="auto" w:before="0" w:after="0"/>
              <w:jc w:val="left"/>
            </w:pPr>
            <w:r>
              <w:rPr>
                <w:rFonts w:ascii="Times New Roman" w:hAnsi="Times New Roman" w:eastAsia="宋体"/>
                <w:b w:val="0"/>
                <w:sz w:val="21"/>
              </w:rPr>
              <w:t>2. 相关技术（版本钉法与各组件在本项目中的具体能力、否决备选与代价）</w:t>
            </w:r>
          </w:p>
          <w:p>
            <w:pPr>
              <w:spacing w:line="240" w:lineRule="auto" w:before="0" w:after="0"/>
              <w:jc w:val="left"/>
            </w:pPr>
            <w:r>
              <w:rPr>
                <w:rFonts w:ascii="Times New Roman" w:hAnsi="Times New Roman" w:eastAsia="宋体"/>
                <w:b w:val="0"/>
                <w:sz w:val="21"/>
              </w:rPr>
              <w:t>3. 需求分析（功能性、非功能性、约束与假设）</w:t>
            </w:r>
          </w:p>
          <w:p>
            <w:pPr>
              <w:spacing w:line="240" w:lineRule="auto" w:before="0" w:after="0"/>
              <w:jc w:val="left"/>
            </w:pPr>
            <w:r>
              <w:rPr>
                <w:rFonts w:ascii="Times New Roman" w:hAnsi="Times New Roman" w:eastAsia="宋体"/>
                <w:b w:val="0"/>
                <w:sz w:val="21"/>
              </w:rPr>
              <w:t>4. 系统设计（总体架构、部署分层、数仓分层与命名、存储选型、指标口径的唯一权威、安全设计、内存预算与错峰模式）</w:t>
            </w:r>
          </w:p>
          <w:p>
            <w:pPr>
              <w:spacing w:line="240" w:lineRule="auto" w:before="0" w:after="0"/>
              <w:jc w:val="left"/>
            </w:pPr>
            <w:r>
              <w:rPr>
                <w:rFonts w:ascii="Times New Roman" w:hAnsi="Times New Roman" w:eastAsia="宋体"/>
                <w:b w:val="0"/>
                <w:sz w:val="21"/>
              </w:rPr>
              <w:t>5. 关键实现（实时链路、离线分层建模、批流交叉对账、Iceberg 迁移、调度、服务层、Agent 图、检索、MCP、数据质量与监控、一次真实事故的完整复盘）</w:t>
            </w:r>
          </w:p>
          <w:p>
            <w:pPr>
              <w:spacing w:line="240" w:lineRule="auto" w:before="0" w:after="0"/>
              <w:jc w:val="left"/>
            </w:pPr>
            <w:r>
              <w:rPr>
                <w:rFonts w:ascii="Times New Roman" w:hAnsi="Times New Roman" w:eastAsia="宋体"/>
                <w:b w:val="0"/>
                <w:sz w:val="21"/>
              </w:rPr>
              <w:t>6. 测试与验证（测试体系与全量结果、逐窗口对账方法、结论与实测值、验收矩阵、性能基线）</w:t>
            </w:r>
          </w:p>
          <w:p>
            <w:pPr>
              <w:spacing w:line="240" w:lineRule="auto" w:before="0" w:after="0"/>
              <w:jc w:val="left"/>
            </w:pPr>
            <w:r>
              <w:rPr>
                <w:rFonts w:ascii="Times New Roman" w:hAnsi="Times New Roman" w:eastAsia="宋体"/>
                <w:b w:val="0"/>
                <w:sz w:val="21"/>
              </w:rPr>
              <w:t>7. 总结与展望（工作总结、主要贡献、不足、展望）</w:t>
            </w:r>
          </w:p>
          <w:p>
            <w:pPr>
              <w:spacing w:line="240" w:lineRule="auto" w:before="0" w:after="0"/>
              <w:jc w:val="left"/>
            </w:pPr>
            <w:r>
              <w:rPr>
                <w:rFonts w:ascii="Times New Roman" w:hAnsi="Times New Roman" w:eastAsia="宋体"/>
                <w:b w:val="0"/>
                <w:sz w:val="21"/>
              </w:rPr>
              <w:t>参考文献 / 致谢 / 附录</w:t>
            </w:r>
          </w:p>
        </w:tc>
      </w:tr>
      <w:tr w:rsidR="00A95CB9" w:rsidTr="00E517A1">
        <w:trPr>
          <w:trHeight w:val="2040"/>
          <w:jc w:val="center"/>
        </w:trPr>
        <w:tc>
          <w:tcPr>
            <w:tcW w:w="875" w:type="dxa"/>
            <w:tcBorders>
              <w:top w:val="single" w:sz="4" w:space="0" w:color="auto"/>
              <w:left w:val="single" w:sz="6" w:space="0" w:color="000000"/>
              <w:bottom w:val="single" w:sz="6" w:space="0" w:color="000000"/>
              <w:right w:val="single" w:sz="6" w:space="0" w:color="000000"/>
            </w:tcBorders>
            <w:vAlign w:val="center"/>
          </w:tcPr>
          <w:p w:rsidR="00A95CB9" w:rsidRDefault="00A95CB9" w:rsidP="00E517A1">
            <w:pPr>
              <w:jc w:val="center"/>
              <w:rPr>
                <w:rFonts w:ascii="宋体" w:hAnsi="宋体"/>
                <w:color w:val="000000" w:themeColor="text1"/>
              </w:rPr>
            </w:pPr>
            <w:r>
              <w:rPr>
                <w:rFonts w:ascii="宋体" w:hAnsi="宋体" w:hint="eastAsia"/>
                <w:color w:val="000000" w:themeColor="text1"/>
              </w:rPr>
              <w:t>写</w:t>
            </w:r>
          </w:p>
          <w:p w:rsidR="00A95CB9" w:rsidRDefault="00A95CB9" w:rsidP="00E517A1">
            <w:pPr>
              <w:jc w:val="center"/>
              <w:rPr>
                <w:rFonts w:ascii="宋体" w:hAnsi="宋体"/>
                <w:color w:val="000000" w:themeColor="text1"/>
              </w:rPr>
            </w:pPr>
          </w:p>
          <w:p w:rsidR="00A95CB9" w:rsidRDefault="00A95CB9" w:rsidP="00E517A1">
            <w:pPr>
              <w:jc w:val="center"/>
              <w:rPr>
                <w:rFonts w:ascii="宋体" w:hAnsi="宋体"/>
                <w:color w:val="000000" w:themeColor="text1"/>
              </w:rPr>
            </w:pPr>
            <w:r>
              <w:rPr>
                <w:rFonts w:ascii="宋体" w:hAnsi="宋体" w:hint="eastAsia"/>
                <w:color w:val="000000" w:themeColor="text1"/>
              </w:rPr>
              <w:t>作</w:t>
            </w:r>
          </w:p>
          <w:p w:rsidR="00A95CB9" w:rsidRDefault="00A95CB9" w:rsidP="00E517A1">
            <w:pPr>
              <w:jc w:val="center"/>
              <w:rPr>
                <w:rFonts w:ascii="宋体" w:hAnsi="宋体"/>
                <w:color w:val="000000" w:themeColor="text1"/>
              </w:rPr>
            </w:pPr>
          </w:p>
          <w:p w:rsidR="00A95CB9" w:rsidRDefault="00A95CB9" w:rsidP="00E517A1">
            <w:pPr>
              <w:jc w:val="center"/>
              <w:rPr>
                <w:rFonts w:ascii="宋体" w:hAnsi="宋体"/>
                <w:color w:val="000000" w:themeColor="text1"/>
              </w:rPr>
            </w:pPr>
            <w:r>
              <w:rPr>
                <w:rFonts w:ascii="宋体" w:hAnsi="宋体" w:hint="eastAsia"/>
                <w:color w:val="000000" w:themeColor="text1"/>
              </w:rPr>
              <w:t>提</w:t>
            </w:r>
          </w:p>
          <w:p w:rsidR="00A95CB9" w:rsidRDefault="00A95CB9" w:rsidP="00E517A1">
            <w:pPr>
              <w:jc w:val="center"/>
              <w:rPr>
                <w:rFonts w:ascii="宋体" w:hAnsi="宋体"/>
                <w:color w:val="000000" w:themeColor="text1"/>
              </w:rPr>
            </w:pPr>
          </w:p>
          <w:p w:rsidR="00A95CB9" w:rsidRDefault="00A95CB9" w:rsidP="00E517A1">
            <w:pPr>
              <w:jc w:val="center"/>
              <w:rPr>
                <w:rFonts w:ascii="宋体" w:hAnsi="宋体"/>
                <w:color w:val="000000" w:themeColor="text1"/>
              </w:rPr>
            </w:pPr>
            <w:r>
              <w:rPr>
                <w:rFonts w:ascii="宋体" w:hAnsi="宋体" w:hint="eastAsia"/>
                <w:color w:val="000000" w:themeColor="text1"/>
              </w:rPr>
              <w:t>纲</w:t>
            </w:r>
          </w:p>
        </w:tc>
        <w:tc>
          <w:tcPr>
            <w:tcW w:w="8329" w:type="dxa"/>
            <w:gridSpan w:val="8"/>
            <w:tcBorders>
              <w:top w:val="single" w:sz="4" w:space="0" w:color="auto"/>
              <w:left w:val="nil"/>
              <w:bottom w:val="single" w:sz="6" w:space="0" w:color="000000"/>
              <w:right w:val="single" w:sz="6" w:space="0" w:color="000000"/>
            </w:tcBorders>
          </w:tcPr>
          <w:p>
            <w:pPr>
              <w:spacing w:line="240" w:lineRule="auto" w:before="0" w:after="0"/>
              <w:jc w:val="left"/>
            </w:pPr>
            <w:r/>
            <w:r>
              <w:rPr>
                <w:rFonts w:ascii="Times New Roman" w:hAnsi="Times New Roman" w:eastAsia="宋体"/>
                <w:b w:val="0"/>
                <w:sz w:val="21"/>
              </w:rPr>
              <w:t>1. 绪论</w:t>
            </w:r>
          </w:p>
          <w:p>
            <w:pPr>
              <w:spacing w:line="240" w:lineRule="auto" w:before="0" w:after="0"/>
              <w:jc w:val="left"/>
            </w:pPr>
            <w:r>
              <w:rPr>
                <w:rFonts w:ascii="Times New Roman" w:hAnsi="Times New Roman" w:eastAsia="宋体"/>
                <w:b w:val="0"/>
                <w:sz w:val="21"/>
              </w:rPr>
              <w:t xml:space="preserve">   1.1 研究背景　1.2 研究意义　1.3 国内外研究现状　1.4 本文主要工作　1.5 论文组织结构</w:t>
            </w:r>
          </w:p>
          <w:p>
            <w:pPr>
              <w:spacing w:line="240" w:lineRule="auto" w:before="0" w:after="0"/>
              <w:jc w:val="left"/>
            </w:pPr>
            <w:r>
              <w:rPr>
                <w:rFonts w:ascii="Times New Roman" w:hAnsi="Times New Roman" w:eastAsia="宋体"/>
                <w:b w:val="0"/>
                <w:sz w:val="21"/>
              </w:rPr>
              <w:t>2. 相关技术</w:t>
            </w:r>
          </w:p>
          <w:p>
            <w:pPr>
              <w:spacing w:line="240" w:lineRule="auto" w:before="0" w:after="0"/>
              <w:jc w:val="left"/>
            </w:pPr>
            <w:r>
              <w:rPr>
                <w:rFonts w:ascii="Times New Roman" w:hAnsi="Times New Roman" w:eastAsia="宋体"/>
                <w:b w:val="0"/>
                <w:sz w:val="21"/>
              </w:rPr>
              <w:t xml:space="preserve">   2.1 技术栈与版本　2.2 实时计算：Kafka + Flink + Doris　2.3 湖仓与表格式：Spark + Iceberg</w:t>
            </w:r>
          </w:p>
          <w:p>
            <w:pPr>
              <w:spacing w:line="240" w:lineRule="auto" w:before="0" w:after="0"/>
              <w:jc w:val="left"/>
            </w:pPr>
            <w:r>
              <w:rPr>
                <w:rFonts w:ascii="Times New Roman" w:hAnsi="Times New Roman" w:eastAsia="宋体"/>
                <w:b w:val="0"/>
                <w:sz w:val="21"/>
              </w:rPr>
              <w:t xml:space="preserve">   2.4 调度：Airflow　2.5 大模型应用：Tool Calling、LangGraph、词法检索与 MCP　2.6 治理：数据质量与可观测性</w:t>
            </w:r>
          </w:p>
          <w:p>
            <w:pPr>
              <w:spacing w:line="240" w:lineRule="auto" w:before="0" w:after="0"/>
              <w:jc w:val="left"/>
            </w:pPr>
            <w:r>
              <w:rPr>
                <w:rFonts w:ascii="Times New Roman" w:hAnsi="Times New Roman" w:eastAsia="宋体"/>
                <w:b w:val="0"/>
                <w:sz w:val="21"/>
              </w:rPr>
              <w:t>3. 需求分析</w:t>
            </w:r>
          </w:p>
          <w:p>
            <w:pPr>
              <w:spacing w:line="240" w:lineRule="auto" w:before="0" w:after="0"/>
              <w:jc w:val="left"/>
            </w:pPr>
            <w:r>
              <w:rPr>
                <w:rFonts w:ascii="Times New Roman" w:hAnsi="Times New Roman" w:eastAsia="宋体"/>
                <w:b w:val="0"/>
                <w:sz w:val="21"/>
              </w:rPr>
              <w:t xml:space="preserve">   3.1 功能性需求　3.2 非功能性需求　3.3 约束与假设</w:t>
            </w:r>
          </w:p>
          <w:p>
            <w:pPr>
              <w:spacing w:line="240" w:lineRule="auto" w:before="0" w:after="0"/>
              <w:jc w:val="left"/>
            </w:pPr>
            <w:r>
              <w:rPr>
                <w:rFonts w:ascii="Times New Roman" w:hAnsi="Times New Roman" w:eastAsia="宋体"/>
                <w:b w:val="0"/>
                <w:sz w:val="21"/>
              </w:rPr>
              <w:t>4. 系统设计</w:t>
            </w:r>
          </w:p>
          <w:p>
            <w:pPr>
              <w:spacing w:line="240" w:lineRule="auto" w:before="0" w:after="0"/>
              <w:jc w:val="left"/>
            </w:pPr>
            <w:r>
              <w:rPr>
                <w:rFonts w:ascii="Times New Roman" w:hAnsi="Times New Roman" w:eastAsia="宋体"/>
                <w:b w:val="0"/>
                <w:sz w:val="21"/>
              </w:rPr>
              <w:t xml:space="preserve">   4.1 总体架构　4.2 部署分层原则　4.3 数仓分层与命名规范　4.4 存储选型与关键取舍</w:t>
            </w:r>
          </w:p>
          <w:p>
            <w:pPr>
              <w:spacing w:line="240" w:lineRule="auto" w:before="0" w:after="0"/>
              <w:jc w:val="left"/>
            </w:pPr>
            <w:r>
              <w:rPr>
                <w:rFonts w:ascii="Times New Roman" w:hAnsi="Times New Roman" w:eastAsia="宋体"/>
                <w:b w:val="0"/>
                <w:sz w:val="21"/>
              </w:rPr>
              <w:t xml:space="preserve">   4.5 指标口径的唯一权威　4.6 安全设计　4.7 内存预算与错峰模式</w:t>
            </w:r>
          </w:p>
          <w:p>
            <w:pPr>
              <w:spacing w:line="240" w:lineRule="auto" w:before="0" w:after="0"/>
              <w:jc w:val="left"/>
            </w:pPr>
            <w:r>
              <w:rPr>
                <w:rFonts w:ascii="Times New Roman" w:hAnsi="Times New Roman" w:eastAsia="宋体"/>
                <w:b w:val="0"/>
                <w:sz w:val="21"/>
              </w:rPr>
              <w:t>5. 关键实现</w:t>
            </w:r>
          </w:p>
          <w:p>
            <w:pPr>
              <w:spacing w:line="240" w:lineRule="auto" w:before="0" w:after="0"/>
              <w:jc w:val="left"/>
            </w:pPr>
            <w:r>
              <w:rPr>
                <w:rFonts w:ascii="Times New Roman" w:hAnsi="Times New Roman" w:eastAsia="宋体"/>
                <w:b w:val="0"/>
                <w:sz w:val="21"/>
              </w:rPr>
              <w:t xml:space="preserve">   5.1 实时链路　5.2 离线分层建模　5.3 批流交叉对账　5.4 Iceberg 迁移　5.5 调度：Airflow</w:t>
            </w:r>
          </w:p>
          <w:p>
            <w:pPr>
              <w:spacing w:line="240" w:lineRule="auto" w:before="0" w:after="0"/>
              <w:jc w:val="left"/>
            </w:pPr>
            <w:r>
              <w:rPr>
                <w:rFonts w:ascii="Times New Roman" w:hAnsi="Times New Roman" w:eastAsia="宋体"/>
                <w:b w:val="0"/>
                <w:sz w:val="21"/>
              </w:rPr>
              <w:t xml:space="preserve">   5.6 服务层　5.7 Agent 图　5.8 检索：BM25 词法检索与显式同义词表　5.9 MCP　5.10 数据质量与监控</w:t>
            </w:r>
          </w:p>
          <w:p>
            <w:pPr>
              <w:spacing w:line="240" w:lineRule="auto" w:before="0" w:after="0"/>
              <w:jc w:val="left"/>
            </w:pPr>
            <w:r>
              <w:rPr>
                <w:rFonts w:ascii="Times New Roman" w:hAnsi="Times New Roman" w:eastAsia="宋体"/>
                <w:b w:val="0"/>
                <w:sz w:val="21"/>
              </w:rPr>
              <w:t xml:space="preserve">   5.11 一次真实事故的完整复盘</w:t>
            </w:r>
          </w:p>
          <w:p>
            <w:pPr>
              <w:spacing w:line="240" w:lineRule="auto" w:before="0" w:after="0"/>
              <w:jc w:val="left"/>
            </w:pPr>
            <w:r>
              <w:rPr>
                <w:rFonts w:ascii="Times New Roman" w:hAnsi="Times New Roman" w:eastAsia="宋体"/>
                <w:b w:val="0"/>
                <w:sz w:val="21"/>
              </w:rPr>
              <w:t>6. 测试与验证</w:t>
            </w:r>
          </w:p>
          <w:p>
            <w:pPr>
              <w:spacing w:line="240" w:lineRule="auto" w:before="0" w:after="0"/>
              <w:jc w:val="left"/>
            </w:pPr>
            <w:r>
              <w:rPr>
                <w:rFonts w:ascii="Times New Roman" w:hAnsi="Times New Roman" w:eastAsia="宋体"/>
                <w:b w:val="0"/>
                <w:sz w:val="21"/>
              </w:rPr>
              <w:t xml:space="preserve">   6.1 测试体系与全量测试结果　6.2 逐窗口对账（验证方法）　6.3 结论、判据、实测值与复现方式</w:t>
            </w:r>
          </w:p>
          <w:p>
            <w:pPr>
              <w:spacing w:line="240" w:lineRule="auto" w:before="0" w:after="0"/>
              <w:jc w:val="left"/>
            </w:pPr>
            <w:r>
              <w:rPr>
                <w:rFonts w:ascii="Times New Roman" w:hAnsi="Times New Roman" w:eastAsia="宋体"/>
                <w:b w:val="0"/>
                <w:sz w:val="21"/>
              </w:rPr>
              <w:t xml:space="preserve">   6.4 验收矩阵　6.5 性能基线　6.6 采集过程中发现的一处真实缺陷</w:t>
            </w:r>
          </w:p>
          <w:p>
            <w:pPr>
              <w:spacing w:line="240" w:lineRule="auto" w:before="0" w:after="0"/>
              <w:jc w:val="left"/>
            </w:pPr>
            <w:r>
              <w:rPr>
                <w:rFonts w:ascii="Times New Roman" w:hAnsi="Times New Roman" w:eastAsia="宋体"/>
                <w:b w:val="0"/>
                <w:sz w:val="21"/>
              </w:rPr>
              <w:t>7. 总结与展望</w:t>
            </w:r>
          </w:p>
          <w:p>
            <w:pPr>
              <w:spacing w:line="240" w:lineRule="auto" w:before="0" w:after="0"/>
              <w:jc w:val="left"/>
            </w:pPr>
            <w:r>
              <w:rPr>
                <w:rFonts w:ascii="Times New Roman" w:hAnsi="Times New Roman" w:eastAsia="宋体"/>
                <w:b w:val="0"/>
                <w:sz w:val="21"/>
              </w:rPr>
              <w:t xml:space="preserve">   7.1 工作总结　7.2 主要贡献　7.3 不足　7.4 展望</w:t>
            </w:r>
          </w:p>
          <w:p>
            <w:pPr>
              <w:spacing w:line="240" w:lineRule="auto" w:before="0" w:after="0"/>
              <w:jc w:val="left"/>
            </w:pPr>
            <w:r>
              <w:rPr>
                <w:rFonts w:ascii="Times New Roman" w:hAnsi="Times New Roman" w:eastAsia="宋体"/>
                <w:b w:val="0"/>
                <w:sz w:val="21"/>
              </w:rPr>
              <w:t>参考文献　致谢　附录（A 术语与缩略语 / B 关键实测数字台账 / C 已知限制汇总 / D 复现命令清单 / E 图表清单）</w:t>
            </w:r>
          </w:p>
        </w:tc>
      </w:tr>
      <w:tr w:rsidR="00A95CB9" w:rsidTr="00E517A1">
        <w:trPr>
          <w:trHeight w:val="1965"/>
          <w:jc w:val="center"/>
        </w:trPr>
        <w:tc>
          <w:tcPr>
            <w:tcW w:w="875" w:type="dxa"/>
            <w:vMerge w:val="restart"/>
            <w:tcBorders>
              <w:top w:val="nil"/>
              <w:left w:val="single" w:sz="6" w:space="0" w:color="000000"/>
              <w:bottom w:val="single" w:sz="6" w:space="0" w:color="000000"/>
              <w:right w:val="single" w:sz="6" w:space="0" w:color="000000"/>
            </w:tcBorders>
            <w:vAlign w:val="center"/>
          </w:tcPr>
          <w:p w:rsidR="00A95CB9" w:rsidRDefault="00A95CB9" w:rsidP="00E517A1">
            <w:pPr>
              <w:jc w:val="center"/>
              <w:rPr>
                <w:rFonts w:ascii="宋体" w:hAnsi="宋体"/>
                <w:color w:val="000000" w:themeColor="text1"/>
              </w:rPr>
            </w:pPr>
            <w:r>
              <w:rPr>
                <w:rFonts w:ascii="宋体" w:hAnsi="宋体" w:hint="eastAsia"/>
                <w:color w:val="000000" w:themeColor="text1"/>
              </w:rPr>
              <w:t>指导教师意见</w:t>
            </w:r>
          </w:p>
        </w:tc>
        <w:tc>
          <w:tcPr>
            <w:tcW w:w="8329" w:type="dxa"/>
            <w:gridSpan w:val="8"/>
            <w:tcBorders>
              <w:top w:val="single" w:sz="6" w:space="0" w:color="000000"/>
              <w:left w:val="nil"/>
              <w:bottom w:val="single" w:sz="4" w:space="0" w:color="auto"/>
              <w:right w:val="single" w:sz="6" w:space="0" w:color="000000"/>
            </w:tcBorders>
          </w:tcPr>
          <w:p>
            <w:pPr>
              <w:spacing w:line="240" w:lineRule="auto" w:before="0" w:after="0"/>
              <w:jc w:val="left"/>
            </w:pPr>
            <w:r/>
            <w:r>
              <w:rPr>
                <w:rFonts w:ascii="Times New Roman" w:hAnsi="Times New Roman" w:eastAsia="宋体"/>
                <w:b w:val="0"/>
                <w:sz w:val="21"/>
              </w:rPr>
            </w:r>
          </w:p>
        </w:tc>
      </w:tr>
      <w:tr w:rsidR="00A95CB9" w:rsidTr="00E517A1">
        <w:trPr>
          <w:trHeight w:val="420"/>
          <w:jc w:val="center"/>
        </w:trPr>
        <w:tc>
          <w:tcPr>
            <w:tcW w:w="875" w:type="dxa"/>
            <w:vMerge/>
            <w:tcBorders>
              <w:top w:val="nil"/>
              <w:left w:val="single" w:sz="6" w:space="0" w:color="000000"/>
              <w:bottom w:val="single" w:sz="6" w:space="0" w:color="000000"/>
              <w:right w:val="single" w:sz="6" w:space="0" w:color="000000"/>
            </w:tcBorders>
            <w:vAlign w:val="center"/>
          </w:tcPr>
          <w:p w:rsidR="00A95CB9" w:rsidRDefault="00A95CB9" w:rsidP="00E517A1">
            <w:pPr>
              <w:widowControl/>
              <w:jc w:val="left"/>
              <w:rPr>
                <w:rFonts w:ascii="宋体" w:hAnsi="宋体"/>
                <w:color w:val="000000" w:themeColor="text1"/>
              </w:rPr>
            </w:pPr>
          </w:p>
        </w:tc>
        <w:tc>
          <w:tcPr>
            <w:tcW w:w="607" w:type="dxa"/>
            <w:tcBorders>
              <w:top w:val="single" w:sz="4" w:space="0" w:color="auto"/>
              <w:left w:val="nil"/>
              <w:bottom w:val="single" w:sz="6" w:space="0" w:color="000000"/>
              <w:right w:val="single" w:sz="4" w:space="0" w:color="auto"/>
            </w:tcBorders>
            <w:vAlign w:val="center"/>
          </w:tcPr>
          <w:p w:rsidR="00A95CB9" w:rsidRDefault="00A95CB9" w:rsidP="00E517A1">
            <w:pPr>
              <w:ind w:firstLineChars="50" w:firstLine="105"/>
              <w:rPr>
                <w:rFonts w:ascii="宋体" w:hAnsi="宋体"/>
                <w:color w:val="000000" w:themeColor="text1"/>
              </w:rPr>
            </w:pPr>
            <w:r>
              <w:rPr>
                <w:rFonts w:ascii="宋体" w:hAnsi="宋体" w:hint="eastAsia"/>
                <w:color w:val="000000" w:themeColor="text1"/>
              </w:rPr>
              <w:t>签名</w:t>
            </w:r>
          </w:p>
        </w:tc>
        <w:tc>
          <w:tcPr>
            <w:tcW w:w="3137" w:type="dxa"/>
            <w:gridSpan w:val="3"/>
            <w:tcBorders>
              <w:top w:val="single" w:sz="4" w:space="0" w:color="auto"/>
              <w:left w:val="nil"/>
              <w:bottom w:val="single" w:sz="6" w:space="0" w:color="000000"/>
              <w:right w:val="single" w:sz="4" w:space="0" w:color="auto"/>
            </w:tcBorders>
            <w:vAlign w:val="center"/>
          </w:tcPr>
          <w:p>
            <w:pPr>
              <w:spacing w:line="240" w:lineRule="auto" w:before="0" w:after="0"/>
              <w:jc w:val="left"/>
            </w:pPr>
            <w:r/>
            <w:r>
              <w:rPr>
                <w:rFonts w:ascii="Times New Roman" w:hAnsi="Times New Roman" w:eastAsia="宋体"/>
                <w:b w:val="0"/>
                <w:sz w:val="21"/>
              </w:rPr>
            </w:r>
          </w:p>
        </w:tc>
        <w:tc>
          <w:tcPr>
            <w:tcW w:w="840" w:type="dxa"/>
            <w:tcBorders>
              <w:top w:val="single" w:sz="4" w:space="0" w:color="auto"/>
              <w:left w:val="nil"/>
              <w:bottom w:val="single" w:sz="6" w:space="0" w:color="000000"/>
              <w:right w:val="single" w:sz="4" w:space="0" w:color="auto"/>
            </w:tcBorders>
            <w:vAlign w:val="center"/>
          </w:tcPr>
          <w:p w:rsidR="00A95CB9" w:rsidRDefault="00A95CB9" w:rsidP="00E517A1">
            <w:pPr>
              <w:ind w:firstLineChars="100" w:firstLine="210"/>
              <w:rPr>
                <w:rFonts w:ascii="宋体" w:hAnsi="宋体"/>
                <w:color w:val="000000" w:themeColor="text1"/>
              </w:rPr>
            </w:pPr>
            <w:r>
              <w:rPr>
                <w:rFonts w:ascii="宋体" w:hAnsi="宋体" w:hint="eastAsia"/>
                <w:color w:val="000000" w:themeColor="text1"/>
              </w:rPr>
              <w:t>时间</w:t>
            </w:r>
          </w:p>
        </w:tc>
        <w:tc>
          <w:tcPr>
            <w:tcW w:w="3745" w:type="dxa"/>
            <w:gridSpan w:val="3"/>
            <w:tcBorders>
              <w:top w:val="single" w:sz="4" w:space="0" w:color="auto"/>
              <w:left w:val="nil"/>
              <w:bottom w:val="single" w:sz="6" w:space="0" w:color="000000"/>
              <w:right w:val="single" w:sz="6" w:space="0" w:color="000000"/>
            </w:tcBorders>
            <w:vAlign w:val="center"/>
          </w:tcPr>
          <w:p>
            <w:pPr>
              <w:spacing w:line="240" w:lineRule="auto" w:before="0" w:after="0"/>
              <w:jc w:val="left"/>
            </w:pPr>
            <w:r/>
            <w:r>
              <w:rPr>
                <w:rFonts w:ascii="Times New Roman" w:hAnsi="Times New Roman" w:eastAsia="宋体"/>
                <w:b w:val="0"/>
                <w:sz w:val="21"/>
              </w:rPr>
            </w:r>
          </w:p>
          <w:p>
            <w:pPr>
              <w:spacing w:line="240" w:lineRule="auto" w:before="0" w:after="0"/>
              <w:jc w:val="left"/>
            </w:pPr>
            <w:r>
              <w:rPr>
                <w:rFonts w:ascii="Times New Roman" w:hAnsi="Times New Roman" w:eastAsia="宋体"/>
                <w:b w:val="0"/>
                <w:sz w:val="21"/>
              </w:rPr>
              <w:t>年      月      日</w:t>
            </w:r>
          </w:p>
        </w:tc>
      </w:tr>
    </w:tbl>
    <w:p w:rsidR="00A95CB9" w:rsidRDefault="00A95CB9" w:rsidP="00A95CB9">
      <w:pPr>
        <w:ind w:firstLineChars="200" w:firstLine="360"/>
        <w:rPr>
          <w:color w:val="FF0000"/>
          <w:sz w:val="18"/>
          <w:szCs w:val="18"/>
        </w:rPr>
      </w:pPr>
      <w:r>
        <w:rPr>
          <w:rFonts w:ascii="宋体" w:hAnsi="宋体" w:hint="eastAsia"/>
          <w:color w:val="FF0000"/>
          <w:sz w:val="18"/>
          <w:szCs w:val="18"/>
        </w:rPr>
        <w:t>说明：用A4纸张输出，表题宋体三号字，内容五号字，单倍行距，不够可以扩展为多页，双面打印，注意排版，指导教师意见处必须手写，其它内容打印，本任务书一式两份。（本说明打印时删除）</w:t>
      </w:r>
    </w:p>
    <w:p w:rsidR="00532135" w:rsidRDefault="00532135"/>
    <w:sectPr w:rsidR="0053213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31962" w:rsidRDefault="00631962" w:rsidP="00A95CB9">
      <w:r>
        <w:separator/>
      </w:r>
    </w:p>
  </w:endnote>
  <w:endnote w:type="continuationSeparator" w:id="0">
    <w:p w:rsidR="00631962" w:rsidRDefault="00631962" w:rsidP="00A95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31962" w:rsidRDefault="00631962" w:rsidP="00A95CB9">
      <w:r>
        <w:separator/>
      </w:r>
    </w:p>
  </w:footnote>
  <w:footnote w:type="continuationSeparator" w:id="0">
    <w:p w:rsidR="00631962" w:rsidRDefault="00631962" w:rsidP="00A95CB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757A"/>
    <w:rsid w:val="0018757A"/>
    <w:rsid w:val="00532135"/>
    <w:rsid w:val="00631962"/>
    <w:rsid w:val="008271C6"/>
    <w:rsid w:val="00A95CB9"/>
    <w:rsid w:val="00F457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747F4D1-8EAB-43E6-A2C0-4B5C28178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95CB9"/>
    <w:pPr>
      <w:widowControl w:val="0"/>
      <w:jc w:val="both"/>
    </w:pPr>
    <w:rPr>
      <w:rFonts w:ascii="Times New Roman" w:eastAsia="宋体" w:hAnsi="Times New Roman" w:cs="Times New Roman"/>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A95CB9"/>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A95CB9"/>
    <w:rPr>
      <w:sz w:val="18"/>
      <w:szCs w:val="18"/>
    </w:rPr>
  </w:style>
  <w:style w:type="paragraph" w:styleId="a4">
    <w:name w:val="footer"/>
    <w:basedOn w:val="a"/>
    <w:link w:val="Char0"/>
    <w:uiPriority w:val="99"/>
    <w:unhideWhenUsed/>
    <w:rsid w:val="00A95CB9"/>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A95CB9"/>
    <w:rPr>
      <w:sz w:val="18"/>
      <w:szCs w:val="18"/>
    </w:rPr>
  </w:style>
  <w:style w:type="paragraph" w:styleId="a5">
    <w:name w:val="Body Text Indent"/>
    <w:basedOn w:val="a"/>
    <w:link w:val="Char1"/>
    <w:uiPriority w:val="99"/>
    <w:unhideWhenUsed/>
    <w:qFormat/>
    <w:rsid w:val="00A95CB9"/>
    <w:pPr>
      <w:spacing w:before="100" w:beforeAutospacing="1" w:after="120"/>
      <w:ind w:leftChars="200" w:left="420"/>
    </w:pPr>
  </w:style>
  <w:style w:type="character" w:customStyle="1" w:styleId="Char1">
    <w:name w:val="正文文本缩进 Char"/>
    <w:basedOn w:val="a0"/>
    <w:link w:val="a5"/>
    <w:uiPriority w:val="99"/>
    <w:qFormat/>
    <w:rsid w:val="00A95CB9"/>
    <w:rPr>
      <w:rFonts w:ascii="Times New Roman" w:eastAsia="宋体" w:hAnsi="Times New Roman"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63</Words>
  <Characters>363</Characters>
  <Application>Microsoft Office Word</Application>
  <DocSecurity>0</DocSecurity>
  <Lines>3</Lines>
  <Paragraphs>1</Paragraphs>
  <ScaleCrop>false</ScaleCrop>
  <Company>微软中国</Company>
  <LinksUpToDate>false</LinksUpToDate>
  <CharactersWithSpaces>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2017-10-24T08:43:00Z</dcterms:created>
  <dcterms:modified xsi:type="dcterms:W3CDTF">2019-09-16T08:36:00Z</dcterms:modified>
</cp:coreProperties>
</file>