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C6F" w:rsidRDefault="00C57C6F" w:rsidP="00C57C6F">
      <w:pPr>
        <w:jc w:val="center"/>
        <w:rPr>
          <w:rStyle w:val="Strong"/>
          <w:rFonts w:ascii="Arial" w:hAnsi="Arial" w:cs="Arial"/>
          <w:sz w:val="20"/>
          <w:szCs w:val="20"/>
          <w:lang w:val="sv-SE"/>
        </w:rPr>
      </w:pPr>
      <w:r>
        <w:rPr>
          <w:rStyle w:val="Strong"/>
          <w:rFonts w:ascii="Arial" w:hAnsi="Arial" w:cs="Arial"/>
          <w:sz w:val="20"/>
          <w:szCs w:val="20"/>
          <w:lang w:val="sv-SE"/>
        </w:rPr>
        <w:t xml:space="preserve">PEG Biovolume </w:t>
      </w:r>
      <w:r w:rsidR="00E443FB">
        <w:rPr>
          <w:rStyle w:val="Strong"/>
          <w:rFonts w:ascii="Arial" w:hAnsi="Arial" w:cs="Arial"/>
          <w:sz w:val="20"/>
          <w:szCs w:val="20"/>
          <w:lang w:val="sv-SE"/>
        </w:rPr>
        <w:t xml:space="preserve">Report </w:t>
      </w:r>
      <w:r>
        <w:rPr>
          <w:rStyle w:val="Strong"/>
          <w:rFonts w:ascii="Arial" w:hAnsi="Arial" w:cs="Arial"/>
          <w:sz w:val="20"/>
          <w:szCs w:val="20"/>
          <w:lang w:val="sv-SE"/>
        </w:rPr>
        <w:t>Procedures</w:t>
      </w:r>
    </w:p>
    <w:p w:rsidR="006F33F7" w:rsidRDefault="006F33F7" w:rsidP="00C57C6F">
      <w:pPr>
        <w:jc w:val="center"/>
        <w:rPr>
          <w:rStyle w:val="Strong"/>
          <w:rFonts w:ascii="Arial" w:hAnsi="Arial" w:cs="Arial"/>
          <w:sz w:val="20"/>
          <w:szCs w:val="20"/>
          <w:lang w:val="sv-SE"/>
        </w:rPr>
      </w:pPr>
      <w:r>
        <w:rPr>
          <w:rStyle w:val="Strong"/>
          <w:rFonts w:ascii="Arial" w:hAnsi="Arial" w:cs="Arial"/>
          <w:sz w:val="20"/>
          <w:szCs w:val="20"/>
          <w:lang w:val="sv-SE"/>
        </w:rPr>
        <w:t>Version 2 (</w:t>
      </w:r>
      <w:r w:rsidR="00AE161C">
        <w:rPr>
          <w:rStyle w:val="Strong"/>
          <w:rFonts w:ascii="Arial" w:hAnsi="Arial" w:cs="Arial"/>
          <w:sz w:val="20"/>
          <w:szCs w:val="20"/>
          <w:lang w:val="sv-SE"/>
        </w:rPr>
        <w:t xml:space="preserve">agreed </w:t>
      </w:r>
      <w:bookmarkStart w:id="0" w:name="_GoBack"/>
      <w:bookmarkEnd w:id="0"/>
      <w:r>
        <w:rPr>
          <w:rStyle w:val="Strong"/>
          <w:rFonts w:ascii="Arial" w:hAnsi="Arial" w:cs="Arial"/>
          <w:sz w:val="20"/>
          <w:szCs w:val="20"/>
          <w:lang w:val="sv-SE"/>
        </w:rPr>
        <w:t>April 20, 2012)</w:t>
      </w:r>
    </w:p>
    <w:p w:rsidR="00C57C6F" w:rsidRDefault="00C57C6F" w:rsidP="00C57C6F">
      <w:pPr>
        <w:rPr>
          <w:rStyle w:val="Strong"/>
          <w:rFonts w:ascii="Arial" w:hAnsi="Arial" w:cs="Arial"/>
          <w:sz w:val="20"/>
          <w:szCs w:val="20"/>
          <w:lang w:val="sv-SE"/>
        </w:rPr>
      </w:pPr>
    </w:p>
    <w:p w:rsidR="00C57C6F" w:rsidRDefault="00C57C6F" w:rsidP="00C57C6F">
      <w:pPr>
        <w:rPr>
          <w:lang w:val="sv-SE"/>
        </w:rPr>
      </w:pPr>
      <w:r>
        <w:rPr>
          <w:rStyle w:val="Strong"/>
          <w:rFonts w:ascii="Arial" w:hAnsi="Arial" w:cs="Arial"/>
          <w:sz w:val="20"/>
          <w:szCs w:val="20"/>
          <w:lang w:val="sv-SE"/>
        </w:rPr>
        <w:t>Rules for updating the PEG list:</w:t>
      </w:r>
    </w:p>
    <w:p w:rsidR="00C57C6F" w:rsidRDefault="00C57C6F" w:rsidP="002D7710">
      <w:pPr>
        <w:numPr>
          <w:ilvl w:val="0"/>
          <w:numId w:val="14"/>
        </w:numPr>
        <w:spacing w:before="100" w:beforeAutospacing="1" w:after="100" w:afterAutospacing="1"/>
        <w:rPr>
          <w:rFonts w:ascii="Arial" w:hAnsi="Arial" w:cs="Arial"/>
          <w:lang w:val="sv-SE"/>
        </w:rPr>
      </w:pPr>
      <w:r>
        <w:rPr>
          <w:rFonts w:ascii="Arial" w:hAnsi="Arial" w:cs="Arial"/>
          <w:sz w:val="20"/>
          <w:szCs w:val="20"/>
          <w:lang w:val="sv-SE"/>
        </w:rPr>
        <w:t xml:space="preserve">PEG_BVOL is updated once per year by </w:t>
      </w:r>
      <w:r w:rsidR="00CD1E53">
        <w:rPr>
          <w:rFonts w:ascii="Arial" w:hAnsi="Arial" w:cs="Arial"/>
          <w:sz w:val="20"/>
          <w:szCs w:val="20"/>
          <w:lang w:val="sv-SE"/>
        </w:rPr>
        <w:t xml:space="preserve">HELCOM </w:t>
      </w:r>
      <w:r>
        <w:rPr>
          <w:rFonts w:ascii="Arial" w:hAnsi="Arial" w:cs="Arial"/>
          <w:sz w:val="20"/>
          <w:szCs w:val="20"/>
          <w:lang w:val="sv-SE"/>
        </w:rPr>
        <w:t>PEG</w:t>
      </w:r>
      <w:r w:rsidR="004C0F1F">
        <w:rPr>
          <w:rFonts w:ascii="Arial" w:hAnsi="Arial" w:cs="Arial"/>
          <w:sz w:val="20"/>
          <w:szCs w:val="20"/>
          <w:lang w:val="sv-SE"/>
        </w:rPr>
        <w:t xml:space="preserve"> at their annual meeting (currently held in April)</w:t>
      </w:r>
      <w:r w:rsidR="00CD1E53">
        <w:rPr>
          <w:rFonts w:ascii="Arial" w:hAnsi="Arial" w:cs="Arial"/>
          <w:sz w:val="20"/>
          <w:szCs w:val="20"/>
          <w:lang w:val="sv-SE"/>
        </w:rPr>
        <w:t>. T</w:t>
      </w:r>
      <w:r>
        <w:rPr>
          <w:rFonts w:ascii="Arial" w:hAnsi="Arial" w:cs="Arial"/>
          <w:sz w:val="20"/>
          <w:szCs w:val="20"/>
          <w:lang w:val="sv-SE"/>
        </w:rPr>
        <w:t xml:space="preserve">he latest version of their list is available on the ICES website at </w:t>
      </w:r>
      <w:r w:rsidR="002D7710">
        <w:rPr>
          <w:rFonts w:ascii="Arial" w:hAnsi="Arial" w:cs="Arial"/>
          <w:sz w:val="20"/>
          <w:szCs w:val="20"/>
          <w:lang w:val="sv-SE"/>
        </w:rPr>
        <w:fldChar w:fldCharType="begin"/>
      </w:r>
      <w:r w:rsidR="002D7710">
        <w:rPr>
          <w:rFonts w:ascii="Arial" w:hAnsi="Arial" w:cs="Arial"/>
          <w:sz w:val="20"/>
          <w:szCs w:val="20"/>
          <w:lang w:val="sv-SE"/>
        </w:rPr>
        <w:instrText xml:space="preserve"> HYPERLINK "http://ices.dk/marine-data/vocabularies/Pages/default.aspx" </w:instrText>
      </w:r>
      <w:r w:rsidR="002D7710">
        <w:rPr>
          <w:rFonts w:ascii="Arial" w:hAnsi="Arial" w:cs="Arial"/>
          <w:sz w:val="20"/>
          <w:szCs w:val="20"/>
          <w:lang w:val="sv-SE"/>
        </w:rPr>
        <w:fldChar w:fldCharType="separate"/>
      </w:r>
      <w:r w:rsidR="002D7710" w:rsidRPr="002D7710">
        <w:rPr>
          <w:rStyle w:val="Hyperlink"/>
          <w:rFonts w:ascii="Arial" w:hAnsi="Arial" w:cs="Arial"/>
          <w:sz w:val="20"/>
          <w:szCs w:val="20"/>
          <w:lang w:val="sv-SE"/>
        </w:rPr>
        <w:t>http://ices.dk/marine-data/vocabularies/Pages/default.aspx</w:t>
      </w:r>
      <w:r w:rsidR="002D7710">
        <w:rPr>
          <w:rFonts w:ascii="Arial" w:hAnsi="Arial" w:cs="Arial"/>
          <w:sz w:val="20"/>
          <w:szCs w:val="20"/>
          <w:lang w:val="sv-SE"/>
        </w:rPr>
        <w:fldChar w:fldCharType="end"/>
      </w:r>
      <w:r>
        <w:rPr>
          <w:rFonts w:ascii="Arial" w:hAnsi="Arial" w:cs="Arial"/>
          <w:sz w:val="20"/>
          <w:szCs w:val="20"/>
          <w:lang w:val="sv-SE"/>
        </w:rPr>
        <w:t xml:space="preserve">. </w:t>
      </w:r>
    </w:p>
    <w:p w:rsidR="00C57C6F" w:rsidRDefault="00C57C6F" w:rsidP="00C57C6F">
      <w:pPr>
        <w:numPr>
          <w:ilvl w:val="0"/>
          <w:numId w:val="14"/>
        </w:numPr>
        <w:spacing w:before="100" w:beforeAutospacing="1" w:after="100" w:afterAutospacing="1"/>
        <w:rPr>
          <w:lang w:val="sv-SE"/>
        </w:rPr>
      </w:pPr>
      <w:r>
        <w:rPr>
          <w:rFonts w:ascii="Arial" w:hAnsi="Arial" w:cs="Arial"/>
          <w:sz w:val="20"/>
          <w:szCs w:val="20"/>
          <w:lang w:val="sv-SE"/>
        </w:rPr>
        <w:t>N</w:t>
      </w:r>
      <w:r>
        <w:rPr>
          <w:rStyle w:val="Strong"/>
          <w:rFonts w:ascii="Arial" w:hAnsi="Arial" w:cs="Arial"/>
          <w:b w:val="0"/>
          <w:bCs w:val="0"/>
          <w:sz w:val="20"/>
          <w:szCs w:val="20"/>
          <w:lang w:val="sv-SE"/>
        </w:rPr>
        <w:t>o deletions or changes may be made to the species name</w:t>
      </w:r>
      <w:r w:rsidR="00A4691F">
        <w:rPr>
          <w:rStyle w:val="Strong"/>
          <w:rFonts w:ascii="Arial" w:hAnsi="Arial" w:cs="Arial"/>
          <w:b w:val="0"/>
          <w:bCs w:val="0"/>
          <w:sz w:val="20"/>
          <w:szCs w:val="20"/>
          <w:lang w:val="sv-SE"/>
        </w:rPr>
        <w:t>/</w:t>
      </w:r>
      <w:r>
        <w:rPr>
          <w:rStyle w:val="Strong"/>
          <w:rFonts w:ascii="Arial" w:hAnsi="Arial" w:cs="Arial"/>
          <w:b w:val="0"/>
          <w:bCs w:val="0"/>
          <w:sz w:val="20"/>
          <w:szCs w:val="20"/>
          <w:lang w:val="sv-SE"/>
        </w:rPr>
        <w:t>size class</w:t>
      </w:r>
      <w:r w:rsidR="00A4691F">
        <w:rPr>
          <w:rStyle w:val="Strong"/>
          <w:rFonts w:ascii="Arial" w:hAnsi="Arial" w:cs="Arial"/>
          <w:b w:val="0"/>
          <w:bCs w:val="0"/>
          <w:sz w:val="20"/>
          <w:szCs w:val="20"/>
          <w:lang w:val="sv-SE"/>
        </w:rPr>
        <w:t xml:space="preserve"> combination</w:t>
      </w:r>
      <w:r>
        <w:rPr>
          <w:rStyle w:val="Strong"/>
          <w:rFonts w:ascii="Arial" w:hAnsi="Arial" w:cs="Arial"/>
          <w:b w:val="0"/>
          <w:bCs w:val="0"/>
          <w:sz w:val="20"/>
          <w:szCs w:val="20"/>
          <w:lang w:val="sv-SE"/>
        </w:rPr>
        <w:t xml:space="preserve"> since this combination act</w:t>
      </w:r>
      <w:r w:rsidR="00A4691F">
        <w:rPr>
          <w:rStyle w:val="Strong"/>
          <w:rFonts w:ascii="Arial" w:hAnsi="Arial" w:cs="Arial"/>
          <w:b w:val="0"/>
          <w:bCs w:val="0"/>
          <w:sz w:val="20"/>
          <w:szCs w:val="20"/>
          <w:lang w:val="sv-SE"/>
        </w:rPr>
        <w:t>s</w:t>
      </w:r>
      <w:r>
        <w:rPr>
          <w:rStyle w:val="Strong"/>
          <w:rFonts w:ascii="Arial" w:hAnsi="Arial" w:cs="Arial"/>
          <w:b w:val="0"/>
          <w:bCs w:val="0"/>
          <w:sz w:val="20"/>
          <w:szCs w:val="20"/>
          <w:lang w:val="sv-SE"/>
        </w:rPr>
        <w:t xml:space="preserve"> as a key to the biovolume calculations. </w:t>
      </w:r>
    </w:p>
    <w:p w:rsidR="00C57C6F" w:rsidRDefault="00C57C6F" w:rsidP="00C57C6F">
      <w:pPr>
        <w:numPr>
          <w:ilvl w:val="0"/>
          <w:numId w:val="14"/>
        </w:numPr>
        <w:spacing w:before="100" w:beforeAutospacing="1" w:after="100" w:afterAutospacing="1"/>
        <w:rPr>
          <w:lang w:val="sv-SE"/>
        </w:rPr>
      </w:pPr>
      <w:r>
        <w:rPr>
          <w:rStyle w:val="Strong"/>
          <w:rFonts w:ascii="Arial" w:hAnsi="Arial" w:cs="Arial"/>
          <w:b w:val="0"/>
          <w:bCs w:val="0"/>
          <w:sz w:val="20"/>
          <w:szCs w:val="20"/>
          <w:lang w:val="sv-SE"/>
        </w:rPr>
        <w:t>Additions of species and size classes may be made.</w:t>
      </w:r>
      <w:r>
        <w:rPr>
          <w:lang w:val="sv-SE"/>
        </w:rPr>
        <w:t xml:space="preserve"> </w:t>
      </w:r>
    </w:p>
    <w:p w:rsidR="00C57C6F" w:rsidRDefault="00C57C6F" w:rsidP="00C57C6F">
      <w:pPr>
        <w:numPr>
          <w:ilvl w:val="0"/>
          <w:numId w:val="14"/>
        </w:numPr>
        <w:spacing w:before="100" w:beforeAutospacing="1" w:after="100" w:afterAutospacing="1"/>
        <w:rPr>
          <w:lang w:val="sv-SE"/>
        </w:rPr>
      </w:pPr>
      <w:r>
        <w:rPr>
          <w:rStyle w:val="Strong"/>
          <w:rFonts w:ascii="Arial" w:hAnsi="Arial" w:cs="Arial"/>
          <w:b w:val="0"/>
          <w:bCs w:val="0"/>
          <w:sz w:val="20"/>
          <w:szCs w:val="20"/>
          <w:lang w:val="sv-SE"/>
        </w:rPr>
        <w:t xml:space="preserve">If there is a need for a change such as splitting a size class, adding a dimension, changing a formula or changing the biovolume, a new sizeclass number should be made for that species. </w:t>
      </w:r>
    </w:p>
    <w:p w:rsidR="00C57C6F" w:rsidRDefault="00C57C6F" w:rsidP="00C57C6F">
      <w:pPr>
        <w:numPr>
          <w:ilvl w:val="1"/>
          <w:numId w:val="14"/>
        </w:numPr>
        <w:spacing w:before="100" w:beforeAutospacing="1" w:after="100" w:afterAutospacing="1"/>
        <w:rPr>
          <w:lang w:val="sv-SE"/>
        </w:rPr>
      </w:pPr>
      <w:r>
        <w:rPr>
          <w:rStyle w:val="Strong"/>
          <w:rFonts w:ascii="Arial" w:hAnsi="Arial" w:cs="Arial"/>
          <w:b w:val="0"/>
          <w:bCs w:val="0"/>
          <w:color w:val="000000"/>
          <w:sz w:val="20"/>
          <w:szCs w:val="20"/>
          <w:lang w:val="sv-SE"/>
        </w:rPr>
        <w:t xml:space="preserve">This preserves the original information and link to old data. </w:t>
      </w:r>
    </w:p>
    <w:p w:rsidR="00C57C6F" w:rsidRDefault="00C57C6F" w:rsidP="00C57C6F">
      <w:pPr>
        <w:numPr>
          <w:ilvl w:val="1"/>
          <w:numId w:val="14"/>
        </w:numPr>
        <w:spacing w:before="100" w:beforeAutospacing="1" w:after="100" w:afterAutospacing="1"/>
        <w:rPr>
          <w:lang w:val="sv-SE"/>
        </w:rPr>
      </w:pPr>
      <w:r>
        <w:rPr>
          <w:rStyle w:val="Strong"/>
          <w:rFonts w:ascii="Arial" w:hAnsi="Arial" w:cs="Arial"/>
          <w:b w:val="0"/>
          <w:bCs w:val="0"/>
          <w:color w:val="000000"/>
          <w:sz w:val="20"/>
          <w:szCs w:val="20"/>
          <w:lang w:val="sv-SE"/>
        </w:rPr>
        <w:t>The original information can be flagged as "not valid" in a new column if the need arises. </w:t>
      </w:r>
      <w:r>
        <w:rPr>
          <w:rFonts w:ascii="Arial" w:hAnsi="Arial" w:cs="Arial"/>
          <w:color w:val="000000"/>
          <w:sz w:val="20"/>
          <w:szCs w:val="20"/>
          <w:lang w:val="sv-SE"/>
        </w:rPr>
        <w:t xml:space="preserve"> </w:t>
      </w:r>
    </w:p>
    <w:p w:rsidR="00C57C6F" w:rsidRDefault="00C57C6F" w:rsidP="00C57C6F">
      <w:pPr>
        <w:numPr>
          <w:ilvl w:val="1"/>
          <w:numId w:val="14"/>
        </w:numPr>
        <w:spacing w:before="100" w:beforeAutospacing="1" w:after="100" w:afterAutospacing="1"/>
        <w:rPr>
          <w:lang w:val="sv-SE"/>
        </w:rPr>
      </w:pPr>
      <w:r>
        <w:rPr>
          <w:rStyle w:val="Strong"/>
          <w:rFonts w:ascii="Arial" w:hAnsi="Arial" w:cs="Arial"/>
          <w:b w:val="0"/>
          <w:bCs w:val="0"/>
          <w:color w:val="000000"/>
          <w:sz w:val="20"/>
          <w:szCs w:val="20"/>
          <w:lang w:val="sv-SE"/>
        </w:rPr>
        <w:t>This will allow new data submissions to use the latest biovolumes for calculations, while still being able to track the old.</w:t>
      </w:r>
      <w:r>
        <w:rPr>
          <w:lang w:val="sv-SE"/>
        </w:rPr>
        <w:t xml:space="preserve"> </w:t>
      </w:r>
    </w:p>
    <w:p w:rsidR="00C57C6F" w:rsidRDefault="00C57C6F" w:rsidP="00C57C6F">
      <w:pPr>
        <w:numPr>
          <w:ilvl w:val="0"/>
          <w:numId w:val="14"/>
        </w:numPr>
        <w:spacing w:before="100" w:beforeAutospacing="1" w:after="100" w:afterAutospacing="1"/>
        <w:rPr>
          <w:lang w:val="sv-SE"/>
        </w:rPr>
      </w:pPr>
      <w:r>
        <w:rPr>
          <w:rStyle w:val="Strong"/>
          <w:rFonts w:ascii="Arial" w:hAnsi="Arial" w:cs="Arial"/>
          <w:b w:val="0"/>
          <w:bCs w:val="0"/>
          <w:color w:val="000000"/>
          <w:sz w:val="20"/>
          <w:szCs w:val="20"/>
          <w:lang w:val="sv-SE"/>
        </w:rPr>
        <w:t>PEG has requested that some changes be allowed. Changes may be made to formulas and biovolume without adding a new sizeclass number. This type of  "global" change will affect both old and new data. We do not recommend "global" changes like this, but there might be reasons for doing it in some cases, f.ex. if the previously stored biovolume is erroneous. </w:t>
      </w:r>
      <w:r>
        <w:rPr>
          <w:lang w:val="sv-SE"/>
        </w:rPr>
        <w:t xml:space="preserve"> </w:t>
      </w:r>
    </w:p>
    <w:p w:rsidR="00140FF9" w:rsidRDefault="00C57C6F" w:rsidP="00140FF9">
      <w:pPr>
        <w:numPr>
          <w:ilvl w:val="0"/>
          <w:numId w:val="14"/>
        </w:numPr>
        <w:spacing w:before="100" w:beforeAutospacing="1" w:after="100" w:afterAutospacing="1"/>
        <w:rPr>
          <w:rStyle w:val="Strong"/>
          <w:rFonts w:ascii="Arial" w:hAnsi="Arial" w:cs="Arial"/>
          <w:b w:val="0"/>
          <w:bCs w:val="0"/>
          <w:sz w:val="20"/>
          <w:szCs w:val="20"/>
          <w:lang w:val="sv-SE"/>
        </w:rPr>
      </w:pPr>
      <w:r w:rsidRPr="00140FF9">
        <w:rPr>
          <w:rStyle w:val="Strong"/>
          <w:rFonts w:ascii="Arial" w:hAnsi="Arial" w:cs="Arial"/>
          <w:b w:val="0"/>
          <w:bCs w:val="0"/>
          <w:sz w:val="20"/>
          <w:szCs w:val="20"/>
          <w:lang w:val="sv-SE"/>
        </w:rPr>
        <w:t xml:space="preserve">The list should not allow synonyms. </w:t>
      </w:r>
      <w:r w:rsidR="00A902DA">
        <w:rPr>
          <w:rStyle w:val="Strong"/>
          <w:rFonts w:ascii="Arial" w:hAnsi="Arial" w:cs="Arial"/>
          <w:b w:val="0"/>
          <w:bCs w:val="0"/>
          <w:sz w:val="20"/>
          <w:szCs w:val="20"/>
          <w:lang w:val="sv-SE"/>
        </w:rPr>
        <w:t>Synonyms should be designated</w:t>
      </w:r>
      <w:r w:rsidR="00A4691F">
        <w:rPr>
          <w:rStyle w:val="Strong"/>
          <w:rFonts w:ascii="Arial" w:hAnsi="Arial" w:cs="Arial"/>
          <w:b w:val="0"/>
          <w:bCs w:val="0"/>
          <w:sz w:val="20"/>
          <w:szCs w:val="20"/>
          <w:lang w:val="sv-SE"/>
        </w:rPr>
        <w:t xml:space="preserve"> ”not accepted” and removed to a separate sheet in the Biovolume spreadsheet.</w:t>
      </w:r>
    </w:p>
    <w:p w:rsidR="005F0FAE" w:rsidRPr="00140FF9" w:rsidRDefault="005F0FAE" w:rsidP="00140FF9">
      <w:pPr>
        <w:numPr>
          <w:ilvl w:val="0"/>
          <w:numId w:val="14"/>
        </w:numPr>
        <w:spacing w:before="100" w:beforeAutospacing="1" w:after="100" w:afterAutospacing="1"/>
        <w:rPr>
          <w:rStyle w:val="Strong"/>
          <w:rFonts w:ascii="Arial" w:hAnsi="Arial" w:cs="Arial"/>
          <w:b w:val="0"/>
          <w:bCs w:val="0"/>
          <w:sz w:val="20"/>
          <w:szCs w:val="20"/>
          <w:lang w:val="sv-SE"/>
        </w:rPr>
      </w:pPr>
      <w:r>
        <w:rPr>
          <w:rStyle w:val="Strong"/>
          <w:rFonts w:ascii="Arial" w:hAnsi="Arial" w:cs="Arial"/>
          <w:b w:val="0"/>
          <w:bCs w:val="0"/>
          <w:sz w:val="20"/>
          <w:szCs w:val="20"/>
          <w:lang w:val="sv-SE"/>
        </w:rPr>
        <w:t xml:space="preserve">All species names </w:t>
      </w:r>
      <w:r w:rsidR="001D381A">
        <w:rPr>
          <w:rStyle w:val="Strong"/>
          <w:rFonts w:ascii="Arial" w:hAnsi="Arial" w:cs="Arial"/>
          <w:b w:val="0"/>
          <w:bCs w:val="0"/>
          <w:sz w:val="20"/>
          <w:szCs w:val="20"/>
          <w:lang w:val="sv-SE"/>
        </w:rPr>
        <w:t>must</w:t>
      </w:r>
      <w:r>
        <w:rPr>
          <w:rStyle w:val="Strong"/>
          <w:rFonts w:ascii="Arial" w:hAnsi="Arial" w:cs="Arial"/>
          <w:b w:val="0"/>
          <w:bCs w:val="0"/>
          <w:sz w:val="20"/>
          <w:szCs w:val="20"/>
          <w:lang w:val="sv-SE"/>
        </w:rPr>
        <w:t xml:space="preserve"> link to AphiaID as found in WoRMS</w:t>
      </w:r>
    </w:p>
    <w:p w:rsidR="00B138B5" w:rsidRDefault="00B138B5" w:rsidP="00140FF9">
      <w:pPr>
        <w:rPr>
          <w:rFonts w:ascii="Arial" w:hAnsi="Arial" w:cs="Arial"/>
          <w:b/>
          <w:color w:val="000000"/>
          <w:sz w:val="20"/>
          <w:szCs w:val="20"/>
          <w:lang w:val="sv-SE"/>
        </w:rPr>
      </w:pPr>
      <w:r w:rsidRPr="00B138B5">
        <w:rPr>
          <w:rFonts w:ascii="Arial" w:hAnsi="Arial" w:cs="Arial"/>
          <w:b/>
          <w:color w:val="000000"/>
          <w:sz w:val="20"/>
          <w:szCs w:val="20"/>
          <w:lang w:val="sv-SE"/>
        </w:rPr>
        <w:t>Note to data submitters:</w:t>
      </w:r>
    </w:p>
    <w:p w:rsidR="009C7F2F" w:rsidRPr="00B138B5" w:rsidRDefault="009C7F2F" w:rsidP="00140FF9">
      <w:pPr>
        <w:rPr>
          <w:rFonts w:ascii="Arial" w:hAnsi="Arial" w:cs="Arial"/>
          <w:b/>
          <w:color w:val="000000"/>
          <w:sz w:val="20"/>
          <w:szCs w:val="20"/>
          <w:lang w:val="sv-SE"/>
        </w:rPr>
      </w:pPr>
    </w:p>
    <w:p w:rsidR="00140FF9" w:rsidRDefault="00140FF9" w:rsidP="00140FF9">
      <w:pPr>
        <w:rPr>
          <w:rFonts w:ascii="Arial" w:hAnsi="Arial" w:cs="Arial"/>
          <w:color w:val="0000FF"/>
          <w:sz w:val="20"/>
          <w:szCs w:val="20"/>
          <w:lang w:val="sv-SE"/>
        </w:rPr>
      </w:pPr>
      <w:r>
        <w:rPr>
          <w:rFonts w:ascii="Arial" w:hAnsi="Arial" w:cs="Arial"/>
          <w:color w:val="000000"/>
          <w:sz w:val="20"/>
          <w:szCs w:val="20"/>
          <w:lang w:val="sv-SE"/>
        </w:rPr>
        <w:t xml:space="preserve">1) Errors and omissions in the PEG list should be addressed to </w:t>
      </w:r>
      <w:r w:rsidR="00B138B5">
        <w:rPr>
          <w:rFonts w:ascii="Arial" w:hAnsi="Arial" w:cs="Arial"/>
          <w:color w:val="000000"/>
          <w:sz w:val="20"/>
          <w:szCs w:val="20"/>
          <w:lang w:val="sv-SE"/>
        </w:rPr>
        <w:t xml:space="preserve">HELCOM </w:t>
      </w:r>
      <w:r>
        <w:rPr>
          <w:rFonts w:ascii="Arial" w:hAnsi="Arial" w:cs="Arial"/>
          <w:color w:val="000000"/>
          <w:sz w:val="20"/>
          <w:szCs w:val="20"/>
          <w:lang w:val="sv-SE"/>
        </w:rPr>
        <w:t>PEG who will make corrections according to the rules as described above.</w:t>
      </w:r>
      <w:r w:rsidR="004C0F1F">
        <w:rPr>
          <w:rFonts w:ascii="Arial" w:hAnsi="Arial" w:cs="Arial"/>
          <w:color w:val="000000"/>
          <w:sz w:val="20"/>
          <w:szCs w:val="20"/>
          <w:lang w:val="sv-SE"/>
        </w:rPr>
        <w:t xml:space="preserve"> Corrections sent to ICES will be forwarded to PEG if received by 15 March.</w:t>
      </w:r>
    </w:p>
    <w:p w:rsidR="00140FF9" w:rsidRDefault="00140FF9" w:rsidP="00140FF9">
      <w:pPr>
        <w:rPr>
          <w:rFonts w:ascii="Arial" w:hAnsi="Arial" w:cs="Arial"/>
          <w:color w:val="0000FF"/>
          <w:sz w:val="20"/>
          <w:szCs w:val="20"/>
          <w:lang w:val="sv-SE"/>
        </w:rPr>
      </w:pPr>
      <w:r>
        <w:rPr>
          <w:rFonts w:ascii="Arial" w:hAnsi="Arial" w:cs="Arial"/>
          <w:color w:val="0000FF"/>
          <w:sz w:val="20"/>
          <w:szCs w:val="20"/>
          <w:lang w:val="sv-SE"/>
        </w:rPr>
        <w:t> </w:t>
      </w:r>
    </w:p>
    <w:p w:rsidR="00140FF9" w:rsidRDefault="00140FF9" w:rsidP="00140FF9">
      <w:pPr>
        <w:rPr>
          <w:rFonts w:ascii="Arial" w:hAnsi="Arial" w:cs="Arial"/>
          <w:color w:val="0000FF"/>
          <w:sz w:val="20"/>
          <w:szCs w:val="20"/>
          <w:lang w:val="sv-SE"/>
        </w:rPr>
      </w:pPr>
      <w:r>
        <w:rPr>
          <w:rFonts w:ascii="Arial" w:hAnsi="Arial" w:cs="Arial"/>
          <w:color w:val="000000"/>
          <w:sz w:val="20"/>
          <w:szCs w:val="20"/>
          <w:lang w:val="sv-SE"/>
        </w:rPr>
        <w:t>2) The original table from the 2006 publication had many errors and went through a series of corrections and distribution by PEG members. ICES has no way of knowing which version labs have used to classify their data - especially those using PhytoWin. PEG, HELCOM MONAS and data submitters have been informed that data submitters will have to check their size classes against the current list and data will need to be resubmitted in some cases.</w:t>
      </w:r>
    </w:p>
    <w:p w:rsidR="00C57C6F" w:rsidRDefault="00C57C6F" w:rsidP="00C57C6F">
      <w:pPr>
        <w:rPr>
          <w:lang w:val="sv-SE"/>
        </w:rPr>
      </w:pPr>
      <w:r>
        <w:rPr>
          <w:lang w:val="sv-SE"/>
        </w:rPr>
        <w:t> </w:t>
      </w:r>
    </w:p>
    <w:p w:rsidR="00C57C6F" w:rsidRDefault="00C57C6F" w:rsidP="00C57C6F">
      <w:pPr>
        <w:rPr>
          <w:b/>
          <w:bCs/>
          <w:color w:val="0000FF"/>
          <w:lang w:val="sv-SE"/>
        </w:rPr>
      </w:pPr>
      <w:r>
        <w:rPr>
          <w:rStyle w:val="Strong"/>
          <w:rFonts w:ascii="Arial" w:hAnsi="Arial" w:cs="Arial"/>
          <w:color w:val="000000"/>
          <w:sz w:val="20"/>
          <w:szCs w:val="20"/>
          <w:lang w:val="sv-SE"/>
        </w:rPr>
        <w:t>Rules for reporting:</w:t>
      </w:r>
    </w:p>
    <w:p w:rsidR="00C57C6F" w:rsidRDefault="00C57C6F" w:rsidP="00C57C6F">
      <w:pPr>
        <w:rPr>
          <w:b/>
          <w:bCs/>
          <w:color w:val="0000FF"/>
          <w:lang w:val="sv-SE"/>
        </w:rPr>
      </w:pPr>
      <w:r>
        <w:rPr>
          <w:b/>
          <w:bCs/>
          <w:color w:val="0000FF"/>
          <w:lang w:val="sv-SE"/>
        </w:rPr>
        <w:t> </w:t>
      </w:r>
    </w:p>
    <w:p w:rsidR="00C57C6F" w:rsidRDefault="00C57C6F" w:rsidP="00C57C6F">
      <w:pPr>
        <w:rPr>
          <w:b/>
          <w:bCs/>
          <w:color w:val="0000FF"/>
          <w:lang w:val="sv-SE"/>
        </w:rPr>
      </w:pPr>
      <w:r>
        <w:rPr>
          <w:rStyle w:val="Strong"/>
          <w:rFonts w:ascii="Arial" w:hAnsi="Arial" w:cs="Arial"/>
          <w:b w:val="0"/>
          <w:bCs w:val="0"/>
          <w:color w:val="000000"/>
          <w:sz w:val="20"/>
          <w:szCs w:val="20"/>
          <w:lang w:val="sv-SE"/>
        </w:rPr>
        <w:t>If calculations are to be made based on the PEG biovolumes, there are 2 fields in ERF3.2.</w:t>
      </w:r>
      <w:r w:rsidR="00CD1E53">
        <w:rPr>
          <w:rStyle w:val="Strong"/>
          <w:rFonts w:ascii="Arial" w:hAnsi="Arial" w:cs="Arial"/>
          <w:b w:val="0"/>
          <w:bCs w:val="0"/>
          <w:color w:val="000000"/>
          <w:sz w:val="20"/>
          <w:szCs w:val="20"/>
          <w:lang w:val="sv-SE"/>
        </w:rPr>
        <w:t>3</w:t>
      </w:r>
      <w:r>
        <w:rPr>
          <w:rStyle w:val="Strong"/>
          <w:rFonts w:ascii="Arial" w:hAnsi="Arial" w:cs="Arial"/>
          <w:b w:val="0"/>
          <w:bCs w:val="0"/>
          <w:color w:val="000000"/>
          <w:sz w:val="20"/>
          <w:szCs w:val="20"/>
          <w:lang w:val="sv-SE"/>
        </w:rPr>
        <w:t> that must reference the PEG biovolume report. </w:t>
      </w:r>
    </w:p>
    <w:p w:rsidR="00C57C6F" w:rsidRDefault="00C57C6F" w:rsidP="00C57C6F">
      <w:pPr>
        <w:rPr>
          <w:b/>
          <w:bCs/>
          <w:color w:val="0000FF"/>
          <w:lang w:val="sv-SE"/>
        </w:rPr>
      </w:pPr>
      <w:r>
        <w:rPr>
          <w:b/>
          <w:bCs/>
          <w:color w:val="0000FF"/>
          <w:lang w:val="sv-SE"/>
        </w:rPr>
        <w:t> </w:t>
      </w:r>
    </w:p>
    <w:p w:rsidR="00C57C6F" w:rsidRDefault="00C57C6F" w:rsidP="00C57C6F">
      <w:pPr>
        <w:rPr>
          <w:b/>
          <w:bCs/>
          <w:color w:val="0000FF"/>
          <w:lang w:val="sv-SE"/>
        </w:rPr>
      </w:pPr>
      <w:r>
        <w:rPr>
          <w:rStyle w:val="Strong"/>
          <w:rFonts w:ascii="Arial" w:hAnsi="Arial" w:cs="Arial"/>
          <w:b w:val="0"/>
          <w:bCs w:val="0"/>
          <w:color w:val="000000"/>
          <w:sz w:val="20"/>
          <w:szCs w:val="20"/>
          <w:lang w:val="sv-SE"/>
        </w:rPr>
        <w:t>1) RLIST in the abundance record. The "PEG_BVOL" option in RLIST refers to the latest (cumulative) update of the biovolume report. DATSU will check the species name reported in the data file for occurrence in “PEG_BVOL”. If the species is missing in “PEG_BVOL”, an error will be given.</w:t>
      </w:r>
    </w:p>
    <w:p w:rsidR="00C57C6F" w:rsidRDefault="00C57C6F" w:rsidP="00C57C6F">
      <w:pPr>
        <w:rPr>
          <w:rStyle w:val="Strong"/>
          <w:rFonts w:ascii="Arial" w:hAnsi="Arial" w:cs="Arial"/>
          <w:sz w:val="20"/>
          <w:szCs w:val="20"/>
          <w:lang w:val="en-US"/>
        </w:rPr>
      </w:pPr>
    </w:p>
    <w:p w:rsidR="00C57C6F" w:rsidRDefault="00C57C6F" w:rsidP="00C57C6F">
      <w:pPr>
        <w:rPr>
          <w:rStyle w:val="Strong"/>
          <w:rFonts w:ascii="Arial" w:hAnsi="Arial" w:cs="Arial"/>
          <w:b w:val="0"/>
          <w:bCs w:val="0"/>
          <w:color w:val="000000"/>
          <w:sz w:val="20"/>
          <w:szCs w:val="20"/>
          <w:lang w:val="sv-SE"/>
        </w:rPr>
      </w:pPr>
      <w:r>
        <w:rPr>
          <w:rStyle w:val="Strong"/>
          <w:rFonts w:ascii="Arial" w:hAnsi="Arial" w:cs="Arial"/>
          <w:b w:val="0"/>
          <w:bCs w:val="0"/>
          <w:color w:val="000000"/>
          <w:sz w:val="20"/>
          <w:szCs w:val="20"/>
          <w:lang w:val="sv-SE"/>
        </w:rPr>
        <w:t>2) SIZRF in the method record. This refers to the actual PEG_BVOL version used for assigning sizeclass (</w:t>
      </w:r>
      <w:r w:rsidRPr="00C57C6F">
        <w:rPr>
          <w:rStyle w:val="Strong"/>
          <w:rFonts w:ascii="Arial" w:hAnsi="Arial" w:cs="Arial"/>
          <w:b w:val="0"/>
          <w:bCs w:val="0"/>
          <w:color w:val="000000"/>
          <w:sz w:val="20"/>
          <w:szCs w:val="20"/>
        </w:rPr>
        <w:t>“PEG_BVOL2006”, “PEG_BVOL2007” etc.). DATSU will check the </w:t>
      </w:r>
      <w:proofErr w:type="spellStart"/>
      <w:r w:rsidRPr="00C57C6F">
        <w:rPr>
          <w:rStyle w:val="Strong"/>
          <w:rFonts w:ascii="Arial" w:hAnsi="Arial" w:cs="Arial"/>
          <w:b w:val="0"/>
          <w:bCs w:val="0"/>
          <w:color w:val="000000"/>
          <w:sz w:val="20"/>
          <w:szCs w:val="20"/>
        </w:rPr>
        <w:t>sizeclass</w:t>
      </w:r>
      <w:proofErr w:type="spellEnd"/>
      <w:r w:rsidRPr="00C57C6F">
        <w:rPr>
          <w:rStyle w:val="Strong"/>
          <w:rFonts w:ascii="Arial" w:hAnsi="Arial" w:cs="Arial"/>
          <w:b w:val="0"/>
          <w:bCs w:val="0"/>
          <w:color w:val="000000"/>
          <w:sz w:val="20"/>
          <w:szCs w:val="20"/>
        </w:rPr>
        <w:t xml:space="preserve"> reported in the data file for occurrence in the cumulative “PEG_BVOL” table. </w:t>
      </w:r>
      <w:r>
        <w:rPr>
          <w:rStyle w:val="Strong"/>
          <w:rFonts w:ascii="Arial" w:hAnsi="Arial" w:cs="Arial"/>
          <w:b w:val="0"/>
          <w:bCs w:val="0"/>
          <w:color w:val="000000"/>
          <w:sz w:val="20"/>
          <w:szCs w:val="20"/>
          <w:lang w:val="sv-SE"/>
        </w:rPr>
        <w:t xml:space="preserve">The versions will be archived for reference during assessments. </w:t>
      </w:r>
    </w:p>
    <w:p w:rsidR="00833C0B" w:rsidRDefault="00833C0B" w:rsidP="00C57C6F">
      <w:pPr>
        <w:rPr>
          <w:lang w:val="sv-SE"/>
        </w:rPr>
      </w:pPr>
    </w:p>
    <w:p w:rsidR="00140FF9" w:rsidRDefault="00833C0B" w:rsidP="00140FF9">
      <w:pPr>
        <w:rPr>
          <w:rFonts w:ascii="Arial" w:hAnsi="Arial" w:cs="Arial"/>
          <w:color w:val="000000"/>
          <w:sz w:val="20"/>
          <w:szCs w:val="20"/>
          <w:lang w:val="sv-SE"/>
        </w:rPr>
      </w:pPr>
      <w:r>
        <w:rPr>
          <w:rFonts w:ascii="Arial" w:hAnsi="Arial" w:cs="Arial"/>
          <w:color w:val="000000"/>
          <w:sz w:val="20"/>
          <w:szCs w:val="20"/>
          <w:lang w:val="sv-SE"/>
        </w:rPr>
        <w:t xml:space="preserve">3) Data collected </w:t>
      </w:r>
      <w:r w:rsidR="001D381A">
        <w:rPr>
          <w:rFonts w:ascii="Arial" w:hAnsi="Arial" w:cs="Arial"/>
          <w:color w:val="000000"/>
          <w:sz w:val="20"/>
          <w:szCs w:val="20"/>
          <w:lang w:val="sv-SE"/>
        </w:rPr>
        <w:t xml:space="preserve">in </w:t>
      </w:r>
      <w:r w:rsidR="002A4B12">
        <w:rPr>
          <w:rFonts w:ascii="Arial" w:hAnsi="Arial" w:cs="Arial"/>
          <w:color w:val="000000"/>
          <w:sz w:val="20"/>
          <w:szCs w:val="20"/>
          <w:lang w:val="sv-SE"/>
        </w:rPr>
        <w:t xml:space="preserve">2013 </w:t>
      </w:r>
      <w:r w:rsidR="001D381A">
        <w:rPr>
          <w:rFonts w:ascii="Arial" w:hAnsi="Arial" w:cs="Arial"/>
          <w:color w:val="000000"/>
          <w:sz w:val="20"/>
          <w:szCs w:val="20"/>
          <w:lang w:val="sv-SE"/>
        </w:rPr>
        <w:t>and thereafter</w:t>
      </w:r>
      <w:r>
        <w:rPr>
          <w:rFonts w:ascii="Arial" w:hAnsi="Arial" w:cs="Arial"/>
          <w:color w:val="000000"/>
          <w:sz w:val="20"/>
          <w:szCs w:val="20"/>
          <w:lang w:val="sv-SE"/>
        </w:rPr>
        <w:t xml:space="preserve"> may not report synonyms from previous PEG Biovolume lists.</w:t>
      </w:r>
    </w:p>
    <w:p w:rsidR="00140FF9" w:rsidRPr="00140FF9" w:rsidRDefault="00140FF9">
      <w:pPr>
        <w:rPr>
          <w:lang w:val="sv-SE"/>
        </w:rPr>
      </w:pPr>
    </w:p>
    <w:p w:rsidR="00140FF9" w:rsidRPr="00140FF9" w:rsidRDefault="00140FF9">
      <w:pPr>
        <w:rPr>
          <w:lang w:val="sv-SE"/>
        </w:rPr>
      </w:pPr>
    </w:p>
    <w:sectPr w:rsidR="00140FF9" w:rsidRPr="00140FF9" w:rsidSect="00FE3A3D">
      <w:footerReference w:type="default" r:id="rId7"/>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F75" w:rsidRDefault="00563F75">
      <w:r>
        <w:separator/>
      </w:r>
    </w:p>
  </w:endnote>
  <w:endnote w:type="continuationSeparator" w:id="0">
    <w:p w:rsidR="00563F75" w:rsidRDefault="00563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9D7" w:rsidRDefault="002A4B12">
    <w:pPr>
      <w:pStyle w:val="Footer"/>
    </w:pPr>
    <w:r>
      <w:fldChar w:fldCharType="begin"/>
    </w:r>
    <w:r>
      <w:instrText xml:space="preserve"> DATE \@ "dd/MM/yyyy" </w:instrText>
    </w:r>
    <w:r>
      <w:fldChar w:fldCharType="separate"/>
    </w:r>
    <w:r w:rsidR="006F33F7">
      <w:rPr>
        <w:noProof/>
      </w:rPr>
      <w:t>29/06/2015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F75" w:rsidRDefault="00563F75">
      <w:r>
        <w:separator/>
      </w:r>
    </w:p>
  </w:footnote>
  <w:footnote w:type="continuationSeparator" w:id="0">
    <w:p w:rsidR="00563F75" w:rsidRDefault="00563F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41A89F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968E4210"/>
    <w:lvl w:ilvl="0">
      <w:start w:val="1"/>
      <w:numFmt w:val="decimal"/>
      <w:pStyle w:val="Heading1"/>
      <w:lvlText w:val="%1"/>
      <w:legacy w:legacy="1" w:legacySpace="142" w:legacyIndent="0"/>
      <w:lvlJc w:val="left"/>
      <w:pPr>
        <w:ind w:left="992" w:firstLine="0"/>
      </w:pPr>
    </w:lvl>
    <w:lvl w:ilvl="1">
      <w:start w:val="1"/>
      <w:numFmt w:val="decimal"/>
      <w:pStyle w:val="Heading2"/>
      <w:lvlText w:val="%1.%2"/>
      <w:legacy w:legacy="1" w:legacySpace="142" w:legacyIndent="0"/>
      <w:lvlJc w:val="left"/>
      <w:pPr>
        <w:ind w:left="992" w:firstLine="0"/>
      </w:pPr>
    </w:lvl>
    <w:lvl w:ilvl="2">
      <w:start w:val="1"/>
      <w:numFmt w:val="decimal"/>
      <w:pStyle w:val="Heading3"/>
      <w:lvlText w:val="%1.%2.%3"/>
      <w:legacy w:legacy="1" w:legacySpace="142" w:legacyIndent="0"/>
      <w:lvlJc w:val="left"/>
      <w:pPr>
        <w:ind w:left="992" w:firstLine="0"/>
      </w:pPr>
    </w:lvl>
    <w:lvl w:ilvl="3">
      <w:start w:val="1"/>
      <w:numFmt w:val="decimal"/>
      <w:lvlText w:val="%1.%2.%3.%4"/>
      <w:legacy w:legacy="1" w:legacySpace="142" w:legacyIndent="0"/>
      <w:lvlJc w:val="left"/>
      <w:pPr>
        <w:ind w:left="992" w:firstLine="0"/>
      </w:pPr>
    </w:lvl>
    <w:lvl w:ilvl="4">
      <w:start w:val="1"/>
      <w:numFmt w:val="decimal"/>
      <w:lvlText w:val="%1.%2.%3.%4.%5"/>
      <w:legacy w:legacy="1" w:legacySpace="142" w:legacyIndent="0"/>
      <w:lvlJc w:val="left"/>
      <w:pPr>
        <w:ind w:left="992" w:firstLine="0"/>
      </w:pPr>
    </w:lvl>
    <w:lvl w:ilvl="5">
      <w:start w:val="1"/>
      <w:numFmt w:val="decimal"/>
      <w:lvlText w:val="%1.%2.%3.%4.%5.%6"/>
      <w:legacy w:legacy="1" w:legacySpace="142" w:legacyIndent="0"/>
      <w:lvlJc w:val="left"/>
      <w:pPr>
        <w:ind w:left="992" w:firstLine="0"/>
      </w:pPr>
    </w:lvl>
    <w:lvl w:ilvl="6">
      <w:start w:val="1"/>
      <w:numFmt w:val="decimal"/>
      <w:lvlText w:val="%1.%2.%3.%4.%5.%6.%7"/>
      <w:legacy w:legacy="1" w:legacySpace="142" w:legacyIndent="0"/>
      <w:lvlJc w:val="left"/>
      <w:pPr>
        <w:ind w:left="992" w:firstLine="0"/>
      </w:pPr>
    </w:lvl>
    <w:lvl w:ilvl="7">
      <w:start w:val="1"/>
      <w:numFmt w:val="decimal"/>
      <w:lvlText w:val="%1.%2.%3.%4.%5.%6.%7.%8"/>
      <w:legacy w:legacy="1" w:legacySpace="142" w:legacyIndent="0"/>
      <w:lvlJc w:val="left"/>
      <w:pPr>
        <w:ind w:left="992" w:firstLine="0"/>
      </w:pPr>
    </w:lvl>
    <w:lvl w:ilvl="8">
      <w:start w:val="1"/>
      <w:numFmt w:val="decimal"/>
      <w:lvlText w:val="%1.%2.%3.%4.%5.%6.%7.%8.%9"/>
      <w:legacy w:legacy="1" w:legacySpace="142" w:legacyIndent="0"/>
      <w:lvlJc w:val="left"/>
      <w:pPr>
        <w:ind w:left="992" w:firstLine="0"/>
      </w:pPr>
    </w:lvl>
  </w:abstractNum>
  <w:abstractNum w:abstractNumId="2" w15:restartNumberingAfterBreak="0">
    <w:nsid w:val="5E361129"/>
    <w:multiLevelType w:val="multilevel"/>
    <w:tmpl w:val="2942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1C87D9B"/>
    <w:multiLevelType w:val="multilevel"/>
    <w:tmpl w:val="06AC3F00"/>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927"/>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0"/>
  </w:num>
  <w:num w:numId="11">
    <w:abstractNumId w:val="1"/>
  </w:num>
  <w:num w:numId="12">
    <w:abstractNumId w:val="1"/>
  </w:num>
  <w:num w:numId="13">
    <w:abstractNumId w:val="1"/>
  </w:num>
  <w:num w:numId="14">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57C6F"/>
    <w:rsid w:val="00046CEE"/>
    <w:rsid w:val="00065666"/>
    <w:rsid w:val="00117130"/>
    <w:rsid w:val="00140FF9"/>
    <w:rsid w:val="00153E9D"/>
    <w:rsid w:val="001A3EA6"/>
    <w:rsid w:val="001D381A"/>
    <w:rsid w:val="002A4B12"/>
    <w:rsid w:val="002D7710"/>
    <w:rsid w:val="004C0F1F"/>
    <w:rsid w:val="004F0E8D"/>
    <w:rsid w:val="0052523F"/>
    <w:rsid w:val="0054197E"/>
    <w:rsid w:val="00563F75"/>
    <w:rsid w:val="005F0FAE"/>
    <w:rsid w:val="005F524F"/>
    <w:rsid w:val="00626792"/>
    <w:rsid w:val="00693593"/>
    <w:rsid w:val="006A69D7"/>
    <w:rsid w:val="006F33F7"/>
    <w:rsid w:val="00732695"/>
    <w:rsid w:val="00737A87"/>
    <w:rsid w:val="007F04DD"/>
    <w:rsid w:val="00833C0B"/>
    <w:rsid w:val="009C7F2F"/>
    <w:rsid w:val="00A4691F"/>
    <w:rsid w:val="00A902DA"/>
    <w:rsid w:val="00AE161C"/>
    <w:rsid w:val="00B138B5"/>
    <w:rsid w:val="00C57C6F"/>
    <w:rsid w:val="00C65C97"/>
    <w:rsid w:val="00CD1E53"/>
    <w:rsid w:val="00D47785"/>
    <w:rsid w:val="00E443FB"/>
    <w:rsid w:val="00E757CB"/>
    <w:rsid w:val="00EB0571"/>
    <w:rsid w:val="00F70482"/>
    <w:rsid w:val="00FB002E"/>
    <w:rsid w:val="00FE3A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507F940-1A1E-46F3-A6DD-E0A5EF059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autoRedefine/>
    <w:qFormat/>
    <w:rsid w:val="0052523F"/>
    <w:pPr>
      <w:keepNext/>
      <w:numPr>
        <w:numId w:val="13"/>
      </w:numPr>
      <w:spacing w:before="280" w:after="280"/>
      <w:outlineLvl w:val="0"/>
    </w:pPr>
    <w:rPr>
      <w:rFonts w:cs="Arial"/>
      <w:b/>
      <w:bCs/>
      <w:kern w:val="32"/>
      <w:sz w:val="28"/>
      <w:szCs w:val="32"/>
    </w:rPr>
  </w:style>
  <w:style w:type="paragraph" w:styleId="Heading2">
    <w:name w:val="heading 2"/>
    <w:basedOn w:val="Normal"/>
    <w:next w:val="Normal"/>
    <w:autoRedefine/>
    <w:qFormat/>
    <w:rsid w:val="0052523F"/>
    <w:pPr>
      <w:numPr>
        <w:ilvl w:val="1"/>
        <w:numId w:val="13"/>
      </w:numPr>
      <w:spacing w:before="140" w:after="140"/>
      <w:outlineLvl w:val="1"/>
    </w:pPr>
    <w:rPr>
      <w:b/>
      <w:bCs/>
      <w:iCs/>
      <w:szCs w:val="28"/>
    </w:rPr>
  </w:style>
  <w:style w:type="paragraph" w:styleId="Heading3">
    <w:name w:val="heading 3"/>
    <w:basedOn w:val="Heading1"/>
    <w:next w:val="Normal"/>
    <w:autoRedefine/>
    <w:qFormat/>
    <w:rsid w:val="0052523F"/>
    <w:pPr>
      <w:numPr>
        <w:ilvl w:val="2"/>
      </w:numPr>
      <w:spacing w:before="0" w:after="284"/>
      <w:outlineLvl w:val="2"/>
    </w:pPr>
    <w:rPr>
      <w:rFonts w:cs="Times New Roman"/>
      <w:bCs w:val="0"/>
      <w:noProof/>
      <w:kern w:val="28"/>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Title"/>
    <w:rsid w:val="007F04DD"/>
    <w:pPr>
      <w:tabs>
        <w:tab w:val="left" w:pos="480"/>
        <w:tab w:val="right" w:leader="dot" w:pos="9628"/>
      </w:tabs>
    </w:pPr>
    <w:rPr>
      <w:rFonts w:ascii="Times New Roman" w:hAnsi="Times New Roman"/>
    </w:rPr>
  </w:style>
  <w:style w:type="paragraph" w:styleId="Title">
    <w:name w:val="Title"/>
    <w:basedOn w:val="Normal"/>
    <w:qFormat/>
    <w:rsid w:val="007F04DD"/>
    <w:pPr>
      <w:spacing w:before="240" w:after="280"/>
      <w:jc w:val="center"/>
      <w:outlineLvl w:val="0"/>
    </w:pPr>
    <w:rPr>
      <w:rFonts w:ascii="Arial" w:hAnsi="Arial" w:cs="Arial"/>
      <w:b/>
      <w:bCs/>
      <w:kern w:val="28"/>
      <w:sz w:val="32"/>
      <w:szCs w:val="32"/>
    </w:rPr>
  </w:style>
  <w:style w:type="paragraph" w:customStyle="1" w:styleId="StyleListBulletLeftLeft0cmFirstline0cm">
    <w:name w:val="Style List Bullet + Left Left:  0 cm First line:  0 cm"/>
    <w:basedOn w:val="ListBullet"/>
    <w:autoRedefine/>
    <w:rsid w:val="005F524F"/>
    <w:pPr>
      <w:tabs>
        <w:tab w:val="clear" w:pos="360"/>
      </w:tabs>
      <w:ind w:left="0" w:firstLine="0"/>
    </w:pPr>
    <w:rPr>
      <w:sz w:val="20"/>
      <w:szCs w:val="20"/>
      <w:lang w:eastAsia="en-US"/>
    </w:rPr>
  </w:style>
  <w:style w:type="paragraph" w:styleId="ListBullet">
    <w:name w:val="List Bullet"/>
    <w:basedOn w:val="Normal"/>
    <w:rsid w:val="005F524F"/>
    <w:pPr>
      <w:numPr>
        <w:numId w:val="10"/>
      </w:numPr>
    </w:pPr>
  </w:style>
  <w:style w:type="paragraph" w:customStyle="1" w:styleId="Style1">
    <w:name w:val="Style1"/>
    <w:basedOn w:val="TOC3"/>
    <w:autoRedefine/>
    <w:rsid w:val="00FB002E"/>
  </w:style>
  <w:style w:type="paragraph" w:styleId="TOC3">
    <w:name w:val="toc 3"/>
    <w:next w:val="Normal"/>
    <w:semiHidden/>
    <w:rsid w:val="00FB002E"/>
    <w:pPr>
      <w:ind w:left="1559" w:hanging="567"/>
      <w:jc w:val="right"/>
    </w:pPr>
    <w:rPr>
      <w:noProof/>
      <w:lang w:eastAsia="en-US"/>
    </w:rPr>
  </w:style>
  <w:style w:type="paragraph" w:customStyle="1" w:styleId="Style2">
    <w:name w:val="Style2"/>
    <w:basedOn w:val="TOC1"/>
    <w:rsid w:val="00FB002E"/>
    <w:pPr>
      <w:tabs>
        <w:tab w:val="right" w:leader="dot" w:pos="9638"/>
      </w:tabs>
      <w:spacing w:before="142"/>
      <w:ind w:left="425" w:hanging="425"/>
      <w:jc w:val="right"/>
    </w:pPr>
    <w:rPr>
      <w:caps/>
      <w:noProof/>
      <w:sz w:val="20"/>
      <w:szCs w:val="20"/>
      <w:lang w:eastAsia="en-US"/>
    </w:rPr>
  </w:style>
  <w:style w:type="paragraph" w:styleId="TOC1">
    <w:name w:val="toc 1"/>
    <w:basedOn w:val="Normal"/>
    <w:next w:val="Normal"/>
    <w:autoRedefine/>
    <w:semiHidden/>
    <w:rsid w:val="00FB002E"/>
  </w:style>
  <w:style w:type="paragraph" w:customStyle="1" w:styleId="Style3">
    <w:name w:val="Style3"/>
    <w:basedOn w:val="TOC2"/>
    <w:rsid w:val="00FB002E"/>
    <w:pPr>
      <w:tabs>
        <w:tab w:val="left" w:pos="992"/>
        <w:tab w:val="right" w:leader="dot" w:pos="9638"/>
      </w:tabs>
      <w:ind w:left="992" w:hanging="567"/>
      <w:jc w:val="right"/>
    </w:pPr>
    <w:rPr>
      <w:noProof/>
      <w:sz w:val="20"/>
      <w:szCs w:val="20"/>
      <w:lang w:eastAsia="en-US"/>
    </w:rPr>
  </w:style>
  <w:style w:type="paragraph" w:styleId="TOC2">
    <w:name w:val="toc 2"/>
    <w:basedOn w:val="Normal"/>
    <w:next w:val="Normal"/>
    <w:autoRedefine/>
    <w:semiHidden/>
    <w:rsid w:val="00FB002E"/>
    <w:pPr>
      <w:ind w:left="240"/>
    </w:pPr>
  </w:style>
  <w:style w:type="paragraph" w:customStyle="1" w:styleId="Style4">
    <w:name w:val="Style4"/>
    <w:basedOn w:val="TOC3"/>
    <w:rsid w:val="00FB002E"/>
    <w:pPr>
      <w:tabs>
        <w:tab w:val="left" w:pos="2268"/>
        <w:tab w:val="right" w:leader="dot" w:pos="9638"/>
      </w:tabs>
    </w:pPr>
  </w:style>
  <w:style w:type="paragraph" w:customStyle="1" w:styleId="Style5">
    <w:name w:val="Style5"/>
    <w:basedOn w:val="TOC3"/>
    <w:rsid w:val="00626792"/>
    <w:pPr>
      <w:tabs>
        <w:tab w:val="right" w:leader="dot" w:pos="9638"/>
      </w:tabs>
    </w:pPr>
  </w:style>
  <w:style w:type="paragraph" w:customStyle="1" w:styleId="TOC30">
    <w:name w:val="TOC3"/>
    <w:basedOn w:val="TOC3"/>
    <w:autoRedefine/>
    <w:rsid w:val="00626792"/>
    <w:pPr>
      <w:tabs>
        <w:tab w:val="right" w:leader="dot" w:pos="9638"/>
      </w:tabs>
    </w:pPr>
    <w:rPr>
      <w:lang w:eastAsia="en-GB"/>
    </w:rPr>
  </w:style>
  <w:style w:type="character" w:styleId="Hyperlink">
    <w:name w:val="Hyperlink"/>
    <w:basedOn w:val="DefaultParagraphFont"/>
    <w:rsid w:val="00C57C6F"/>
    <w:rPr>
      <w:color w:val="0000FF"/>
      <w:u w:val="single"/>
    </w:rPr>
  </w:style>
  <w:style w:type="character" w:styleId="Strong">
    <w:name w:val="Strong"/>
    <w:basedOn w:val="DefaultParagraphFont"/>
    <w:qFormat/>
    <w:rsid w:val="00C57C6F"/>
    <w:rPr>
      <w:b/>
      <w:bCs/>
    </w:rPr>
  </w:style>
  <w:style w:type="paragraph" w:styleId="Header">
    <w:name w:val="header"/>
    <w:basedOn w:val="Normal"/>
    <w:rsid w:val="006A69D7"/>
    <w:pPr>
      <w:tabs>
        <w:tab w:val="center" w:pos="4153"/>
        <w:tab w:val="right" w:pos="8306"/>
      </w:tabs>
    </w:pPr>
  </w:style>
  <w:style w:type="paragraph" w:styleId="Footer">
    <w:name w:val="footer"/>
    <w:basedOn w:val="Normal"/>
    <w:rsid w:val="006A69D7"/>
    <w:pPr>
      <w:tabs>
        <w:tab w:val="center" w:pos="4153"/>
        <w:tab w:val="right" w:pos="8306"/>
      </w:tabs>
    </w:pPr>
  </w:style>
  <w:style w:type="paragraph" w:styleId="BalloonText">
    <w:name w:val="Balloon Text"/>
    <w:basedOn w:val="Normal"/>
    <w:link w:val="BalloonTextChar"/>
    <w:rsid w:val="00737A87"/>
    <w:rPr>
      <w:rFonts w:ascii="Tahoma" w:hAnsi="Tahoma" w:cs="Tahoma"/>
      <w:sz w:val="16"/>
      <w:szCs w:val="16"/>
    </w:rPr>
  </w:style>
  <w:style w:type="character" w:customStyle="1" w:styleId="BalloonTextChar">
    <w:name w:val="Balloon Text Char"/>
    <w:basedOn w:val="DefaultParagraphFont"/>
    <w:link w:val="BalloonText"/>
    <w:rsid w:val="00737A87"/>
    <w:rPr>
      <w:rFonts w:ascii="Tahoma" w:hAnsi="Tahoma" w:cs="Tahoma"/>
      <w:sz w:val="16"/>
      <w:szCs w:val="16"/>
    </w:rPr>
  </w:style>
  <w:style w:type="character" w:styleId="FollowedHyperlink">
    <w:name w:val="FollowedHyperlink"/>
    <w:basedOn w:val="DefaultParagraphFont"/>
    <w:semiHidden/>
    <w:unhideWhenUsed/>
    <w:rsid w:val="002D77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365506">
      <w:bodyDiv w:val="1"/>
      <w:marLeft w:val="0"/>
      <w:marRight w:val="0"/>
      <w:marTop w:val="0"/>
      <w:marBottom w:val="0"/>
      <w:divBdr>
        <w:top w:val="none" w:sz="0" w:space="0" w:color="auto"/>
        <w:left w:val="none" w:sz="0" w:space="0" w:color="auto"/>
        <w:bottom w:val="none" w:sz="0" w:space="0" w:color="auto"/>
        <w:right w:val="none" w:sz="0" w:space="0" w:color="auto"/>
      </w:divBdr>
    </w:div>
    <w:div w:id="1197619823">
      <w:bodyDiv w:val="1"/>
      <w:marLeft w:val="0"/>
      <w:marRight w:val="0"/>
      <w:marTop w:val="0"/>
      <w:marBottom w:val="0"/>
      <w:divBdr>
        <w:top w:val="none" w:sz="0" w:space="0" w:color="auto"/>
        <w:left w:val="none" w:sz="0" w:space="0" w:color="auto"/>
        <w:bottom w:val="none" w:sz="0" w:space="0" w:color="auto"/>
        <w:right w:val="none" w:sz="0" w:space="0" w:color="auto"/>
      </w:divBdr>
    </w:div>
    <w:div w:id="162766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PEG Biovolume Procedures</vt:lpstr>
    </vt:vector>
  </TitlesOfParts>
  <Company>ICES</Company>
  <LinksUpToDate>false</LinksUpToDate>
  <CharactersWithSpaces>3186</CharactersWithSpaces>
  <SharedDoc>false</SharedDoc>
  <HLinks>
    <vt:vector size="6" baseType="variant">
      <vt:variant>
        <vt:i4>6422566</vt:i4>
      </vt:variant>
      <vt:variant>
        <vt:i4>0</vt:i4>
      </vt:variant>
      <vt:variant>
        <vt:i4>0</vt:i4>
      </vt:variant>
      <vt:variant>
        <vt:i4>5</vt:i4>
      </vt:variant>
      <vt:variant>
        <vt:lpwstr>http://www.ices.dk/env/repfor/index.htm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PEG Biovolume Procedures</dc:title>
  <dc:creator>Marilynn Sørensen</dc:creator>
  <cp:lastModifiedBy>Marilynn Sørensen</cp:lastModifiedBy>
  <cp:revision>7</cp:revision>
  <dcterms:created xsi:type="dcterms:W3CDTF">2012-04-20T10:49:00Z</dcterms:created>
  <dcterms:modified xsi:type="dcterms:W3CDTF">2015-06-29T10:07:00Z</dcterms:modified>
</cp:coreProperties>
</file>