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menyebutkan jenis-jenis diode, menjelaskan karakteristiknya dan membuat simulasi rangkaian dasar diode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membuat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membandingkan, membedakan, menjelaskan, menghitung,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membuat simulasi, menganalisis, dan mengevaluasi rangkaian baku penyearah satu fase dan tiga fase gelombang penuh tanpa pengendali.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menjelaskan, menghitung, melakukan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simulasi, dan menganalisis rangkaian sakelar elektronik menggunakan SCR dan rangkaian baku penyearah satu fase dan tiga fase 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JADWAL PEMBELAJARAN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karakteristiknya dan membuat 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Kecepatan mambuat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membuat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membuat </w:t>
            </w: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menganalisis, dan mengevaluasi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11, 12, 13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menjelaskan, menghitung, melakukan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sakelar elektronik menggunakan SCR dan rangkaian baku penyearah satu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SCR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sz w:val="20"/>
                <w:szCs w:val="20"/>
              </w:rPr>
              <w:t xml:space="preserve">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sz w:val="20"/>
                <w:szCs w:val="20"/>
              </w:rPr>
              <w:t xml:space="preserve"> rangkaian dengan komponen SCR.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14, 15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 sebagai sakelar elektronik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  <w:br/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Ketepa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tan dalam menjelaskan SS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 dan pener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apannya.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UAS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985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982"/>
          <w:rFonts w:ascii="Cambria" w:hAnsi="Cambria"/>
          <w:color w:val="auto"/>
        </w:rPr>
      </w:pPr>
      <w:r>
        <w:rPr>
          <w:rStyle w:val="982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.</w:t>
      </w:r>
      <w:r>
        <w:rPr>
          <w:rStyle w:val="982"/>
          <w:rFonts w:ascii="Cambria" w:hAnsi="Cambria"/>
          <w:color w:val="auto"/>
        </w:rPr>
      </w:r>
      <w:r>
        <w:rPr>
          <w:rStyle w:val="982"/>
          <w:rFonts w:ascii="Cambria" w:hAnsi="Cambria"/>
          <w:color w:val="auto"/>
        </w:rPr>
      </w:r>
    </w:p>
    <w:p>
      <w:pPr>
        <w:pStyle w:val="984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  <w:r>
        <w:rPr>
          <w:rFonts w:ascii="Cambria" w:hAnsi="Cambria" w:cs="Times New Roman"/>
          <w:lang w:val="es-ES" w:eastAsia="en-U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.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 Perumusan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 Pemeriksaan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3. Persetujuan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 Penetapan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5. Pengendalian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Style w:val="975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Elektro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nika Daya I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  <w:t xml:space="preserve">PLT42527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Sunu Pradana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976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dan/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highlight w:val="none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  <w:r>
              <w:rPr>
                <w:rFonts w:ascii="Times New Roman" w:hAnsi="Times New Roman"/>
                <w:vanish/>
                <w:highlight w:val="none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44"/>
        <w:gridCol w:w="3427"/>
        <w:gridCol w:w="3376"/>
        <w:gridCol w:w="1242"/>
        <w:gridCol w:w="770"/>
      </w:tblGrid>
      <w:tr>
        <w:trPr>
          <w:trHeight w:val="544"/>
        </w:trPr>
        <w:tc>
          <w:tcPr>
            <w:tcBorders/>
            <w:tcW w:w="54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4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Uraian 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3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7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mempergunakan ICT (</w:t>
            </w:r>
            <w:r>
              <w:rPr>
                <w:i/>
                <w:iCs/>
                <w:lang w:val="sv-SE"/>
              </w:rPr>
              <w:t xml:space="preserve">Information and Communication Technology</w:t>
            </w:r>
            <w:r>
              <w:rPr>
                <w:lang w:val="sv-SE"/>
              </w:rPr>
              <w:t xml:space="preserve">) secara efektif untuk menunjang kegiatan belajar.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instalasi dan mempergunakan simulator LTspice untuk simulasi rangkaian dasar elektronika</w:t>
            </w:r>
            <w:r>
              <w:rPr>
                <w:lang w:val="en-US"/>
              </w:rPr>
              <w:t xml:space="preserve"> daya</w:t>
            </w:r>
            <w:r>
              <w:rPr>
                <w:lang w:val="sv-SE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Ketepatan mahasiswa untuk mampu melakukan instalasi dan mempergunakan simulator LTspice untuk simulasi rangkaian dasar elektronika daya.</w:t>
            </w:r>
            <w:r/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menyebutkan jenis-jenis diode, menjelaskan karakteristiknya dan membuat  simulasi rangkaian dasar diode.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lang w:val="sv-SE"/>
              </w:rPr>
              <w:t xml:space="preserve">- Ketepatan dalam membedakan tipe-tipe diode.</w:t>
            </w:r>
            <w:r>
              <w:rPr>
                <w:lang w:val="sv-SE"/>
              </w:rPr>
            </w:r>
            <w:r/>
          </w:p>
          <w:p>
            <w:pPr>
              <w:pBdr/>
              <w:spacing/>
              <w:ind/>
              <w:jc w:val="left"/>
              <w:rPr/>
            </w:pPr>
            <w:r>
              <w:rPr>
                <w:lang w:val="sv-SE"/>
              </w:rPr>
              <w:t xml:space="preserve">- Ketepatan dalam membandingkan diode dengan sakelar ideal.</w:t>
            </w:r>
            <w:r>
              <w:rPr>
                <w:lang w:val="sv-SE"/>
              </w:rPr>
            </w:r>
            <w:r/>
          </w:p>
          <w:p>
            <w:pPr>
              <w:pBdr/>
              <w:spacing/>
              <w:ind/>
              <w:jc w:val="left"/>
              <w:rPr/>
            </w:pPr>
            <w:r>
              <w:rPr>
                <w:lang w:val="sv-SE"/>
              </w:rPr>
              <w:t xml:space="preserve">- Ketepatan dalam penggunaan model diode di LTspice.</w:t>
            </w:r>
            <w:r>
              <w:rPr>
                <w:lang w:val="sv-SE"/>
              </w:rPr>
            </w:r>
            <w:r/>
          </w:p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-Kecepatan mambuat simulasi rangkian dasar diode dengan tepat. 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Quiz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perhitungan daya dengan bantuan perangkat lunak.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membuat simulasi dan perhitungan daya berdasarkan bentuk gelombang listrik.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Mahasiswa mampu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membandingkan, membedakan, menjelaskan, menghitung, membuat simulasi, menganalisis, dan mengevaluasi rangkaian baku penyearah satu fase dan tiga fase gelombang penuh tanpa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membandingkan, membedakan, menjelaskan, menghitung, membuat simulasi, dan menganalisis rangkaian baku penyearah satu fase dan tiga fase gelombang penuh tanpa pengendali.</w:t>
            </w:r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menghitung, melakukan simulasi, dan menganalisis rangkaian sakelar elektronik menggunakan SCR dan rangkaian baku penyearah satu fase dan tiga fase dengan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melakukan simulasi, dan menganalisis rangkaian dengan komponen SCR.</w:t>
            </w:r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4,2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melakukan simulasi, dan menganalisis rangkaian TRIAC sebagai sakelar elektronik.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melakukan simulasi, dan menganalisis rangkaian TRIAC. </w:t>
            </w:r>
            <w:r/>
          </w:p>
          <w:p>
            <w:pPr>
              <w:pBdr/>
              <w:spacing/>
              <w:ind/>
              <w:jc w:val="left"/>
              <w:rPr/>
            </w:pPr>
            <w:r>
              <w:t xml:space="preserve">- Ketepatan dalam menjelaskan SSR dan penerapannya.</w:t>
            </w:r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UTS mencakup materi minggu 1–7</w:t>
            </w:r>
            <w:r>
              <w:rPr>
                <w:lang w:val="en-US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30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pembelajaran.</w:t>
            </w:r>
            <w:r/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45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Kehadiran</w:t>
            </w:r>
            <w:r/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Kehadiran di kelas saat perkuliahan.</w:t>
            </w:r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Presensi</w:t>
            </w:r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</w:tr>
      <w:tr>
        <w:trPr/>
        <w:tc>
          <w:tcPr>
            <w:gridSpan w:val="4"/>
            <w:tcBorders/>
            <w:tcW w:w="859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Total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Style w:val="976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Rubik Penilaian Kehadiran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en-US"/>
        </w:rPr>
        <w:t xml:space="preserve"> Sunu Pradana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Jumlah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 sampai Minggu 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>
        <w:rPr>
          <w:rFonts w:eastAsiaTheme="minorEastAsia"/>
          <w:szCs w:val="24"/>
          <w:lang w:val="sv-SE"/>
        </w:rPr>
      </w:r>
      <w:r>
        <w:rPr>
          <w:rFonts w:eastAsiaTheme="minorEastAsia"/>
          <w:highlight w:val="none"/>
        </w:rPr>
      </w:r>
    </w:p>
    <w:p>
      <w:pPr>
        <w:pBdr/>
        <w:shd w:val="nil"/>
        <w:spacing/>
        <w:ind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br w:type="page" w:clear="all"/>
      </w:r>
      <w:r>
        <w:rPr>
          <w:rFonts w:eastAsiaTheme="minorEastAsia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Cs w:val="24"/>
          <w:lang w:val="en-US"/>
        </w:rPr>
        <w:t xml:space="preserve">Dokumen</w:t>
      </w:r>
      <w:r>
        <w:rPr>
          <w:rFonts w:eastAsiaTheme="minorEastAsia"/>
          <w:lang w:val="sv-SE"/>
        </w:rPr>
      </w:r>
      <w:r>
        <w:rPr>
          <w:rFonts w:eastAsiaTheme="minorEastAsia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eastAsiaTheme="minorEastAsia"/>
          <w:lang w:val="sv-SE"/>
        </w:rPr>
      </w:r>
      <w:r>
        <w:rPr>
          <w:rFonts w:eastAsiaTheme="minorEastAsia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53"/>
        <w:gridCol w:w="2401"/>
        <w:gridCol w:w="2418"/>
        <w:gridCol w:w="1701"/>
        <w:gridCol w:w="1587"/>
      </w:tblGrid>
      <w:tr>
        <w:trPr>
          <w:trHeight w:val="904"/>
        </w:trPr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Kriteria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4 </w:t>
              <w:br/>
              <w:t xml:space="preserve">Sangat 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3 </w:t>
              <w:br/>
              <w:t xml:space="preserve">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2</w:t>
              <w:br/>
              <w:t xml:space="preserve">Cukup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1 Kurang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Kerapian </w:t>
              <w:br/>
              <w:t xml:space="preserve">&amp; Tata Tulis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Struktur rapi &amp; konsisten: penomoran gambar/tabel, margin &amp; spasi konsisten, ejaan baik.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Umumnya rapi; Ada 1–2 ketidaktepatan minor.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bagian tidak konsisten; struktur kurang jelas.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Berantakan; sulit diikuti; banyak salah ejaan; tanpa struktur.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Ketepatan Jawaban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Konsep/istilah tepati; contoh/perhitungan/</w:t>
              <w:br/>
              <w:t xml:space="preserve">simulasi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seluruhnya tepat; </w:t>
              <w:br/>
              <w:t xml:space="preserve">kekeliruan minor tidak mengubah makna.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kesalahan konsep/istilah; contoh kurang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Dominan keliru/miskonsepsi; contoh/perhitungan banyak salah.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Jawaban dan pembahasan meliputi seluruh aspek dari pertanyaan/tugas.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semua aspek tercakup; ada 1 aspek minor terlewat/dangkal.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 parsial; 2–3 aspek inti terlewat.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Sangat sempit; sebagian besar aspek inti terlewat.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Kedalaman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Alur logis; alasan why/how jelas; analisis perbandingan/</w:t>
              <w:br/>
              <w:t xml:space="preserve">trade-off.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analisis &amp; alasan; belum konsisten di semua bagian; contoh cukup.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Lebih deskriptif daripada analitis; argumen tipis; contoh minim.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Hanya menyebut ulang; tanpa analisis atau argumen.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Rujukan</w:t>
            </w:r>
            <w:r/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/</w:t>
              <w:br/>
            </w: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Referensi yang Benar</w:t>
            </w:r>
            <w:r/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Terdapat ≥3 referensi yang dirujuk dan dicantumkan dengan benar. Bisa diakses saat penilaian.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sitasi &amp; daftar pustaka; 1 kekurangan minor.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Referensi terbatas/tidak konsisten; beberapa entri tidak lengkap.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tanpa rujukan; format salah; sumber tidak kredibel.</w:t>
            </w:r>
            <w:r/>
            <w:r/>
          </w:p>
        </w:tc>
      </w:tr>
    </w:tbl>
    <w:p>
      <w:pPr>
        <w:pBdr/>
        <w:spacing/>
        <w:ind/>
        <w:jc w:val="center"/>
        <w:rPr>
          <w:rFonts w:eastAsiaTheme="minorEastAsia"/>
          <w:lang w:val="sv-SE"/>
        </w:rPr>
      </w:pPr>
      <w:r>
        <w:rPr>
          <w:highlight w:val="none"/>
          <w:lang w:val="sv-SE"/>
        </w:rPr>
      </w:r>
      <w:r>
        <w:rPr>
          <w:highlight w:val="none"/>
          <w:lang w:val="sv-SE"/>
        </w:rPr>
      </w:r>
      <w:r>
        <w:rPr>
          <w:rFonts w:eastAsiaTheme="minorEastAsia"/>
          <w:lang w:val="sv-SE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Cs w:val="24"/>
          <w:lang w:val="en-US"/>
        </w:rPr>
        <w:t xml:space="preserve">Simulasi</w:t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2643"/>
        <w:gridCol w:w="2268"/>
        <w:gridCol w:w="2693"/>
      </w:tblGrid>
      <w:tr>
        <w:trPr>
          <w:trHeight w:val="65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Kriteria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Baik (3)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Cukup (2)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Kurang (1)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Kerapian &amp; Organisasi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Sangat rapi, kelompok fungsi jelas.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Layout cukup rapi,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Skematik berantakan, banyak crossing &amp; label tidak terbaca.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Ketepatan Tipe/Model Komponen &amp; Nilai Komponen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Semua tipe/nilai/polaritas dan include model tepat &amp; terdokumentasi.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Sebagian besar benar, 1–2 kesalahan minor.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Banyak nilai/model salah atau subckt hilang; polaritas 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Konfigurasi Simulasi &amp; Penggunaan Directive LTspice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Semua directive sesuai tujuan dan teroptimasi.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Tipe simulasi benar; beberapa parameter (tstop, timestep, .meas) kurang tepat.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Tidak ada/tipe simulasi salah; directive penting hilang/keliru.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Keberhasilan Eksekusi &amp; Validitas Hasil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 berjalan bersih tanpa error fatal; waveform/hasil relevan &amp; konsisten.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 selesai dengan warning; output tersedia namun perlu verifikasi.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File tidak bisa dijalankan atau output tidak dapat digunakan (error fatal).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Anotasi &amp; Dokumentasi di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Dokumentasi lengkap (nama, NIM, tujuan, instruksi run, asumsi).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Ada dokumentasi dasar (nama, tugas), instruksi/asumsi kurang lengkap.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Tidak ada/nyaris tidak ada komentar, nama, atau instruksi.</w:t>
            </w:r>
            <w:r/>
            <w:r/>
          </w:p>
        </w:tc>
      </w:tr>
    </w:tbl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>
        <w:rPr>
          <w:rFonts w:eastAsiaTheme="minorEastAsia"/>
          <w:szCs w:val="24"/>
          <w:lang w:val="sv-SE"/>
        </w:rPr>
      </w:r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8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988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  <w:r>
        <w:rPr>
          <w:lang w:val="it-IT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991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1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992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2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0">
    <w:name w:val="Table Grid Light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Heading 3"/>
    <w:basedOn w:val="974"/>
    <w:next w:val="974"/>
    <w:link w:val="9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26">
    <w:name w:val="Heading 4"/>
    <w:basedOn w:val="974"/>
    <w:next w:val="974"/>
    <w:link w:val="9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27">
    <w:name w:val="Heading 5"/>
    <w:basedOn w:val="974"/>
    <w:next w:val="974"/>
    <w:link w:val="9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8">
    <w:name w:val="Heading 6"/>
    <w:basedOn w:val="974"/>
    <w:next w:val="974"/>
    <w:link w:val="9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9">
    <w:name w:val="Heading 7"/>
    <w:basedOn w:val="974"/>
    <w:next w:val="974"/>
    <w:link w:val="9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0">
    <w:name w:val="Heading 8"/>
    <w:basedOn w:val="974"/>
    <w:next w:val="974"/>
    <w:link w:val="9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1">
    <w:name w:val="Heading 9"/>
    <w:basedOn w:val="974"/>
    <w:next w:val="974"/>
    <w:link w:val="9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2">
    <w:name w:val="Heading 3 Char"/>
    <w:basedOn w:val="977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3">
    <w:name w:val="Heading 4 Char"/>
    <w:basedOn w:val="977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4">
    <w:name w:val="Heading 5 Char"/>
    <w:basedOn w:val="977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5">
    <w:name w:val="Heading 6 Char"/>
    <w:basedOn w:val="977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6">
    <w:name w:val="Heading 7 Char"/>
    <w:basedOn w:val="977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7">
    <w:name w:val="Heading 8 Char"/>
    <w:basedOn w:val="977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9 Char"/>
    <w:basedOn w:val="977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9">
    <w:name w:val="Title"/>
    <w:basedOn w:val="974"/>
    <w:next w:val="974"/>
    <w:link w:val="9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0">
    <w:name w:val="Title Char"/>
    <w:basedOn w:val="977"/>
    <w:link w:val="9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1">
    <w:name w:val="Subtitle"/>
    <w:basedOn w:val="974"/>
    <w:next w:val="974"/>
    <w:link w:val="9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2">
    <w:name w:val="Subtitle Char"/>
    <w:basedOn w:val="977"/>
    <w:link w:val="9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3">
    <w:name w:val="Quote"/>
    <w:basedOn w:val="974"/>
    <w:next w:val="974"/>
    <w:link w:val="9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4">
    <w:name w:val="Quote Char"/>
    <w:basedOn w:val="977"/>
    <w:link w:val="94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5">
    <w:name w:val="Intense Emphasis"/>
    <w:basedOn w:val="9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6">
    <w:name w:val="Intense Quote"/>
    <w:basedOn w:val="974"/>
    <w:next w:val="974"/>
    <w:link w:val="9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7">
    <w:name w:val="Intense Quote Char"/>
    <w:basedOn w:val="977"/>
    <w:link w:val="9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8">
    <w:name w:val="Intense Reference"/>
    <w:basedOn w:val="9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9">
    <w:name w:val="No Spacing"/>
    <w:basedOn w:val="974"/>
    <w:uiPriority w:val="1"/>
    <w:qFormat/>
    <w:pPr>
      <w:pBdr/>
      <w:spacing w:after="0" w:line="240" w:lineRule="auto"/>
      <w:ind/>
    </w:pPr>
  </w:style>
  <w:style w:type="character" w:styleId="950">
    <w:name w:val="Subtle Emphasis"/>
    <w:basedOn w:val="9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Emphasis"/>
    <w:basedOn w:val="977"/>
    <w:uiPriority w:val="20"/>
    <w:qFormat/>
    <w:pPr>
      <w:pBdr/>
      <w:spacing/>
      <w:ind/>
    </w:pPr>
    <w:rPr>
      <w:i/>
      <w:iCs/>
    </w:rPr>
  </w:style>
  <w:style w:type="character" w:styleId="952">
    <w:name w:val="Strong"/>
    <w:basedOn w:val="977"/>
    <w:uiPriority w:val="22"/>
    <w:qFormat/>
    <w:pPr>
      <w:pBdr/>
      <w:spacing/>
      <w:ind/>
    </w:pPr>
    <w:rPr>
      <w:b/>
      <w:bCs/>
    </w:rPr>
  </w:style>
  <w:style w:type="character" w:styleId="953">
    <w:name w:val="Subtle Reference"/>
    <w:basedOn w:val="9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4">
    <w:name w:val="Book Title"/>
    <w:basedOn w:val="9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5">
    <w:name w:val="Caption"/>
    <w:basedOn w:val="974"/>
    <w:next w:val="9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6">
    <w:name w:val="footnote text"/>
    <w:basedOn w:val="974"/>
    <w:link w:val="9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7">
    <w:name w:val="Footnote Text Char"/>
    <w:basedOn w:val="977"/>
    <w:link w:val="956"/>
    <w:uiPriority w:val="99"/>
    <w:semiHidden/>
    <w:pPr>
      <w:pBdr/>
      <w:spacing/>
      <w:ind/>
    </w:pPr>
    <w:rPr>
      <w:sz w:val="20"/>
      <w:szCs w:val="20"/>
    </w:rPr>
  </w:style>
  <w:style w:type="character" w:styleId="958">
    <w:name w:val="foot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endnote text"/>
    <w:basedOn w:val="974"/>
    <w:link w:val="9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0">
    <w:name w:val="Endnote Text Char"/>
    <w:basedOn w:val="977"/>
    <w:link w:val="959"/>
    <w:uiPriority w:val="99"/>
    <w:semiHidden/>
    <w:pPr>
      <w:pBdr/>
      <w:spacing/>
      <w:ind/>
    </w:pPr>
    <w:rPr>
      <w:sz w:val="20"/>
      <w:szCs w:val="20"/>
    </w:rPr>
  </w:style>
  <w:style w:type="character" w:styleId="961">
    <w:name w:val="end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character" w:styleId="962">
    <w:name w:val="FollowedHyperlink"/>
    <w:basedOn w:val="9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3">
    <w:name w:val="toc 1"/>
    <w:basedOn w:val="974"/>
    <w:next w:val="974"/>
    <w:uiPriority w:val="39"/>
    <w:unhideWhenUsed/>
    <w:pPr>
      <w:pBdr/>
      <w:spacing w:after="100"/>
      <w:ind/>
    </w:pPr>
  </w:style>
  <w:style w:type="paragraph" w:styleId="964">
    <w:name w:val="toc 2"/>
    <w:basedOn w:val="974"/>
    <w:next w:val="974"/>
    <w:uiPriority w:val="39"/>
    <w:unhideWhenUsed/>
    <w:pPr>
      <w:pBdr/>
      <w:spacing w:after="100"/>
      <w:ind w:left="220"/>
    </w:pPr>
  </w:style>
  <w:style w:type="paragraph" w:styleId="965">
    <w:name w:val="toc 3"/>
    <w:basedOn w:val="974"/>
    <w:next w:val="974"/>
    <w:uiPriority w:val="39"/>
    <w:unhideWhenUsed/>
    <w:pPr>
      <w:pBdr/>
      <w:spacing w:after="100"/>
      <w:ind w:left="440"/>
    </w:pPr>
  </w:style>
  <w:style w:type="paragraph" w:styleId="966">
    <w:name w:val="toc 4"/>
    <w:basedOn w:val="974"/>
    <w:next w:val="974"/>
    <w:uiPriority w:val="39"/>
    <w:unhideWhenUsed/>
    <w:pPr>
      <w:pBdr/>
      <w:spacing w:after="100"/>
      <w:ind w:left="660"/>
    </w:pPr>
  </w:style>
  <w:style w:type="paragraph" w:styleId="967">
    <w:name w:val="toc 5"/>
    <w:basedOn w:val="974"/>
    <w:next w:val="974"/>
    <w:uiPriority w:val="39"/>
    <w:unhideWhenUsed/>
    <w:pPr>
      <w:pBdr/>
      <w:spacing w:after="100"/>
      <w:ind w:left="880"/>
    </w:pPr>
  </w:style>
  <w:style w:type="paragraph" w:styleId="968">
    <w:name w:val="toc 6"/>
    <w:basedOn w:val="974"/>
    <w:next w:val="974"/>
    <w:uiPriority w:val="39"/>
    <w:unhideWhenUsed/>
    <w:pPr>
      <w:pBdr/>
      <w:spacing w:after="100"/>
      <w:ind w:left="1100"/>
    </w:pPr>
  </w:style>
  <w:style w:type="paragraph" w:styleId="969">
    <w:name w:val="toc 7"/>
    <w:basedOn w:val="974"/>
    <w:next w:val="974"/>
    <w:uiPriority w:val="39"/>
    <w:unhideWhenUsed/>
    <w:pPr>
      <w:pBdr/>
      <w:spacing w:after="100"/>
      <w:ind w:left="1320"/>
    </w:pPr>
  </w:style>
  <w:style w:type="paragraph" w:styleId="970">
    <w:name w:val="toc 8"/>
    <w:basedOn w:val="974"/>
    <w:next w:val="974"/>
    <w:uiPriority w:val="39"/>
    <w:unhideWhenUsed/>
    <w:pPr>
      <w:pBdr/>
      <w:spacing w:after="100"/>
      <w:ind w:left="1540"/>
    </w:pPr>
  </w:style>
  <w:style w:type="paragraph" w:styleId="971">
    <w:name w:val="toc 9"/>
    <w:basedOn w:val="974"/>
    <w:next w:val="974"/>
    <w:uiPriority w:val="39"/>
    <w:unhideWhenUsed/>
    <w:pPr>
      <w:pBdr/>
      <w:spacing w:after="100"/>
      <w:ind w:left="1760"/>
    </w:pPr>
  </w:style>
  <w:style w:type="paragraph" w:styleId="972">
    <w:name w:val="TOC Heading"/>
    <w:uiPriority w:val="39"/>
    <w:unhideWhenUsed/>
    <w:pPr>
      <w:pBdr/>
      <w:spacing/>
      <w:ind/>
    </w:pPr>
  </w:style>
  <w:style w:type="paragraph" w:styleId="973">
    <w:name w:val="table of figures"/>
    <w:basedOn w:val="974"/>
    <w:next w:val="974"/>
    <w:uiPriority w:val="99"/>
    <w:unhideWhenUsed/>
    <w:pPr>
      <w:pBdr/>
      <w:spacing w:after="0" w:afterAutospacing="0"/>
      <w:ind/>
    </w:pPr>
  </w:style>
  <w:style w:type="paragraph" w:styleId="974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975">
    <w:name w:val="Heading 1"/>
    <w:basedOn w:val="974"/>
    <w:next w:val="974"/>
    <w:link w:val="998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976">
    <w:name w:val="Heading 2"/>
    <w:basedOn w:val="974"/>
    <w:next w:val="974"/>
    <w:link w:val="999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977" w:default="1">
    <w:name w:val="Default Paragraph Font"/>
    <w:uiPriority w:val="1"/>
    <w:semiHidden/>
    <w:unhideWhenUsed/>
    <w:pPr>
      <w:pBdr/>
      <w:spacing/>
      <w:ind/>
    </w:pPr>
  </w:style>
  <w:style w:type="table" w:styleId="9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9" w:default="1">
    <w:name w:val="No List"/>
    <w:uiPriority w:val="99"/>
    <w:semiHidden/>
    <w:unhideWhenUsed/>
    <w:pPr>
      <w:pBdr/>
      <w:spacing/>
      <w:ind/>
    </w:pPr>
  </w:style>
  <w:style w:type="table" w:styleId="980">
    <w:name w:val="Table Grid"/>
    <w:basedOn w:val="97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1" w:customStyle="1">
    <w:name w:val="Colorful List - Accent 11"/>
    <w:basedOn w:val="974"/>
    <w:uiPriority w:val="34"/>
    <w:qFormat/>
    <w:pPr>
      <w:pBdr/>
      <w:spacing/>
      <w:ind w:left="720"/>
    </w:pPr>
  </w:style>
  <w:style w:type="character" w:styleId="982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983" w:customStyle="1">
    <w:name w:val="Style10"/>
    <w:basedOn w:val="974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4" w:customStyle="1">
    <w:name w:val="Style22"/>
    <w:basedOn w:val="974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5" w:customStyle="1">
    <w:name w:val="Style32"/>
    <w:basedOn w:val="974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6">
    <w:name w:val="Header"/>
    <w:basedOn w:val="974"/>
    <w:link w:val="987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987" w:customStyle="1">
    <w:name w:val="Header Char"/>
    <w:link w:val="986"/>
    <w:pPr>
      <w:pBdr/>
      <w:spacing/>
      <w:ind/>
    </w:pPr>
    <w:rPr>
      <w:sz w:val="22"/>
      <w:szCs w:val="22"/>
      <w:lang w:val="id-ID"/>
    </w:rPr>
  </w:style>
  <w:style w:type="paragraph" w:styleId="988">
    <w:name w:val="List Paragraph"/>
    <w:basedOn w:val="974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989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990" w:customStyle="1">
    <w:name w:val="No List1"/>
    <w:next w:val="979"/>
    <w:uiPriority w:val="99"/>
    <w:semiHidden/>
    <w:unhideWhenUsed/>
    <w:pPr>
      <w:pBdr/>
      <w:spacing/>
      <w:ind/>
    </w:pPr>
  </w:style>
  <w:style w:type="numbering" w:styleId="991" w:customStyle="1">
    <w:name w:val="Style2"/>
    <w:uiPriority w:val="99"/>
    <w:pPr>
      <w:numPr>
        <w:numId w:val="7"/>
      </w:numPr>
      <w:pBdr/>
      <w:spacing/>
      <w:ind/>
    </w:pPr>
  </w:style>
  <w:style w:type="numbering" w:styleId="992" w:customStyle="1">
    <w:name w:val="Style3"/>
    <w:uiPriority w:val="99"/>
    <w:pPr>
      <w:numPr>
        <w:numId w:val="8"/>
      </w:numPr>
      <w:pBdr/>
      <w:spacing/>
      <w:ind/>
    </w:pPr>
  </w:style>
  <w:style w:type="paragraph" w:styleId="993" w:customStyle="1">
    <w:name w:val="List Paragraph1"/>
    <w:basedOn w:val="974"/>
    <w:next w:val="988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994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995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996">
    <w:name w:val="Footer"/>
    <w:basedOn w:val="974"/>
    <w:link w:val="99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997" w:customStyle="1">
    <w:name w:val="Footer Char"/>
    <w:link w:val="996"/>
    <w:uiPriority w:val="99"/>
    <w:pPr>
      <w:pBdr/>
      <w:spacing/>
      <w:ind/>
    </w:pPr>
    <w:rPr>
      <w:sz w:val="22"/>
      <w:szCs w:val="22"/>
      <w:lang w:val="en-ID"/>
    </w:rPr>
  </w:style>
  <w:style w:type="character" w:styleId="998" w:customStyle="1">
    <w:name w:val="Heading 1 Char"/>
    <w:basedOn w:val="977"/>
    <w:link w:val="975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999" w:customStyle="1">
    <w:name w:val="Heading 2 Char"/>
    <w:basedOn w:val="977"/>
    <w:link w:val="9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4</cp:revision>
  <dcterms:created xsi:type="dcterms:W3CDTF">2025-07-25T06:35:00Z</dcterms:created>
  <dcterms:modified xsi:type="dcterms:W3CDTF">2025-08-17T05:06:49Z</dcterms:modified>
</cp:coreProperties>
</file>