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14-Juli-2025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mampu: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menyebutkan jenis-jenis diode, menjelaskan perbedaannya dan melakukan simulasi rangkaian dasar diode;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penuh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 dan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SCR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baku penyearah satu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JADUAL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0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1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</w:t>
              </w:r>
              <w:r>
                <w:rPr>
                  <w:rStyle w:val="786"/>
                  <w:spacing w:val="-10"/>
                  <w:lang w:val="sv-SE"/>
                </w:rPr>
                <w:t xml:space="preserve">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2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1-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7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Kemampuan</w:t>
            </w:r>
            <w:r>
              <w:rPr>
                <w:b/>
                <w:bCs/>
              </w:rPr>
              <w:t xml:space="preserve"> Akhir yang </w:t>
            </w:r>
            <w:r>
              <w:rPr>
                <w:b/>
                <w:bCs/>
              </w:rPr>
              <w:t xml:space="preserve">Diharapkan</w:t>
            </w:r>
            <w:r>
              <w:rPr>
                <w:b/>
                <w:bCs/>
              </w:rPr>
              <w:t xml:space="preserve"> (Sub CPMK)</w:t>
            </w:r>
            <w:r>
              <w:rPr>
                <w:b/>
                <w:bCs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sistem bilangan digital dan konversinya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Mampu melakukan konversi antar sistem bilangan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gerbang logika digital dan penggunaannya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Mengidentifikasi dan menyusun rangkaian logika dasar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Menerapkan aljabar Boolean dan Karnaugh Map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Menyederhanakan</w:t>
            </w:r>
            <w:r>
              <w:t xml:space="preserve"> </w:t>
            </w:r>
            <w:r>
              <w:t xml:space="preserve">rangkaian</w:t>
            </w:r>
            <w:r>
              <w:t xml:space="preserve"> digital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dan merancang rangkaian flip-flop, counter, dan register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Merancang dan menganalisis rangkaian sekuensial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prinsip kerja multivibrator dan timer (IC 555)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Membuat dan menjelaskan rangkaian multivibrator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Mengimplementasikan</w:t>
            </w:r>
            <w:r>
              <w:t xml:space="preserve"> </w:t>
            </w:r>
            <w:r>
              <w:t xml:space="preserve">aplikasi</w:t>
            </w:r>
            <w:r>
              <w:t xml:space="preserve"> digital </w:t>
            </w:r>
            <w:r>
              <w:t xml:space="preserve">sederhana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</w:t>
            </w:r>
            <w:r>
              <w:t xml:space="preserve"> dan </w:t>
            </w:r>
            <w:r>
              <w:t xml:space="preserve">realisasi</w:t>
            </w:r>
            <w:r>
              <w:t xml:space="preserve"> encoder, decoder, multiplexer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Melaksanakan simulasi dan evaluasi rangkaian digital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Hasil </w:t>
            </w:r>
            <w:r>
              <w:t xml:space="preserve">simulasi</w:t>
            </w:r>
            <w:r>
              <w:t xml:space="preserve"> dan </w:t>
            </w:r>
            <w:r>
              <w:t xml:space="preserve">laporan</w:t>
            </w:r>
            <w:r>
              <w:t xml:space="preserve"> </w:t>
            </w:r>
            <w:r>
              <w:t xml:space="preserve">evaluasi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Soal UTS mencakup materi minggu 1–7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Soal 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</w:tr>
      <w:tr>
        <w:trPr/>
        <w:tc>
          <w:tcPr>
            <w:gridSpan w:val="4"/>
            <w:tcBorders/>
            <w:tcW w:w="85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elektro.polnes.ac.id/cloud/index.php/s/KZDGktWT2ENjsXA?path=%2FE-Modul" TargetMode="External"/><Relationship Id="rId11" Type="http://schemas.openxmlformats.org/officeDocument/2006/relationships/hyperlink" Target="https://elektro.polnes.ac.id/cloud/index.php/s/KZDGktWT2ENjsXA?path=%2FE-Modul" TargetMode="External"/><Relationship Id="rId12" Type="http://schemas.openxmlformats.org/officeDocument/2006/relationships/hyperlink" Target="https://elektro.polnes.ac.id/cloud/index.php/s/KZDGktWT2ENjsXA?path=%2FE-Modu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2025-08-16T07:31:44Z</dcterms:modified>
</cp:coreProperties>
</file>