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14-Juli-2025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/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mampu: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menyebutkan jenis-jenis diode, menjelaskan perbedaannya dan melakukan simulasi rangkaian dasar diode;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penuh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 dan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tiga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SCR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baku penyearah satu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tiga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JADUAL PEMBELAJARAN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spacing w:val="-10"/>
                <w:lang w:val="sv-SE"/>
              </w:rPr>
            </w:r>
            <w:r/>
            <w:r>
              <w:rPr>
                <w:spacing w:val="-1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Peta ilmu dan metode belajar efektif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untuk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elektronika daya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tepatan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merinci dan menjelaskan tentang bagian-bagian dari ilmu elektronika daya beserta cara mempelajarinya secara efektif dan efisien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instalasi dan mempergunakan simulator LTspice untuk simulasi rangkaian dasar elektronika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Simulasi komponen dan rangkaian elektronika daya menggunakan LTspice.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</w:t>
            </w:r>
            <w:r>
              <w:rPr>
                <w:rFonts w:ascii="Cambria" w:hAnsi="Cambria"/>
                <w:sz w:val="20"/>
                <w:szCs w:val="20"/>
              </w:rPr>
              <w:t xml:space="preserve">ahasis</w:t>
            </w:r>
            <w:r>
              <w:rPr>
                <w:rFonts w:ascii="Cambria" w:hAnsi="Cambria"/>
                <w:sz w:val="20"/>
                <w:szCs w:val="20"/>
              </w:rPr>
              <w:t xml:space="preserve">wa </w:t>
            </w:r>
            <w:r>
              <w:rPr>
                <w:rFonts w:ascii="Cambria" w:hAnsi="Cambria"/>
                <w:sz w:val="20"/>
                <w:szCs w:val="20"/>
              </w:rPr>
              <w:t xml:space="preserve">untuk </w:t>
            </w:r>
            <w:r>
              <w:rPr>
                <w:rFonts w:ascii="Cambria" w:hAnsi="Cambria"/>
                <w:sz w:val="20"/>
                <w:szCs w:val="20"/>
              </w:rPr>
              <w:t xml:space="preserve">mampu melakukan instalasi dan mempergunakan simulator LTspice untuk simulasi rangkaian dasar elektronika</w:t>
            </w:r>
            <w:r>
              <w:rPr>
                <w:rFonts w:ascii="Cambria" w:hAnsi="Cambria"/>
                <w:sz w:val="20"/>
                <w:szCs w:val="20"/>
              </w:rPr>
              <w:t xml:space="preserve">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menyebutkan jenis-jenis diode, menjelaskan perbedaannya dan melakukan simulasi rangkaian dasar diode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381"/>
              </w:tabs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Karakterisik diode dan simulasi rangkaian dasar diode.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membedakan tipe-tipe diode.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</w:t>
            </w:r>
            <w:r>
              <w:rPr>
                <w:rFonts w:ascii="Cambria" w:hAnsi="Cambria"/>
                <w:sz w:val="20"/>
                <w:szCs w:val="20"/>
              </w:rPr>
              <w:t xml:space="preserve">membandingkan diode dengan sakelar ideal.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penggunaan model diode di LTspice.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-Kecepatan melakukan simulasi rangkian dasar diode dengan tepat.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perhitungan daya dengan bantuan perangkat lunak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Komputasi daya menggunakan perangkat lunak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melakukan simulasi dan perhitungan daya berdasark</w:t>
            </w:r>
            <w:r>
              <w:rPr>
                <w:rFonts w:ascii="Cambria" w:hAnsi="Cambria"/>
                <w:sz w:val="20"/>
                <w:szCs w:val="20"/>
              </w:rPr>
              <w:t xml:space="preserve">an bentuk gelombang listrik.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6, 7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menghitung, 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 setengah gelombang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setengah gelombang 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Ketepatan </w:t>
            </w:r>
            <w:r>
              <w:rPr>
                <w:rFonts w:ascii="Cambria" w:hAnsi="Cambria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sz w:val="20"/>
                <w:szCs w:val="20"/>
              </w:rPr>
              <w:t xml:space="preserve">dalam</w:t>
            </w:r>
            <w:r>
              <w:rPr>
                <w:rFonts w:ascii="Cambria" w:hAnsi="Cambria"/>
                <w:sz w:val="20"/>
                <w:szCs w:val="20"/>
              </w:rPr>
              <w:t xml:space="preserve"> 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da</w:t>
            </w:r>
            <w:r>
              <w:rPr>
                <w:rFonts w:ascii="Cambria" w:hAnsi="Cambria"/>
                <w:sz w:val="20"/>
                <w:szCs w:val="20"/>
              </w:rPr>
              <w:t xml:space="preserve">n menganalisis </w:t>
            </w:r>
            <w:r>
              <w:rPr>
                <w:rFonts w:ascii="Cambria" w:hAnsi="Cambria"/>
                <w:sz w:val="20"/>
                <w:szCs w:val="20"/>
              </w:rPr>
              <w:t xml:space="preserve">rangkaian baku penyearah satu fase setengah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gelombang tanpa pengendali</w:t>
            </w:r>
            <w:r>
              <w:rPr>
                <w:rFonts w:ascii="Cambria" w:hAnsi="Cambria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mampu menyelesaikan soal dengan baik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sesuai dengan teori dan simulasi.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UTS berdasarkan materi pertemuan terdahulu.</w:t>
            </w:r>
            <w:r>
              <w:rPr>
                <w:rFonts w:ascii="Cambria" w:hAnsi="Cambria"/>
                <w:bCs/>
                <w:sz w:val="20"/>
                <w:szCs w:val="20"/>
              </w:rPr>
            </w:r>
            <w:r>
              <w:rPr>
                <w:rFonts w:ascii="Cambria" w:hAnsi="Cambria"/>
                <w:b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en-US"/>
              </w:rPr>
              <w:t xml:space="preserve">Membaca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10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0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1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</w:t>
              </w:r>
              <w:r>
                <w:rPr>
                  <w:rStyle w:val="786"/>
                  <w:spacing w:val="-10"/>
                  <w:lang w:val="sv-SE"/>
                </w:rPr>
                <w:t xml:space="preserve">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85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2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782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779"/>
          <w:rFonts w:ascii="Cambria" w:hAnsi="Cambria"/>
          <w:color w:val="auto"/>
        </w:rPr>
      </w:pPr>
      <w:r>
        <w:rPr>
          <w:rStyle w:val="779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.</w:t>
      </w:r>
      <w:r>
        <w:rPr>
          <w:rStyle w:val="779"/>
          <w:rFonts w:ascii="Cambria" w:hAnsi="Cambria"/>
          <w:color w:val="auto"/>
        </w:rPr>
      </w:r>
    </w:p>
    <w:p>
      <w:pPr>
        <w:pStyle w:val="781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.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72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/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773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1-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7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40" w:lineRule="auto"/>
                    <w:ind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</w:r>
                  <w:r>
                    <w:rPr>
                      <w:rFonts w:ascii="Times New Roman" w:hAnsi="Times New Roman"/>
                      <w:szCs w:val="24"/>
                    </w:rPr>
                  </w:r>
                </w:p>
              </w:tc>
            </w:tr>
          </w:tbl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687"/>
        <w:gridCol w:w="3187"/>
        <w:gridCol w:w="3266"/>
        <w:gridCol w:w="1439"/>
        <w:gridCol w:w="771"/>
      </w:tblGrid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Kemampuan</w:t>
            </w:r>
            <w:r>
              <w:rPr>
                <w:b/>
                <w:bCs/>
              </w:rPr>
              <w:t xml:space="preserve"> Akhir yang </w:t>
            </w:r>
            <w:r>
              <w:rPr>
                <w:b/>
                <w:bCs/>
              </w:rPr>
              <w:t xml:space="preserve">Diharapkan</w:t>
            </w:r>
            <w:r>
              <w:rPr>
                <w:b/>
                <w:bCs/>
              </w:rPr>
              <w:t xml:space="preserve"> (Sub CPMK)</w:t>
            </w:r>
            <w:r>
              <w:rPr>
                <w:b/>
                <w:bCs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sistem bilangan digital dan konversinya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Mampu melakukan konversi antar sistem bilangan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gerbang logika digital dan penggunaannya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Mengidentifikasi dan menyusun rangkaian logika dasar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Menerapkan aljabar Boolean dan Karnaugh Map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Menyederhanakan</w:t>
            </w:r>
            <w:r>
              <w:t xml:space="preserve"> </w:t>
            </w:r>
            <w:r>
              <w:t xml:space="preserve">rangkaian</w:t>
            </w:r>
            <w:r>
              <w:t xml:space="preserve"> digital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dan merancang rangkaian flip-flop, counter, dan register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Merancang dan menganalisis rangkaian sekuensial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prinsip kerja multivibrator dan timer (IC 555)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Membuat dan menjelaskan rangkaian multivibrator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Mengimplementasikan</w:t>
            </w:r>
            <w:r>
              <w:t xml:space="preserve"> </w:t>
            </w:r>
            <w:r>
              <w:t xml:space="preserve">aplikasi</w:t>
            </w:r>
            <w:r>
              <w:t xml:space="preserve"> digital </w:t>
            </w:r>
            <w:r>
              <w:t xml:space="preserve">sederhana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Simulasi</w:t>
            </w:r>
            <w:r>
              <w:t xml:space="preserve"> dan </w:t>
            </w:r>
            <w:r>
              <w:t xml:space="preserve">realisasi</w:t>
            </w:r>
            <w:r>
              <w:t xml:space="preserve"> encoder, decoder, multiplexer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Melaksanakan simulasi dan evaluasi rangkaian digital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Hasil </w:t>
            </w:r>
            <w:r>
              <w:t xml:space="preserve">simulasi</w:t>
            </w:r>
            <w:r>
              <w:t xml:space="preserve"> dan </w:t>
            </w:r>
            <w:r>
              <w:t xml:space="preserve">laporan</w:t>
            </w:r>
            <w:r>
              <w:t xml:space="preserve"> </w:t>
            </w:r>
            <w:r>
              <w:t xml:space="preserve">evaluasi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Soal UTS mencakup materi minggu 1–7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Soal 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</w:t>
            </w:r>
            <w:r/>
          </w:p>
        </w:tc>
      </w:tr>
      <w:tr>
        <w:trPr/>
        <w:tc>
          <w:tcPr>
            <w:gridSpan w:val="4"/>
            <w:tcBorders/>
            <w:tcW w:w="85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Total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Style w:val="773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Kehadiran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di mana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1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2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3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4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5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Quiz</w:t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 xml:space="preserve">: </w:t>
      </w:r>
      <w:r>
        <w:rPr>
          <w:rFonts w:ascii="Times New Roman" w:hAnsi="Times New Roman"/>
          <w:b/>
          <w:bCs/>
          <w:szCs w:val="24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mampu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mengerjakan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soal-soal</w:t>
      </w:r>
      <w:r>
        <w:rPr>
          <w:rFonts w:ascii="Times New Roman" w:hAnsi="Times New Roman"/>
          <w:b/>
          <w:bCs/>
          <w:szCs w:val="24"/>
        </w:rPr>
        <w:t xml:space="preserve"> quiz 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</w:rPr>
        <w:t xml:space="preserve">Mhss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x100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Rubick Penilaian Presentasi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Kesusaian materi (20%)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(15%)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(40%)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(5%)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UTS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 xml:space="preserve">Mahasiswa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mampu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mengerjakan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soal-soal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Tengah Semester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 xml:space="preserve">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  <w:t xml:space="preserve">Mahasiswa mampu mengerjakan soal-soal U</w:t>
      </w:r>
      <w:r>
        <w:rPr>
          <w:b/>
          <w:bCs/>
          <w:szCs w:val="24"/>
          <w:lang w:val="sv-SE"/>
        </w:rPr>
        <w:t xml:space="preserve">jian Akhir Semester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785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788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8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789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9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71"/>
    <w:next w:val="77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1"/>
    <w:next w:val="77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1"/>
    <w:next w:val="7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1"/>
    <w:next w:val="77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1"/>
    <w:next w:val="7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1"/>
    <w:next w:val="7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1"/>
    <w:next w:val="7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7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1"/>
    <w:next w:val="77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1"/>
    <w:next w:val="77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1"/>
    <w:next w:val="7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1"/>
    <w:next w:val="7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71"/>
    <w:next w:val="7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1"/>
    <w:next w:val="771"/>
    <w:uiPriority w:val="39"/>
    <w:unhideWhenUsed/>
    <w:pPr>
      <w:pBdr/>
      <w:spacing w:after="100"/>
      <w:ind/>
    </w:pPr>
  </w:style>
  <w:style w:type="paragraph" w:styleId="189">
    <w:name w:val="toc 2"/>
    <w:basedOn w:val="771"/>
    <w:next w:val="771"/>
    <w:uiPriority w:val="39"/>
    <w:unhideWhenUsed/>
    <w:pPr>
      <w:pBdr/>
      <w:spacing w:after="100"/>
      <w:ind w:left="220"/>
    </w:pPr>
  </w:style>
  <w:style w:type="paragraph" w:styleId="190">
    <w:name w:val="toc 3"/>
    <w:basedOn w:val="771"/>
    <w:next w:val="771"/>
    <w:uiPriority w:val="39"/>
    <w:unhideWhenUsed/>
    <w:pPr>
      <w:pBdr/>
      <w:spacing w:after="100"/>
      <w:ind w:left="440"/>
    </w:pPr>
  </w:style>
  <w:style w:type="paragraph" w:styleId="191">
    <w:name w:val="toc 4"/>
    <w:basedOn w:val="771"/>
    <w:next w:val="771"/>
    <w:uiPriority w:val="39"/>
    <w:unhideWhenUsed/>
    <w:pPr>
      <w:pBdr/>
      <w:spacing w:after="100"/>
      <w:ind w:left="660"/>
    </w:pPr>
  </w:style>
  <w:style w:type="paragraph" w:styleId="192">
    <w:name w:val="toc 5"/>
    <w:basedOn w:val="771"/>
    <w:next w:val="771"/>
    <w:uiPriority w:val="39"/>
    <w:unhideWhenUsed/>
    <w:pPr>
      <w:pBdr/>
      <w:spacing w:after="100"/>
      <w:ind w:left="880"/>
    </w:pPr>
  </w:style>
  <w:style w:type="paragraph" w:styleId="193">
    <w:name w:val="toc 6"/>
    <w:basedOn w:val="771"/>
    <w:next w:val="771"/>
    <w:uiPriority w:val="39"/>
    <w:unhideWhenUsed/>
    <w:pPr>
      <w:pBdr/>
      <w:spacing w:after="100"/>
      <w:ind w:left="1100"/>
    </w:pPr>
  </w:style>
  <w:style w:type="paragraph" w:styleId="194">
    <w:name w:val="toc 7"/>
    <w:basedOn w:val="771"/>
    <w:next w:val="771"/>
    <w:uiPriority w:val="39"/>
    <w:unhideWhenUsed/>
    <w:pPr>
      <w:pBdr/>
      <w:spacing w:after="100"/>
      <w:ind w:left="1320"/>
    </w:pPr>
  </w:style>
  <w:style w:type="paragraph" w:styleId="195">
    <w:name w:val="toc 8"/>
    <w:basedOn w:val="771"/>
    <w:next w:val="771"/>
    <w:uiPriority w:val="39"/>
    <w:unhideWhenUsed/>
    <w:pPr>
      <w:pBdr/>
      <w:spacing w:after="100"/>
      <w:ind w:left="1540"/>
    </w:pPr>
  </w:style>
  <w:style w:type="paragraph" w:styleId="196">
    <w:name w:val="toc 9"/>
    <w:basedOn w:val="771"/>
    <w:next w:val="77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772">
    <w:name w:val="Heading 1"/>
    <w:basedOn w:val="771"/>
    <w:next w:val="771"/>
    <w:link w:val="795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773">
    <w:name w:val="Heading 2"/>
    <w:basedOn w:val="771"/>
    <w:next w:val="771"/>
    <w:link w:val="796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774" w:default="1">
    <w:name w:val="Default Paragraph Font"/>
    <w:uiPriority w:val="1"/>
    <w:semiHidden/>
    <w:unhideWhenUsed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6" w:default="1">
    <w:name w:val="No List"/>
    <w:uiPriority w:val="99"/>
    <w:semiHidden/>
    <w:unhideWhenUsed/>
    <w:pPr>
      <w:pBdr/>
      <w:spacing/>
      <w:ind/>
    </w:pPr>
  </w:style>
  <w:style w:type="table" w:styleId="777">
    <w:name w:val="Table Grid"/>
    <w:basedOn w:val="7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 w:customStyle="1">
    <w:name w:val="Colorful List - Accent 11"/>
    <w:basedOn w:val="771"/>
    <w:uiPriority w:val="34"/>
    <w:qFormat/>
    <w:pPr>
      <w:pBdr/>
      <w:spacing/>
      <w:ind w:left="720"/>
    </w:pPr>
  </w:style>
  <w:style w:type="character" w:styleId="779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780" w:customStyle="1">
    <w:name w:val="Style10"/>
    <w:basedOn w:val="771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1" w:customStyle="1">
    <w:name w:val="Style22"/>
    <w:basedOn w:val="771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2" w:customStyle="1">
    <w:name w:val="Style32"/>
    <w:basedOn w:val="771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3">
    <w:name w:val="Header"/>
    <w:basedOn w:val="771"/>
    <w:link w:val="784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784" w:customStyle="1">
    <w:name w:val="Header Char"/>
    <w:link w:val="783"/>
    <w:pPr>
      <w:pBdr/>
      <w:spacing/>
      <w:ind/>
    </w:pPr>
    <w:rPr>
      <w:sz w:val="22"/>
      <w:szCs w:val="22"/>
      <w:lang w:val="id-ID"/>
    </w:rPr>
  </w:style>
  <w:style w:type="paragraph" w:styleId="785">
    <w:name w:val="List Paragraph"/>
    <w:basedOn w:val="771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786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787" w:customStyle="1">
    <w:name w:val="No List1"/>
    <w:next w:val="776"/>
    <w:uiPriority w:val="99"/>
    <w:semiHidden/>
    <w:unhideWhenUsed/>
    <w:pPr>
      <w:pBdr/>
      <w:spacing/>
      <w:ind/>
    </w:pPr>
  </w:style>
  <w:style w:type="numbering" w:styleId="788" w:customStyle="1">
    <w:name w:val="Style2"/>
    <w:uiPriority w:val="99"/>
    <w:pPr>
      <w:numPr>
        <w:numId w:val="7"/>
      </w:numPr>
      <w:pBdr/>
      <w:spacing/>
      <w:ind/>
    </w:pPr>
  </w:style>
  <w:style w:type="numbering" w:styleId="789" w:customStyle="1">
    <w:name w:val="Style3"/>
    <w:uiPriority w:val="99"/>
    <w:pPr>
      <w:numPr>
        <w:numId w:val="8"/>
      </w:numPr>
      <w:pBdr/>
      <w:spacing/>
      <w:ind/>
    </w:pPr>
  </w:style>
  <w:style w:type="paragraph" w:styleId="790" w:customStyle="1">
    <w:name w:val="List Paragraph1"/>
    <w:basedOn w:val="771"/>
    <w:next w:val="785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791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792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793">
    <w:name w:val="Footer"/>
    <w:basedOn w:val="771"/>
    <w:link w:val="79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794" w:customStyle="1">
    <w:name w:val="Footer Char"/>
    <w:link w:val="793"/>
    <w:uiPriority w:val="99"/>
    <w:pPr>
      <w:pBdr/>
      <w:spacing/>
      <w:ind/>
    </w:pPr>
    <w:rPr>
      <w:sz w:val="22"/>
      <w:szCs w:val="22"/>
      <w:lang w:val="en-ID"/>
    </w:rPr>
  </w:style>
  <w:style w:type="character" w:styleId="795" w:customStyle="1">
    <w:name w:val="Heading 1 Char"/>
    <w:basedOn w:val="774"/>
    <w:link w:val="772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796" w:customStyle="1">
    <w:name w:val="Heading 2 Char"/>
    <w:basedOn w:val="774"/>
    <w:link w:val="773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elektro.polnes.ac.id/cloud/index.php/s/KZDGktWT2ENjsXA?path=%2FE-Modul" TargetMode="External"/><Relationship Id="rId11" Type="http://schemas.openxmlformats.org/officeDocument/2006/relationships/hyperlink" Target="https://elektro.polnes.ac.id/cloud/index.php/s/KZDGktWT2ENjsXA?path=%2FE-Modul" TargetMode="External"/><Relationship Id="rId12" Type="http://schemas.openxmlformats.org/officeDocument/2006/relationships/hyperlink" Target="https://elektro.polnes.ac.id/cloud/index.php/s/KZDGktWT2ENjsXA?path=%2FE-Modu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3</cp:revision>
  <dcterms:created xsi:type="dcterms:W3CDTF">2025-07-25T06:35:00Z</dcterms:created>
  <dcterms:modified xsi:type="dcterms:W3CDTF">2025-08-16T08:54:43Z</dcterms:modified>
</cp:coreProperties>
</file>