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JADWAL PEMBELAJARAN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membuat </w:t>
            </w: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  <w:br/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985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982"/>
          <w:rFonts w:ascii="Cambria" w:hAnsi="Cambria"/>
          <w:color w:val="auto"/>
        </w:rPr>
      </w:pPr>
      <w:r>
        <w:rPr>
          <w:rStyle w:val="982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.</w:t>
      </w:r>
      <w:r>
        <w:rPr>
          <w:rStyle w:val="982"/>
          <w:rFonts w:ascii="Cambria" w:hAnsi="Cambria"/>
          <w:color w:val="auto"/>
        </w:rPr>
      </w:r>
      <w:r>
        <w:rPr>
          <w:rStyle w:val="982"/>
          <w:rFonts w:ascii="Cambria" w:hAnsi="Cambria"/>
          <w:color w:val="auto"/>
        </w:rPr>
      </w:r>
    </w:p>
    <w:p>
      <w:pPr>
        <w:pStyle w:val="984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  <w:r>
        <w:rPr>
          <w:rFonts w:ascii="Cambria" w:hAnsi="Cambria" w:cs="Times New Roman"/>
          <w:lang w:val="es-ES" w:eastAsia="en-U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.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Style w:val="975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Elektro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nika Daya I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  <w:t xml:space="preserve">PLT42527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Sunu Pradana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976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dan/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highlight w:val="none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  <w:r>
              <w:rPr>
                <w:rFonts w:ascii="Times New Roman" w:hAnsi="Times New Roman"/>
                <w:vanish/>
                <w:highlight w:val="none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3427"/>
        <w:gridCol w:w="3235"/>
        <w:gridCol w:w="1276"/>
        <w:gridCol w:w="879"/>
      </w:tblGrid>
      <w:tr>
        <w:trPr>
          <w:trHeight w:val="544"/>
        </w:trPr>
        <w:tc>
          <w:tcPr>
            <w:tcBorders/>
            <w:tcW w:w="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42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87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mempergunakan ICT (</w:t>
            </w:r>
            <w:r>
              <w:rPr>
                <w:i/>
                <w:iCs/>
                <w:lang w:val="sv-SE"/>
              </w:rPr>
              <w:t xml:space="preserve">Information and Communication Technology</w:t>
            </w:r>
            <w:r>
              <w:rPr>
                <w:lang w:val="sv-SE"/>
              </w:rPr>
              <w:t xml:space="preserve">) secara efektif untuk menunjang kegiatan belajar.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instalasi dan mempergunakan simulator LTspice untuk simulasi rangkaian dasar elektronika</w:t>
            </w:r>
            <w:r>
              <w:rPr>
                <w:lang w:val="en-US"/>
              </w:rPr>
              <w:t xml:space="preserve"> daya</w:t>
            </w:r>
            <w:r>
              <w:rPr>
                <w:lang w:val="sv-SE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mahasiswa untuk mampu melakukan instalasi dan mempergunakan simulator LTspice untuk simulasi rangkaian dasar elektronika daya.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menyebutkan jenis-jenis diode, menjelaskan karakteristiknya dan membuat  simulasi rangkaian dasar diode.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membedakan tipe-tipe diode.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membandingkan diode dengan sakelar ideal.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penggunaan model diode di LTspice.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-Kecepatan mambuat simulasi rangkian dasar diode dengan tepat. 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perhitungan daya dengan bantuan perangkat lunak.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membuat simulasi dan perhitungan daya berdasarkan bentuk gelombang listrik.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Mahasiswa mampu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membandingkan, membedakan, menjelaskan, menghitung, membuat simulasi, menganalisis, dan mengevaluasi rangkaian baku penyearah satu fase dan tiga fase gelombang penuh tanpa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membandingkan, membedakan, menjelaskan, menghitung, membuat simulasi, dan menganalisis rangkaian baku penyearah satu fase dan tiga fase gelombang penuh tanpa pengendali.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menghitung, melakukan simulasi, dan menganalisis rangkaian sakelar elektronik menggunakan SCR dan rangkaian baku penyearah satu fase dan tiga fase dengan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melakukan simulasi, dan menganalisis rangkaian dengan komponen SCR.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4,2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melakukan simulasi, dan menganalisis rangkaian TRIAC sebagai sakelar elektronik.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melakukan simulasi, dan menganalisis rangkaian TRIAC. 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dalam menjelaskan SSR dan penerapannya.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UTS mencakup materi minggu 1–7</w:t>
            </w:r>
            <w:r>
              <w:rPr>
                <w:lang w:val="en-US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45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</w:t>
            </w:r>
            <w:r/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 di kelas saat perkuliahan.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Presensi</w:t>
            </w:r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</w:tr>
      <w:tr>
        <w:trPr/>
        <w:tc>
          <w:tcPr>
            <w:gridSpan w:val="4"/>
            <w:tcBorders/>
            <w:tcW w:w="8481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Style w:val="976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Rubik Penilaian Kehadiran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Sunu Pradana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Jumlah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 sampai Minggu 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highlight w:val="none"/>
        </w:rPr>
      </w:r>
    </w:p>
    <w:p>
      <w:pPr>
        <w:pBdr/>
        <w:shd w:val="nil"/>
        <w:spacing/>
        <w:ind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br w:type="page" w:clear="all"/>
      </w:r>
      <w:r>
        <w:rPr>
          <w:rFonts w:eastAsiaTheme="minorEastAsia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Cs w:val="24"/>
          <w:lang w:val="en-US"/>
        </w:rPr>
        <w:t xml:space="preserve">Dokumen</w:t>
      </w:r>
      <w:r>
        <w:rPr>
          <w:rFonts w:eastAsiaTheme="minorEastAsia"/>
          <w:lang w:val="sv-SE"/>
        </w:rPr>
      </w:r>
      <w:r>
        <w:rPr>
          <w:rFonts w:eastAsiaTheme="minorEastAsia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eastAsiaTheme="minorEastAsia"/>
          <w:lang w:val="sv-SE"/>
        </w:rPr>
      </w:r>
      <w:r>
        <w:rPr>
          <w:rFonts w:eastAsiaTheme="minorEastAsia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2401"/>
        <w:gridCol w:w="2418"/>
        <w:gridCol w:w="1701"/>
        <w:gridCol w:w="1587"/>
      </w:tblGrid>
      <w:tr>
        <w:trPr>
          <w:trHeight w:val="904"/>
        </w:trPr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Kriteria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4 </w:t>
              <w:br/>
              <w:t xml:space="preserve">Sangat 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3 </w:t>
              <w:br/>
              <w:t xml:space="preserve">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2</w:t>
              <w:br/>
              <w:t xml:space="preserve">Cukup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1 Kurang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Kerapian </w:t>
              <w:br/>
              <w:t xml:space="preserve">&amp; Tata Tulis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Struktur rapi &amp; konsisten: penomoran gambar/tabel, margin &amp; spasi konsisten, ejaan baik.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Umumnya rapi; Ada 1–2 ketidaktepatan minor.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bagian tidak konsisten; struktur kurang jelas.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Berantakan; sulit diikuti; banyak salah ejaan; tanpa struktur.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Ketepatan Jawaban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Konsep/istilah tepati; contoh/perhitungan/</w:t>
              <w:br/>
              <w:t xml:space="preserve">simulasi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seluruhnya tepat; </w:t>
              <w:br/>
              <w:t xml:space="preserve">kekeliruan minor tidak mengubah makna.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kesalahan konsep/istilah; contoh kurang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Dominan keliru/</w:t>
              <w:br/>
              <w:t xml:space="preserve">miskonsepsi; contoh/</w:t>
              <w:br/>
              <w:t xml:space="preserve">perhitungan banyak salah.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Jawaban dan pembahasan meliputi seluruh aspek dari pertanyaan/tugas.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semua aspek tercakup; ada 1 aspek minor terlewat/dangkal.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 parsial; 2–3 aspek inti terlewat.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Sangat sempit; sebagian besar aspek inti terlewat.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Kedalaman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Alur logis; alasan why/how jelas; analisis perbandingan/</w:t>
              <w:br/>
              <w:t xml:space="preserve">trade-off.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analisis &amp; alasan; belum konsisten di semua bagian; contoh cukup.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Lebih cenderung deskriptif daripada analitis; argumen tipis; contoh minim.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Hanya menyebut ulang; tanpa analisis atau argumen.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0"/>
              <w:jc w:val="center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Rujukan</w:t>
            </w:r>
            <w:r/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/</w:t>
              <w:br/>
            </w: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Referensi yang Benar</w:t>
            </w:r>
            <w:r/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Terdapat ≥3 referensi yang dirujuk dan dicantumkan dengan benar. Bisa diakses saat penilaian.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sitasi &amp; daftar pustaka; 1 kekurangan minor.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Referensi terbatas/tidak konsisten; beberapa entri tidak lengkap.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tanpa rujukan; format salah; sumber tidak kredibel.</w:t>
            </w:r>
            <w:r/>
            <w:r/>
          </w:p>
        </w:tc>
      </w:tr>
    </w:tbl>
    <w:p>
      <w:pPr>
        <w:pBdr/>
        <w:spacing/>
        <w:ind/>
        <w:jc w:val="center"/>
        <w:rPr>
          <w:rFonts w:eastAsiaTheme="minorEastAsia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  <w:r>
        <w:rPr>
          <w:rFonts w:eastAsiaTheme="minorEastAsia"/>
          <w:lang w:val="sv-SE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hd w:val="nil"/>
        <w:spacing/>
        <w:ind/>
        <w:rPr>
          <w:highlight w:val="none"/>
          <w:lang w:val="id-ID"/>
        </w:rPr>
      </w:pPr>
      <w:r>
        <w:rPr>
          <w:highlight w:val="none"/>
          <w:lang w:val="id-ID"/>
        </w:rPr>
        <w:br w:type="page" w:clear="all"/>
      </w:r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Cs w:val="24"/>
          <w:lang w:val="en-US"/>
        </w:rPr>
        <w:t xml:space="preserve">Simulasi</w:t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2643"/>
        <w:gridCol w:w="2268"/>
        <w:gridCol w:w="2693"/>
      </w:tblGrid>
      <w:tr>
        <w:trPr>
          <w:trHeight w:val="65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Kriteria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Baik (3)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Cukup (2)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Kurang (1)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Kerapian &amp; Organisasi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Sangat rapi, kelompok fungsi jelas.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Layout cukup rapi.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Skematik berantakan, banyak </w:t>
            </w:r>
            <w:r>
              <w:rPr>
                <w:i/>
                <w:iCs/>
              </w:rPr>
              <w:t xml:space="preserve">crossing</w:t>
            </w:r>
            <w:r>
              <w:t xml:space="preserve">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Ketepatan Tipe/Model Komponen &amp; Nilai Komponen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Semua tipe/nilai/polaritas dan include model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Sebagian besar benar, 1–2 kesalahan minor.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Banyak nilai/model salah atau hilang; polaritas 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Konfigurasi Simulasi &amp; Penggunaan </w:t>
            </w:r>
            <w:r>
              <w:rPr>
                <w:i/>
                <w:iCs/>
              </w:rPr>
              <w:t xml:space="preserve">Directive </w:t>
            </w:r>
            <w:r>
              <w:t xml:space="preserve">LTspice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Semua konfigurasi  dan </w:t>
            </w:r>
            <w:r>
              <w:rPr>
                <w:i/>
                <w:iCs/>
              </w:rPr>
              <w:t xml:space="preserve">directive </w:t>
            </w:r>
            <w:r>
              <w:t xml:space="preserve">sesuai tujuan dan teroptimasi.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Tipe simulasi benar; tetapi beberapa parameter kurang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Tidak ada/tipe simulasi salah; </w:t>
            </w:r>
            <w:r>
              <w:rPr>
                <w:i/>
                <w:iCs/>
              </w:rPr>
              <w:t xml:space="preserve">directive </w:t>
            </w:r>
            <w:r>
              <w:t xml:space="preserve">penting hilang/keliru.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Keberhasilan Eksekusi &amp; Validitas Hasil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 berjalan lancar tanpa peringatan; </w:t>
            </w:r>
            <w:r>
              <w:rPr>
                <w:i/>
                <w:iCs/>
              </w:rPr>
              <w:t xml:space="preserve">waveform</w:t>
            </w:r>
            <w:r>
              <w:t xml:space="preserve">/hasil relevan &amp; konsisten.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 selesai dengan </w:t>
            </w:r>
            <w:r>
              <w:rPr>
                <w:i/>
                <w:iCs/>
              </w:rPr>
              <w:t xml:space="preserve">warning</w:t>
            </w:r>
            <w:r>
              <w:t xml:space="preserve">; output tersedia namun perlu verifikasi.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File tidak bisa dijalankan atau </w:t>
            </w:r>
            <w:r>
              <w:rPr>
                <w:i/>
                <w:iCs/>
              </w:rPr>
              <w:t xml:space="preserve">output </w:t>
            </w:r>
            <w:r>
              <w:t xml:space="preserve">tidak benar (</w:t>
            </w:r>
            <w:r>
              <w:rPr>
                <w:i/>
                <w:iCs/>
              </w:rPr>
              <w:t xml:space="preserve">fatal error</w:t>
            </w:r>
            <w:r>
              <w:t xml:space="preserve">).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Anotasi &amp; Dokumentasi di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Anotasi/dokumentasi di skematik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Ada anotasi/ dokumentasi dasar tetapi kurang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Tidak ada/nyaris tidak ada anotasi/dokumentasi.</w:t>
            </w:r>
            <w:r/>
            <w:r/>
          </w:p>
        </w:tc>
      </w:tr>
    </w:tbl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8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988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  <w:r>
        <w:rPr>
          <w:lang w:val="it-IT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991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992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0">
    <w:name w:val="Table Grid Light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Heading 3"/>
    <w:basedOn w:val="974"/>
    <w:next w:val="974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26">
    <w:name w:val="Heading 4"/>
    <w:basedOn w:val="974"/>
    <w:next w:val="974"/>
    <w:link w:val="9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7">
    <w:name w:val="Heading 5"/>
    <w:basedOn w:val="974"/>
    <w:next w:val="974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8">
    <w:name w:val="Heading 6"/>
    <w:basedOn w:val="974"/>
    <w:next w:val="974"/>
    <w:link w:val="9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9">
    <w:name w:val="Heading 7"/>
    <w:basedOn w:val="974"/>
    <w:next w:val="974"/>
    <w:link w:val="9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0">
    <w:name w:val="Heading 8"/>
    <w:basedOn w:val="974"/>
    <w:next w:val="974"/>
    <w:link w:val="9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Heading 9"/>
    <w:basedOn w:val="974"/>
    <w:next w:val="974"/>
    <w:link w:val="9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Heading 3 Char"/>
    <w:basedOn w:val="977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3">
    <w:name w:val="Heading 4 Char"/>
    <w:basedOn w:val="97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4">
    <w:name w:val="Heading 5 Char"/>
    <w:basedOn w:val="977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5">
    <w:name w:val="Heading 6 Char"/>
    <w:basedOn w:val="977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6">
    <w:name w:val="Heading 7 Char"/>
    <w:basedOn w:val="977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7">
    <w:name w:val="Heading 8 Char"/>
    <w:basedOn w:val="977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9 Char"/>
    <w:basedOn w:val="977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Title"/>
    <w:basedOn w:val="974"/>
    <w:next w:val="974"/>
    <w:link w:val="9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0">
    <w:name w:val="Title Char"/>
    <w:basedOn w:val="97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1">
    <w:name w:val="Subtitle"/>
    <w:basedOn w:val="974"/>
    <w:next w:val="974"/>
    <w:link w:val="9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2">
    <w:name w:val="Subtitle Char"/>
    <w:basedOn w:val="97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3">
    <w:name w:val="Quote"/>
    <w:basedOn w:val="974"/>
    <w:next w:val="974"/>
    <w:link w:val="9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4">
    <w:name w:val="Quote Char"/>
    <w:basedOn w:val="97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Intense Emphasis"/>
    <w:basedOn w:val="9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6">
    <w:name w:val="Intense Quote"/>
    <w:basedOn w:val="974"/>
    <w:next w:val="974"/>
    <w:link w:val="9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7">
    <w:name w:val="Intense Quote Char"/>
    <w:basedOn w:val="977"/>
    <w:link w:val="9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8">
    <w:name w:val="Intense Reference"/>
    <w:basedOn w:val="9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9">
    <w:name w:val="No Spacing"/>
    <w:basedOn w:val="974"/>
    <w:uiPriority w:val="1"/>
    <w:qFormat/>
    <w:pPr>
      <w:pBdr/>
      <w:spacing w:after="0" w:line="240" w:lineRule="auto"/>
      <w:ind/>
    </w:pPr>
  </w:style>
  <w:style w:type="character" w:styleId="950">
    <w:name w:val="Subtle Emphasis"/>
    <w:basedOn w:val="9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Emphasis"/>
    <w:basedOn w:val="977"/>
    <w:uiPriority w:val="20"/>
    <w:qFormat/>
    <w:pPr>
      <w:pBdr/>
      <w:spacing/>
      <w:ind/>
    </w:pPr>
    <w:rPr>
      <w:i/>
      <w:iCs/>
    </w:rPr>
  </w:style>
  <w:style w:type="character" w:styleId="952">
    <w:name w:val="Strong"/>
    <w:basedOn w:val="977"/>
    <w:uiPriority w:val="22"/>
    <w:qFormat/>
    <w:pPr>
      <w:pBdr/>
      <w:spacing/>
      <w:ind/>
    </w:pPr>
    <w:rPr>
      <w:b/>
      <w:bCs/>
    </w:rPr>
  </w:style>
  <w:style w:type="character" w:styleId="953">
    <w:name w:val="Subtle Reference"/>
    <w:basedOn w:val="9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4">
    <w:name w:val="Book Title"/>
    <w:basedOn w:val="9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5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6">
    <w:name w:val="footnote text"/>
    <w:basedOn w:val="974"/>
    <w:link w:val="9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7">
    <w:name w:val="Footnote Text Char"/>
    <w:basedOn w:val="977"/>
    <w:link w:val="956"/>
    <w:uiPriority w:val="99"/>
    <w:semiHidden/>
    <w:pPr>
      <w:pBdr/>
      <w:spacing/>
      <w:ind/>
    </w:pPr>
    <w:rPr>
      <w:sz w:val="20"/>
      <w:szCs w:val="20"/>
    </w:rPr>
  </w:style>
  <w:style w:type="character" w:styleId="958">
    <w:name w:val="foot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4"/>
    <w:link w:val="9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0">
    <w:name w:val="Endnote Text Char"/>
    <w:basedOn w:val="977"/>
    <w:link w:val="959"/>
    <w:uiPriority w:val="99"/>
    <w:semiHidden/>
    <w:pPr>
      <w:pBdr/>
      <w:spacing/>
      <w:ind/>
    </w:pPr>
    <w:rPr>
      <w:sz w:val="20"/>
      <w:szCs w:val="20"/>
    </w:rPr>
  </w:style>
  <w:style w:type="character" w:styleId="961">
    <w:name w:val="end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character" w:styleId="962">
    <w:name w:val="FollowedHyperlink"/>
    <w:basedOn w:val="9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75">
    <w:name w:val="Heading 1"/>
    <w:basedOn w:val="974"/>
    <w:next w:val="974"/>
    <w:link w:val="998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976">
    <w:name w:val="Heading 2"/>
    <w:basedOn w:val="974"/>
    <w:next w:val="974"/>
    <w:link w:val="999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977" w:default="1">
    <w:name w:val="Default Paragraph Font"/>
    <w:uiPriority w:val="1"/>
    <w:semiHidden/>
    <w:unhideWhenUsed/>
    <w:pPr>
      <w:pBdr/>
      <w:spacing/>
      <w:ind/>
    </w:pPr>
  </w:style>
  <w:style w:type="table" w:styleId="9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9" w:default="1">
    <w:name w:val="No List"/>
    <w:uiPriority w:val="99"/>
    <w:semiHidden/>
    <w:unhideWhenUsed/>
    <w:pPr>
      <w:pBdr/>
      <w:spacing/>
      <w:ind/>
    </w:pPr>
  </w:style>
  <w:style w:type="table" w:styleId="980">
    <w:name w:val="Table Grid"/>
    <w:basedOn w:val="97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Colorful List - Accent 11"/>
    <w:basedOn w:val="974"/>
    <w:uiPriority w:val="34"/>
    <w:qFormat/>
    <w:pPr>
      <w:pBdr/>
      <w:spacing/>
      <w:ind w:left="720"/>
    </w:pPr>
  </w:style>
  <w:style w:type="character" w:styleId="982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983" w:customStyle="1">
    <w:name w:val="Style10"/>
    <w:basedOn w:val="974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4" w:customStyle="1">
    <w:name w:val="Style22"/>
    <w:basedOn w:val="974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5" w:customStyle="1">
    <w:name w:val="Style32"/>
    <w:basedOn w:val="974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6">
    <w:name w:val="Header"/>
    <w:basedOn w:val="974"/>
    <w:link w:val="987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987" w:customStyle="1">
    <w:name w:val="Header Char"/>
    <w:link w:val="986"/>
    <w:pPr>
      <w:pBdr/>
      <w:spacing/>
      <w:ind/>
    </w:pPr>
    <w:rPr>
      <w:sz w:val="22"/>
      <w:szCs w:val="22"/>
      <w:lang w:val="id-ID"/>
    </w:rPr>
  </w:style>
  <w:style w:type="paragraph" w:styleId="988">
    <w:name w:val="List Paragraph"/>
    <w:basedOn w:val="974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989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990" w:customStyle="1">
    <w:name w:val="No List1"/>
    <w:next w:val="979"/>
    <w:uiPriority w:val="99"/>
    <w:semiHidden/>
    <w:unhideWhenUsed/>
    <w:pPr>
      <w:pBdr/>
      <w:spacing/>
      <w:ind/>
    </w:pPr>
  </w:style>
  <w:style w:type="numbering" w:styleId="991" w:customStyle="1">
    <w:name w:val="Style2"/>
    <w:uiPriority w:val="99"/>
    <w:pPr>
      <w:numPr>
        <w:numId w:val="7"/>
      </w:numPr>
      <w:pBdr/>
      <w:spacing/>
      <w:ind/>
    </w:pPr>
  </w:style>
  <w:style w:type="numbering" w:styleId="992" w:customStyle="1">
    <w:name w:val="Style3"/>
    <w:uiPriority w:val="99"/>
    <w:pPr>
      <w:numPr>
        <w:numId w:val="8"/>
      </w:numPr>
      <w:pBdr/>
      <w:spacing/>
      <w:ind/>
    </w:pPr>
  </w:style>
  <w:style w:type="paragraph" w:styleId="993" w:customStyle="1">
    <w:name w:val="List Paragraph1"/>
    <w:basedOn w:val="974"/>
    <w:next w:val="988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994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995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996">
    <w:name w:val="Footer"/>
    <w:basedOn w:val="974"/>
    <w:link w:val="9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997" w:customStyle="1">
    <w:name w:val="Footer Char"/>
    <w:link w:val="996"/>
    <w:uiPriority w:val="99"/>
    <w:pPr>
      <w:pBdr/>
      <w:spacing/>
      <w:ind/>
    </w:pPr>
    <w:rPr>
      <w:sz w:val="22"/>
      <w:szCs w:val="22"/>
      <w:lang w:val="en-ID"/>
    </w:rPr>
  </w:style>
  <w:style w:type="character" w:styleId="998" w:customStyle="1">
    <w:name w:val="Heading 1 Char"/>
    <w:basedOn w:val="977"/>
    <w:link w:val="975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999" w:customStyle="1">
    <w:name w:val="Heading 2 Char"/>
    <w:basedOn w:val="977"/>
    <w:link w:val="9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4</cp:revision>
  <dcterms:created xsi:type="dcterms:W3CDTF">2025-07-25T06:35:00Z</dcterms:created>
  <dcterms:modified xsi:type="dcterms:W3CDTF">2025-08-17T07:05:35Z</dcterms:modified>
</cp:coreProperties>
</file>