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/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</w:t>
            </w:r>
            <w:r/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menyebutkan jenis-jenis diode, menjelaskan karakteristiknya dan membuat simulasi rangkaian dasar diode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membuat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membandingkan, membedakan, menjelaskan, menghitung,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membuat simulasi, menganalisis, dan mengevaluasi rangkaian baku penyearah satu fase dan tiga fase gelombang penuh tanpa pengendali.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/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menjelaskan, menghitung, melakukan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simulasi, dan menganalisis rangkaian sakelar elektronik menggunakan SCR dan rangkaian baku penyearah satu fase dan tiga fase 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/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JADWAL PEMBELAJARAN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spacing w:val="-10"/>
                <w:lang w:val="sv-SE"/>
              </w:rPr>
            </w:r>
            <w:r/>
            <w:r>
              <w:rPr>
                <w:spacing w:val="-1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karakteristiknya dan membuat 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Kecepatan mambuat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membuat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membuat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/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menganalisis, dan mengevaluasi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11, 12, 13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menjelaskan, menghitung, melakukan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sakelar elektronik menggunakan SCR dan rangkaian baku penyearah satu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SCR</w:t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sz w:val="20"/>
                <w:szCs w:val="20"/>
              </w:rPr>
              <w:t xml:space="preserve">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sz w:val="20"/>
                <w:szCs w:val="20"/>
              </w:rPr>
              <w:t xml:space="preserve"> rangkaian dengan komponen SCR.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14, 15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 sebagai sakelar elektronik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TRIAC</w:t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  <w:br/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Ketepa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tan dalam menjelaskan SS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 dan pener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apannya.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UAS</w:t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/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Style w:val="771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782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779"/>
          <w:rFonts w:ascii="Cambria" w:hAnsi="Cambria"/>
          <w:color w:val="auto"/>
        </w:rPr>
      </w:pPr>
      <w:r>
        <w:rPr>
          <w:rStyle w:val="779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.</w:t>
      </w:r>
      <w:r>
        <w:rPr>
          <w:rStyle w:val="779"/>
          <w:rFonts w:ascii="Cambria" w:hAnsi="Cambria"/>
          <w:color w:val="auto"/>
        </w:rPr>
      </w:r>
    </w:p>
    <w:p>
      <w:pPr>
        <w:pStyle w:val="781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.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 Perumusan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  <w:r/>
            <w:r/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 Pemeriksaan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3. Persetujuan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 Penetapan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5. Pengendalian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Style w:val="772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/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Elektro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nika Daya I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  <w:t xml:space="preserve">PLT42527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Sunu Pradana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773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dan/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highlight w:val="none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tbl>
      <w:tblPr>
        <w:tblStyle w:val="77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44"/>
        <w:gridCol w:w="3427"/>
        <w:gridCol w:w="3376"/>
        <w:gridCol w:w="1242"/>
        <w:gridCol w:w="770"/>
      </w:tblGrid>
      <w:tr>
        <w:trPr>
          <w:trHeight w:val="544"/>
        </w:trPr>
        <w:tc>
          <w:tcPr>
            <w:tcBorders/>
            <w:tcW w:w="54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</w:p>
        </w:tc>
        <w:tc>
          <w:tcPr>
            <w:tcBorders/>
            <w:tcW w:w="34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Uraian 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33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7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mempergunakan ICT (</w:t>
            </w:r>
            <w:r>
              <w:rPr>
                <w:i/>
                <w:iCs/>
                <w:lang w:val="sv-SE"/>
              </w:rPr>
              <w:t xml:space="preserve">Information and Communication Technology</w:t>
            </w:r>
            <w:r>
              <w:rPr>
                <w:lang w:val="sv-SE"/>
              </w:rPr>
              <w:t xml:space="preserve">) secara efektif untuk menunjang kegiatan belajar.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/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instalasi dan mempergunakan simulator LTspice untuk simulasi rangkaian dasar elektronika</w:t>
            </w:r>
            <w:r>
              <w:rPr>
                <w:lang w:val="en-US"/>
              </w:rPr>
              <w:t xml:space="preserve"> daya</w:t>
            </w:r>
            <w:r>
              <w:rPr>
                <w:lang w:val="sv-SE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/>
            <w:r>
              <w:t xml:space="preserve">- Ketepatan mahasiswa untuk mampu melakukan instalasi dan mempergunakan simulator LTspice untuk simulasi rangkaian dasar elektronika daya.</w:t>
            </w:r>
            <w:r/>
            <w:r/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menyebutkan jenis-jenis diode, menjelaskan karakteristiknya dan membuat  simulasi rangkaian dasar diode.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lang w:val="sv-SE"/>
              </w:rPr>
              <w:t xml:space="preserve">- Ketepatan dalam membedakan tipe-tipe diode.</w:t>
            </w:r>
            <w:r/>
            <w:r>
              <w:rPr>
                <w:lang w:val="sv-SE"/>
              </w:rPr>
            </w:r>
            <w:r/>
            <w:r>
              <w:rPr>
                <w:lang w:val="sv-S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lang w:val="sv-SE"/>
              </w:rPr>
              <w:t xml:space="preserve">- Ketepatan dalam membandingkan diode dengan sakelar ideal.</w:t>
            </w:r>
            <w:r/>
            <w:r>
              <w:rPr>
                <w:lang w:val="sv-SE"/>
              </w:rPr>
            </w:r>
            <w:r/>
            <w:r>
              <w:rPr>
                <w:lang w:val="sv-S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lang w:val="sv-SE"/>
              </w:rPr>
              <w:t xml:space="preserve">- Ketepatan dalam penggunaan model diode di LTspice.</w:t>
            </w:r>
            <w:r/>
            <w:r>
              <w:rPr>
                <w:lang w:val="sv-SE"/>
              </w:rPr>
            </w:r>
            <w:r/>
            <w:r>
              <w:rPr>
                <w:lang w:val="sv-SE"/>
              </w:rPr>
            </w:r>
          </w:p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-Kecepatan mambuat simulasi rangkian dasar diode dengan tepat. </w:t>
            </w:r>
            <w:r/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Quiz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perhitungan daya dengan bantuan perangkat lunak.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membuat simulasi dan perhitungan daya berdasarkan bentuk gelombang listrik.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/>
            <w:r>
              <w:t xml:space="preserve">Mahasiswa mampu menjelaskan, menghitung, membuat simulasi, dan menganalisis rangkaian baku penyearah satu fase setengah gelombang tanpa pengendali.</w:t>
            </w:r>
            <w:r/>
            <w:r/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membuat simulasi, dan menganalisis rangkaian baku penyearah satu fase setengah gelombang tanpa pengendali.</w:t>
            </w:r>
            <w:r/>
            <w:r/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membandingkan, membedakan, menjelaskan, menghitung, membuat simulasi, menganalisis, dan mengevaluasi rangkaian baku penyearah satu fase dan tiga fase gelombang penuh tanpa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membandingkan, membedakan, menjelaskan, menghitung, membuat simulasi, dan menganalisis rangkaian baku penyearah satu fase dan tiga fase gelombang penuh tanpa pengendali.</w:t>
            </w:r>
            <w:r/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menghitung, melakukan simulasi, dan menganalisis rangkaian sakelar elektronik menggunakan SCR dan rangkaian baku penyearah satu fase dan tiga fase dengan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melakukan simulasi, dan menganalisis rangkaian dengan komponen SCR.</w:t>
            </w:r>
            <w:r/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4,2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melakukan simulasi, dan menganalisis rangkaian TRIAC sebagai sakelar elektronik.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melakukan simulasi, dan menganalisis rangkaian TRIAC. </w:t>
            </w:r>
            <w:r/>
          </w:p>
          <w:p>
            <w:pPr>
              <w:pBdr/>
              <w:spacing/>
              <w:ind/>
              <w:jc w:val="left"/>
              <w:rPr/>
            </w:pPr>
            <w:r>
              <w:t xml:space="preserve">- Ketepatan dalam menjelaskan SSR dan penerapannya.</w:t>
            </w:r>
            <w:r/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/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UTS mencakup materi minggu 1–7</w:t>
            </w:r>
            <w:r>
              <w:rPr>
                <w:lang w:val="en-US"/>
              </w:rPr>
              <w:t xml:space="preserve">.</w:t>
            </w:r>
            <w:r>
              <w:rPr>
                <w:lang w:val="sv-SE"/>
              </w:rPr>
            </w:r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30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/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3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pembelajaran.</w:t>
            </w:r>
            <w:r/>
          </w:p>
        </w:tc>
        <w:tc>
          <w:tcPr>
            <w:tcBorders/>
            <w:tcW w:w="124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45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Kehadiran</w:t>
            </w:r>
            <w:r/>
          </w:p>
        </w:tc>
        <w:tc>
          <w:tcPr>
            <w:tcBorders/>
            <w:tcW w:w="33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Kehadiran di kelas saat perkuliahan.</w:t>
            </w:r>
            <w:r/>
          </w:p>
        </w:tc>
        <w:tc>
          <w:tcPr>
            <w:tcBorders/>
            <w:tcW w:w="124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Presensi</w:t>
            </w:r>
            <w:r/>
          </w:p>
        </w:tc>
        <w:tc>
          <w:tcPr>
            <w:tcBorders/>
            <w:tcW w:w="77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</w:tr>
      <w:tr>
        <w:trPr/>
        <w:tc>
          <w:tcPr>
            <w:gridSpan w:val="4"/>
            <w:tcBorders/>
            <w:tcW w:w="859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Total</w:t>
            </w:r>
            <w:r/>
          </w:p>
        </w:tc>
        <w:tc>
          <w:tcPr>
            <w:tcBorders/>
            <w:tcW w:w="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Style w:val="773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Rubik Penilaian Kehadiran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Jumlah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 sampai Minggu 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lang w:val="sv-SE"/>
        </w:rPr>
      </w:pPr>
      <w:r>
        <w:rPr>
          <w:highlight w:val="none"/>
          <w:lang w:val="sv-SE"/>
        </w:rPr>
      </w:r>
      <w:r>
        <w:rPr>
          <w:highlight w:val="none"/>
          <w:lang w:val="sv-SE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785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788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789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9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1"/>
    <w:next w:val="7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1"/>
    <w:next w:val="7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1"/>
    <w:next w:val="7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1"/>
    <w:next w:val="7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7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1"/>
    <w:next w:val="77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1"/>
    <w:next w:val="7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1"/>
    <w:next w:val="7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1"/>
    <w:next w:val="7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1"/>
    <w:next w:val="771"/>
    <w:uiPriority w:val="39"/>
    <w:unhideWhenUsed/>
    <w:pPr>
      <w:pBdr/>
      <w:spacing w:after="100"/>
      <w:ind/>
    </w:pPr>
  </w:style>
  <w:style w:type="paragraph" w:styleId="189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0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1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2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3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4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5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6">
    <w:name w:val="toc 9"/>
    <w:basedOn w:val="771"/>
    <w:next w:val="77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772">
    <w:name w:val="Heading 1"/>
    <w:basedOn w:val="771"/>
    <w:next w:val="771"/>
    <w:link w:val="795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773">
    <w:name w:val="Heading 2"/>
    <w:basedOn w:val="771"/>
    <w:next w:val="771"/>
    <w:link w:val="796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table" w:styleId="777">
    <w:name w:val="Table Grid"/>
    <w:basedOn w:val="7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 w:customStyle="1">
    <w:name w:val="Colorful List - Accent 11"/>
    <w:basedOn w:val="771"/>
    <w:uiPriority w:val="34"/>
    <w:qFormat/>
    <w:pPr>
      <w:pBdr/>
      <w:spacing/>
      <w:ind w:left="720"/>
    </w:pPr>
  </w:style>
  <w:style w:type="character" w:styleId="779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80" w:customStyle="1">
    <w:name w:val="Style10"/>
    <w:basedOn w:val="771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1" w:customStyle="1">
    <w:name w:val="Style22"/>
    <w:basedOn w:val="771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2" w:customStyle="1">
    <w:name w:val="Style32"/>
    <w:basedOn w:val="771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3">
    <w:name w:val="Header"/>
    <w:basedOn w:val="771"/>
    <w:link w:val="784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784" w:customStyle="1">
    <w:name w:val="Header Char"/>
    <w:link w:val="783"/>
    <w:pPr>
      <w:pBdr/>
      <w:spacing/>
      <w:ind/>
    </w:pPr>
    <w:rPr>
      <w:sz w:val="22"/>
      <w:szCs w:val="22"/>
      <w:lang w:val="id-ID"/>
    </w:rPr>
  </w:style>
  <w:style w:type="paragraph" w:styleId="785">
    <w:name w:val="List Paragraph"/>
    <w:basedOn w:val="771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786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787" w:customStyle="1">
    <w:name w:val="No List1"/>
    <w:next w:val="776"/>
    <w:uiPriority w:val="99"/>
    <w:semiHidden/>
    <w:unhideWhenUsed/>
    <w:pPr>
      <w:pBdr/>
      <w:spacing/>
      <w:ind/>
    </w:pPr>
  </w:style>
  <w:style w:type="numbering" w:styleId="788" w:customStyle="1">
    <w:name w:val="Style2"/>
    <w:uiPriority w:val="99"/>
    <w:pPr>
      <w:numPr>
        <w:numId w:val="7"/>
      </w:numPr>
      <w:pBdr/>
      <w:spacing/>
      <w:ind/>
    </w:pPr>
  </w:style>
  <w:style w:type="numbering" w:styleId="789" w:customStyle="1">
    <w:name w:val="Style3"/>
    <w:uiPriority w:val="99"/>
    <w:pPr>
      <w:numPr>
        <w:numId w:val="8"/>
      </w:numPr>
      <w:pBdr/>
      <w:spacing/>
      <w:ind/>
    </w:pPr>
  </w:style>
  <w:style w:type="paragraph" w:styleId="790" w:customStyle="1">
    <w:name w:val="List Paragraph1"/>
    <w:basedOn w:val="771"/>
    <w:next w:val="785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791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792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793">
    <w:name w:val="Footer"/>
    <w:basedOn w:val="771"/>
    <w:link w:val="79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794" w:customStyle="1">
    <w:name w:val="Footer Char"/>
    <w:link w:val="793"/>
    <w:uiPriority w:val="99"/>
    <w:pPr>
      <w:pBdr/>
      <w:spacing/>
      <w:ind/>
    </w:pPr>
    <w:rPr>
      <w:sz w:val="22"/>
      <w:szCs w:val="22"/>
      <w:lang w:val="en-ID"/>
    </w:rPr>
  </w:style>
  <w:style w:type="character" w:styleId="795" w:customStyle="1">
    <w:name w:val="Heading 1 Char"/>
    <w:basedOn w:val="774"/>
    <w:link w:val="772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796" w:customStyle="1">
    <w:name w:val="Heading 2 Char"/>
    <w:basedOn w:val="774"/>
    <w:link w:val="773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3</cp:revision>
  <dcterms:created xsi:type="dcterms:W3CDTF">2025-07-25T06:35:00Z</dcterms:created>
  <dcterms:modified xsi:type="dcterms:W3CDTF">2025-08-16T13:57:52Z</dcterms:modified>
</cp:coreProperties>
</file>