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445E" w14:textId="65F435E9" w:rsidR="000A4E96" w:rsidRPr="000447C5" w:rsidRDefault="000A4E96" w:rsidP="00AF3E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447C5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14:paraId="1499A81D" w14:textId="77777777" w:rsidR="000A4E96" w:rsidRPr="000447C5" w:rsidRDefault="000A4E96" w:rsidP="000447C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5D30B78" w14:textId="4D2E08DC" w:rsidR="000A4E96" w:rsidRPr="000447C5" w:rsidRDefault="000A4E96" w:rsidP="000447C5">
      <w:pPr>
        <w:ind w:left="1276" w:hanging="127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447C5">
        <w:rPr>
          <w:rFonts w:ascii="TH SarabunPSK" w:hAnsi="TH SarabunPSK" w:cs="TH SarabunPSK"/>
          <w:b/>
          <w:bCs/>
          <w:sz w:val="32"/>
          <w:szCs w:val="32"/>
          <w:u w:val="double"/>
          <w:cs/>
        </w:rPr>
        <w:t>ภาคผนวก 1</w:t>
      </w:r>
      <w:r w:rsidRPr="000447C5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ผลงานทางวิชาการ (ย้อนหลัง 5 ปี) ของ</w:t>
      </w:r>
      <w:r w:rsidR="00CE2F8B" w:rsidRPr="000447C5">
        <w:rPr>
          <w:rFonts w:ascii="TH SarabunPSK" w:hAnsi="TH SarabunPSK" w:cs="TH SarabunPSK"/>
          <w:b/>
          <w:bCs/>
          <w:sz w:val="32"/>
          <w:szCs w:val="32"/>
          <w:cs/>
        </w:rPr>
        <w:t>อาจารย์ผู้รับผิดชอบหลักสูตรและ</w:t>
      </w:r>
      <w:r w:rsidRPr="000447C5">
        <w:rPr>
          <w:rFonts w:ascii="TH SarabunPSK" w:hAnsi="TH SarabunPSK" w:cs="TH SarabunPSK"/>
          <w:b/>
          <w:bCs/>
          <w:sz w:val="32"/>
          <w:szCs w:val="32"/>
          <w:cs/>
        </w:rPr>
        <w:t>อาจารย์ประจำหลักสูตร</w:t>
      </w:r>
    </w:p>
    <w:p w14:paraId="6C6BD781" w14:textId="77777777" w:rsidR="000A4E96" w:rsidRPr="000447C5" w:rsidRDefault="000A4E96" w:rsidP="000447C5">
      <w:pPr>
        <w:tabs>
          <w:tab w:val="left" w:pos="284"/>
          <w:tab w:val="left" w:pos="851"/>
          <w:tab w:val="left" w:pos="1560"/>
          <w:tab w:val="left" w:pos="2127"/>
          <w:tab w:val="left" w:pos="2835"/>
          <w:tab w:val="right" w:pos="8789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3752B3" w14:textId="45690567" w:rsidR="007E32E5" w:rsidRPr="000447C5" w:rsidRDefault="007E32E5" w:rsidP="000447C5">
      <w:pPr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>1</w:t>
      </w:r>
      <w:r w:rsidR="00CE2F8B"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.</w:t>
      </w: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 xml:space="preserve"> </w:t>
      </w:r>
      <w:r w:rsidRPr="000447C5">
        <w:rPr>
          <w:rFonts w:ascii="TH SarabunPSK" w:eastAsia="Calibri" w:hAnsi="TH SarabunPSK" w:cs="TH SarabunPSK"/>
          <w:b/>
          <w:bCs/>
          <w:noProof/>
          <w:sz w:val="32"/>
          <w:szCs w:val="32"/>
          <w:u w:val="single"/>
          <w:cs/>
        </w:rPr>
        <w:t>ผู้ช่วยศาสตราจารย์ บุษกร  รมยานนท์</w:t>
      </w:r>
    </w:p>
    <w:p w14:paraId="649DC1E4" w14:textId="77777777" w:rsidR="000447C5" w:rsidRPr="000447C5" w:rsidRDefault="000447C5" w:rsidP="000447C5">
      <w:pPr>
        <w:ind w:left="720" w:hanging="720"/>
        <w:jc w:val="thaiDistribute"/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ตำราหรือหนังสือที่ได้รับการประเมินผ่านเกณฑ์การขอรับตำแหน่งทางวิชาการแล้ว; 1</w:t>
      </w:r>
    </w:p>
    <w:p w14:paraId="04F7D1F5" w14:textId="0C81A4D9" w:rsidR="007E32E5" w:rsidRPr="000447C5" w:rsidRDefault="007E32E5" w:rsidP="000447C5">
      <w:pP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447C5">
        <w:rPr>
          <w:rFonts w:ascii="TH SarabunPSK" w:hAnsi="TH SarabunPSK" w:cs="TH SarabunPSK"/>
          <w:sz w:val="32"/>
          <w:szCs w:val="32"/>
          <w:cs/>
        </w:rPr>
        <w:t>บุษกร รมยานนท์</w:t>
      </w:r>
      <w:r w:rsidRPr="000447C5">
        <w:rPr>
          <w:rFonts w:ascii="TH SarabunPSK" w:hAnsi="TH SarabunPSK" w:cs="TH SarabunPSK"/>
          <w:sz w:val="32"/>
          <w:szCs w:val="32"/>
        </w:rPr>
        <w:t xml:space="preserve"> </w:t>
      </w:r>
      <w:r w:rsidRPr="000447C5">
        <w:rPr>
          <w:rFonts w:ascii="TH SarabunPSK" w:hAnsi="TH SarabunPSK" w:cs="TH SarabunPSK"/>
          <w:sz w:val="32"/>
          <w:szCs w:val="32"/>
          <w:cs/>
        </w:rPr>
        <w:t>(2563) เฟอร์นิเจอร์ไม้สำหรับงานออกแบบสถาปัตยกรรมภายใน</w:t>
      </w:r>
      <w:r w:rsidR="00A34C8C" w:rsidRPr="000447C5">
        <w:rPr>
          <w:rFonts w:ascii="TH SarabunPSK" w:hAnsi="TH SarabunPSK" w:cs="TH SarabunPSK"/>
          <w:color w:val="000000"/>
          <w:sz w:val="32"/>
          <w:szCs w:val="32"/>
        </w:rPr>
        <w:t>,</w:t>
      </w:r>
      <w:r w:rsidR="00A34C8C" w:rsidRPr="000447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โรงพิมพ์มหาวิทยาลัยธรรมศาสตร์ จำนวน </w:t>
      </w:r>
      <w:r w:rsidR="00A34C8C" w:rsidRPr="000447C5">
        <w:rPr>
          <w:rFonts w:ascii="TH SarabunPSK" w:hAnsi="TH SarabunPSK" w:cs="TH SarabunPSK"/>
          <w:color w:val="000000"/>
          <w:sz w:val="32"/>
          <w:szCs w:val="32"/>
        </w:rPr>
        <w:t xml:space="preserve">76 </w:t>
      </w:r>
      <w:r w:rsidR="00A34C8C" w:rsidRPr="000447C5">
        <w:rPr>
          <w:rFonts w:ascii="TH SarabunPSK" w:hAnsi="TH SarabunPSK" w:cs="TH SarabunPSK"/>
          <w:color w:val="000000"/>
          <w:sz w:val="32"/>
          <w:szCs w:val="32"/>
          <w:cs/>
        </w:rPr>
        <w:t>หน้า.</w:t>
      </w:r>
    </w:p>
    <w:p w14:paraId="323E5CBA" w14:textId="77777777" w:rsidR="007E32E5" w:rsidRPr="000447C5" w:rsidRDefault="007E32E5" w:rsidP="000447C5">
      <w:pPr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</w:p>
    <w:p w14:paraId="1D78124E" w14:textId="51B13B92" w:rsidR="007E32E5" w:rsidRPr="000447C5" w:rsidRDefault="007E32E5" w:rsidP="000447C5">
      <w:pPr>
        <w:contextualSpacing/>
        <w:jc w:val="thaiDistribute"/>
        <w:rPr>
          <w:rFonts w:ascii="TH SarabunPSK" w:eastAsia="Calibri" w:hAnsi="TH SarabunPSK" w:cs="TH SarabunPSK"/>
          <w:b/>
          <w:bCs/>
          <w:noProof/>
          <w:sz w:val="32"/>
          <w:szCs w:val="32"/>
          <w:u w:val="single"/>
        </w:rPr>
      </w:pP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>2</w:t>
      </w:r>
      <w:r w:rsidR="00CE2F8B"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.</w:t>
      </w: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 xml:space="preserve"> </w:t>
      </w:r>
      <w:r w:rsidRPr="000447C5">
        <w:rPr>
          <w:rFonts w:ascii="TH SarabunPSK" w:eastAsia="Calibri" w:hAnsi="TH SarabunPSK" w:cs="TH SarabunPSK"/>
          <w:b/>
          <w:bCs/>
          <w:noProof/>
          <w:sz w:val="32"/>
          <w:szCs w:val="32"/>
          <w:u w:val="single"/>
          <w:cs/>
        </w:rPr>
        <w:t>ผู้ช่วยศาสตราจารย์ ดร. บุญอนันต์ นทกุล</w:t>
      </w:r>
    </w:p>
    <w:p w14:paraId="040F40B4" w14:textId="77777777" w:rsidR="000447C5" w:rsidRPr="000447C5" w:rsidRDefault="000447C5" w:rsidP="000447C5">
      <w:pPr>
        <w:ind w:left="709" w:hanging="709"/>
        <w:contextualSpacing/>
        <w:jc w:val="thaiDistribute"/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; 0.2</w:t>
      </w:r>
    </w:p>
    <w:p w14:paraId="25E19154" w14:textId="2F9F0F00" w:rsidR="007E32E5" w:rsidRPr="000447C5" w:rsidRDefault="007E32E5" w:rsidP="000447C5">
      <w:pPr>
        <w:ind w:left="709" w:hanging="709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447C5">
        <w:rPr>
          <w:rFonts w:ascii="TH SarabunPSK" w:hAnsi="TH SarabunPSK" w:cs="TH SarabunPSK"/>
          <w:sz w:val="32"/>
          <w:szCs w:val="32"/>
          <w:cs/>
        </w:rPr>
        <w:t xml:space="preserve">บุญอนันต์ นทกุล และนิชฌาพร สุชัย. (2561).แนวทางออกแบบที่อยู่อาศัยประเภททาวน์เฮาล์สำหรับครอบครัวไทยสามรุ่นที่มีรายได้น้อยถึงปานกลางในพื้นที่ชานเมืองกรุงเทพมหานคร. </w:t>
      </w:r>
      <w:r w:rsidRPr="000447C5">
        <w:rPr>
          <w:rFonts w:ascii="TH SarabunPSK" w:hAnsi="TH SarabunPSK" w:cs="TH SarabunPSK"/>
          <w:sz w:val="32"/>
          <w:szCs w:val="32"/>
        </w:rPr>
        <w:t xml:space="preserve">The </w:t>
      </w:r>
      <w:r w:rsidRPr="000447C5">
        <w:rPr>
          <w:rFonts w:ascii="TH SarabunPSK" w:hAnsi="TH SarabunPSK" w:cs="TH SarabunPSK"/>
          <w:sz w:val="32"/>
          <w:szCs w:val="32"/>
          <w:cs/>
        </w:rPr>
        <w:t>9</w:t>
      </w:r>
      <w:proofErr w:type="spellStart"/>
      <w:r w:rsidRPr="000447C5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0447C5">
        <w:rPr>
          <w:rFonts w:ascii="TH SarabunPSK" w:hAnsi="TH SarabunPSK" w:cs="TH SarabunPSK"/>
          <w:sz w:val="32"/>
          <w:szCs w:val="32"/>
        </w:rPr>
        <w:t xml:space="preserve"> Built Environment Research Associates Conference </w:t>
      </w:r>
      <w:r w:rsidRPr="000447C5">
        <w:rPr>
          <w:rFonts w:ascii="TH SarabunPSK" w:hAnsi="TH SarabunPSK" w:cs="TH SarabunPSK"/>
          <w:sz w:val="32"/>
          <w:szCs w:val="32"/>
          <w:cs/>
        </w:rPr>
        <w:t>2018 (</w:t>
      </w:r>
      <w:r w:rsidRPr="000447C5">
        <w:rPr>
          <w:rFonts w:ascii="TH SarabunPSK" w:hAnsi="TH SarabunPSK" w:cs="TH SarabunPSK"/>
          <w:sz w:val="32"/>
          <w:szCs w:val="32"/>
        </w:rPr>
        <w:t xml:space="preserve">BERAC </w:t>
      </w:r>
      <w:r w:rsidRPr="000447C5">
        <w:rPr>
          <w:rFonts w:ascii="TH SarabunPSK" w:hAnsi="TH SarabunPSK" w:cs="TH SarabunPSK"/>
          <w:sz w:val="32"/>
          <w:szCs w:val="32"/>
          <w:cs/>
        </w:rPr>
        <w:t>9) คณะสถาปัตยกรรมศาสตร์และการผังเมือง มหาวิทยาลัยธรรมศาสตร์ ศูนย์รังสิต หน้า 41- 48.</w:t>
      </w:r>
    </w:p>
    <w:p w14:paraId="59910E11" w14:textId="77777777" w:rsidR="007E32E5" w:rsidRPr="000447C5" w:rsidRDefault="007E32E5" w:rsidP="000447C5">
      <w:pPr>
        <w:ind w:left="709" w:hanging="709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447C5">
        <w:rPr>
          <w:rFonts w:ascii="TH SarabunPSK" w:hAnsi="TH SarabunPSK" w:cs="TH SarabunPSK"/>
          <w:sz w:val="32"/>
          <w:szCs w:val="32"/>
          <w:cs/>
        </w:rPr>
        <w:t xml:space="preserve">บุญอนันต์ นทกุล และกิติคุณ เตชะวิเชียร. (2561).แนวทางออกแบบที่หน่วยการเรียนรู้อเนกประสงค์สำหรับโรงเรียนขนาดเล็กในพื้นที่ทุรกันดาร. </w:t>
      </w:r>
      <w:r w:rsidRPr="000447C5">
        <w:rPr>
          <w:rFonts w:ascii="TH SarabunPSK" w:hAnsi="TH SarabunPSK" w:cs="TH SarabunPSK"/>
          <w:sz w:val="32"/>
          <w:szCs w:val="32"/>
        </w:rPr>
        <w:t xml:space="preserve">The </w:t>
      </w:r>
      <w:r w:rsidRPr="000447C5">
        <w:rPr>
          <w:rFonts w:ascii="TH SarabunPSK" w:hAnsi="TH SarabunPSK" w:cs="TH SarabunPSK"/>
          <w:sz w:val="32"/>
          <w:szCs w:val="32"/>
          <w:cs/>
        </w:rPr>
        <w:t>9</w:t>
      </w:r>
      <w:proofErr w:type="spellStart"/>
      <w:r w:rsidRPr="000447C5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0447C5">
        <w:rPr>
          <w:rFonts w:ascii="TH SarabunPSK" w:hAnsi="TH SarabunPSK" w:cs="TH SarabunPSK"/>
          <w:sz w:val="32"/>
          <w:szCs w:val="32"/>
        </w:rPr>
        <w:t xml:space="preserve"> Built Environment Research Associates Conference </w:t>
      </w:r>
      <w:r w:rsidRPr="000447C5">
        <w:rPr>
          <w:rFonts w:ascii="TH SarabunPSK" w:hAnsi="TH SarabunPSK" w:cs="TH SarabunPSK"/>
          <w:sz w:val="32"/>
          <w:szCs w:val="32"/>
          <w:cs/>
        </w:rPr>
        <w:t>2018 (</w:t>
      </w:r>
      <w:r w:rsidRPr="000447C5">
        <w:rPr>
          <w:rFonts w:ascii="TH SarabunPSK" w:hAnsi="TH SarabunPSK" w:cs="TH SarabunPSK"/>
          <w:sz w:val="32"/>
          <w:szCs w:val="32"/>
        </w:rPr>
        <w:t xml:space="preserve">BERAC </w:t>
      </w:r>
      <w:r w:rsidRPr="000447C5">
        <w:rPr>
          <w:rFonts w:ascii="TH SarabunPSK" w:hAnsi="TH SarabunPSK" w:cs="TH SarabunPSK"/>
          <w:sz w:val="32"/>
          <w:szCs w:val="32"/>
          <w:cs/>
        </w:rPr>
        <w:t>9) คณะสถาปัตยกรรมศาสตร์และการผังเมือง มหาวิทยาลัยธรรมศาสตร์ ศูนย์รังสิต หน้า 49- 56.</w:t>
      </w:r>
    </w:p>
    <w:p w14:paraId="2CD5981D" w14:textId="77777777" w:rsidR="007E32E5" w:rsidRPr="000447C5" w:rsidRDefault="007E32E5" w:rsidP="000447C5">
      <w:pPr>
        <w:ind w:left="709" w:hanging="709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447C5">
        <w:rPr>
          <w:rFonts w:ascii="TH SarabunPSK" w:hAnsi="TH SarabunPSK" w:cs="TH SarabunPSK"/>
          <w:sz w:val="32"/>
          <w:szCs w:val="32"/>
          <w:cs/>
        </w:rPr>
        <w:t xml:space="preserve">บุญอนันต์ นทกุล และอติรัตน์ โรจนเสถียร. (2561).แนวทางออกแบบโรงเรียนฉลาดเล่น </w:t>
      </w:r>
      <w:r w:rsidRPr="000447C5">
        <w:rPr>
          <w:rFonts w:ascii="TH SarabunPSK" w:hAnsi="TH SarabunPSK" w:cs="TH SarabunPSK"/>
          <w:sz w:val="32"/>
          <w:szCs w:val="32"/>
        </w:rPr>
        <w:t xml:space="preserve">(Active Learning) </w:t>
      </w:r>
      <w:r w:rsidRPr="000447C5">
        <w:rPr>
          <w:rFonts w:ascii="TH SarabunPSK" w:hAnsi="TH SarabunPSK" w:cs="TH SarabunPSK"/>
          <w:sz w:val="32"/>
          <w:szCs w:val="32"/>
          <w:cs/>
        </w:rPr>
        <w:t xml:space="preserve">ของนักเรียนระดับมัธยมศึกษา ในบริบทชานเมืองกรุงเทพมหานคร. </w:t>
      </w:r>
      <w:r w:rsidRPr="000447C5">
        <w:rPr>
          <w:rFonts w:ascii="TH SarabunPSK" w:hAnsi="TH SarabunPSK" w:cs="TH SarabunPSK"/>
          <w:sz w:val="32"/>
          <w:szCs w:val="32"/>
        </w:rPr>
        <w:t xml:space="preserve">The </w:t>
      </w:r>
      <w:r w:rsidRPr="000447C5">
        <w:rPr>
          <w:rFonts w:ascii="TH SarabunPSK" w:hAnsi="TH SarabunPSK" w:cs="TH SarabunPSK"/>
          <w:sz w:val="32"/>
          <w:szCs w:val="32"/>
          <w:cs/>
        </w:rPr>
        <w:t>9</w:t>
      </w:r>
      <w:proofErr w:type="spellStart"/>
      <w:r w:rsidRPr="000447C5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0447C5">
        <w:rPr>
          <w:rFonts w:ascii="TH SarabunPSK" w:hAnsi="TH SarabunPSK" w:cs="TH SarabunPSK"/>
          <w:sz w:val="32"/>
          <w:szCs w:val="32"/>
        </w:rPr>
        <w:t xml:space="preserve"> Built Environment Research Associates Conference </w:t>
      </w:r>
      <w:r w:rsidRPr="000447C5">
        <w:rPr>
          <w:rFonts w:ascii="TH SarabunPSK" w:hAnsi="TH SarabunPSK" w:cs="TH SarabunPSK"/>
          <w:sz w:val="32"/>
          <w:szCs w:val="32"/>
          <w:cs/>
        </w:rPr>
        <w:t>2018 (</w:t>
      </w:r>
      <w:r w:rsidRPr="000447C5">
        <w:rPr>
          <w:rFonts w:ascii="TH SarabunPSK" w:hAnsi="TH SarabunPSK" w:cs="TH SarabunPSK"/>
          <w:sz w:val="32"/>
          <w:szCs w:val="32"/>
        </w:rPr>
        <w:t xml:space="preserve">BERAC </w:t>
      </w:r>
      <w:r w:rsidRPr="000447C5">
        <w:rPr>
          <w:rFonts w:ascii="TH SarabunPSK" w:hAnsi="TH SarabunPSK" w:cs="TH SarabunPSK"/>
          <w:sz w:val="32"/>
          <w:szCs w:val="32"/>
          <w:cs/>
        </w:rPr>
        <w:t>9) คณะสถาปัตยกรรมศาสตร์และการผังเมือง มหาวิทยาลัยธรรมศาสตร์ ศูนย์รังสิต หน้า 102-109.</w:t>
      </w:r>
    </w:p>
    <w:p w14:paraId="1C623423" w14:textId="6E7C4318" w:rsidR="00EB6109" w:rsidRPr="000447C5" w:rsidRDefault="007E32E5" w:rsidP="000447C5">
      <w:pPr>
        <w:ind w:left="709" w:hanging="709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447C5">
        <w:rPr>
          <w:rFonts w:ascii="TH SarabunPSK" w:hAnsi="TH SarabunPSK" w:cs="TH SarabunPSK"/>
          <w:sz w:val="32"/>
          <w:szCs w:val="32"/>
          <w:cs/>
        </w:rPr>
        <w:t xml:space="preserve">บุญอนันต์ นทกุล และ สิรวิชญ์ ระกำทอง. (2561).การนำเทคโนโลยีตอบสนองด้วยภาพและเสียงมาประยุกตืใช้ในการออกแบบพื้นที่กิจกรรมเคลื่อนไหวและจังหวะสำหรับเด็กปฐมวัย. </w:t>
      </w:r>
      <w:r w:rsidRPr="000447C5">
        <w:rPr>
          <w:rFonts w:ascii="TH SarabunPSK" w:hAnsi="TH SarabunPSK" w:cs="TH SarabunPSK"/>
          <w:sz w:val="32"/>
          <w:szCs w:val="32"/>
        </w:rPr>
        <w:t xml:space="preserve">The </w:t>
      </w:r>
      <w:r w:rsidRPr="000447C5">
        <w:rPr>
          <w:rFonts w:ascii="TH SarabunPSK" w:hAnsi="TH SarabunPSK" w:cs="TH SarabunPSK"/>
          <w:sz w:val="32"/>
          <w:szCs w:val="32"/>
          <w:cs/>
        </w:rPr>
        <w:t>9</w:t>
      </w:r>
      <w:proofErr w:type="spellStart"/>
      <w:r w:rsidRPr="000447C5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0447C5">
        <w:rPr>
          <w:rFonts w:ascii="TH SarabunPSK" w:hAnsi="TH SarabunPSK" w:cs="TH SarabunPSK"/>
          <w:sz w:val="32"/>
          <w:szCs w:val="32"/>
        </w:rPr>
        <w:t xml:space="preserve"> Built Environment Research Associates Conference </w:t>
      </w:r>
      <w:r w:rsidRPr="000447C5">
        <w:rPr>
          <w:rFonts w:ascii="TH SarabunPSK" w:hAnsi="TH SarabunPSK" w:cs="TH SarabunPSK"/>
          <w:sz w:val="32"/>
          <w:szCs w:val="32"/>
          <w:cs/>
        </w:rPr>
        <w:t>2018 (</w:t>
      </w:r>
      <w:r w:rsidRPr="000447C5">
        <w:rPr>
          <w:rFonts w:ascii="TH SarabunPSK" w:hAnsi="TH SarabunPSK" w:cs="TH SarabunPSK"/>
          <w:sz w:val="32"/>
          <w:szCs w:val="32"/>
        </w:rPr>
        <w:t xml:space="preserve">BERAC </w:t>
      </w:r>
      <w:r w:rsidRPr="000447C5">
        <w:rPr>
          <w:rFonts w:ascii="TH SarabunPSK" w:hAnsi="TH SarabunPSK" w:cs="TH SarabunPSK"/>
          <w:sz w:val="32"/>
          <w:szCs w:val="32"/>
          <w:cs/>
        </w:rPr>
        <w:t>9) คณะสถาปัตยกรรมศาสตร์และการผังเมือง มหาวิทยาลัยธรรมศาสตร์ ศูนย์รังสิต หน้า 240- 246.</w:t>
      </w:r>
    </w:p>
    <w:p w14:paraId="3026E67B" w14:textId="77777777" w:rsidR="000447C5" w:rsidRPr="000447C5" w:rsidRDefault="000447C5" w:rsidP="000447C5">
      <w:pPr>
        <w:ind w:left="709" w:hanging="709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2E0BCF68" w14:textId="5E5F49BE" w:rsidR="000447C5" w:rsidRPr="000447C5" w:rsidRDefault="000447C5" w:rsidP="000447C5">
      <w:pPr>
        <w:ind w:left="709" w:hanging="709"/>
        <w:contextualSpacing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พ.ศ.2556; 1</w:t>
      </w:r>
    </w:p>
    <w:p w14:paraId="1EFAF589" w14:textId="4CCCEC6B" w:rsidR="00EB6109" w:rsidRPr="000447C5" w:rsidRDefault="00EB6109" w:rsidP="000447C5">
      <w:pPr>
        <w:jc w:val="thaiDistribute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Marome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, W., </w:t>
      </w:r>
      <w:r w:rsidRPr="000447C5"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  <w:t xml:space="preserve">Archer, D.,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  <w:t>Natakun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  <w:t xml:space="preserve">, B., &amp;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  <w:t>Phanthuwongpakdee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  <w:t xml:space="preserve">, N. (2018) “The Value </w:t>
      </w:r>
    </w:p>
    <w:p w14:paraId="1CAA5007" w14:textId="77777777" w:rsidR="00EB6109" w:rsidRPr="000447C5" w:rsidRDefault="00EB6109" w:rsidP="000447C5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0447C5"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  <w:t xml:space="preserve">of Collective and Individual Assets in Building Urban Community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  <w:t>Resillience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  <w:t xml:space="preserve">”, </w:t>
      </w:r>
      <w:proofErr w:type="spellStart"/>
      <w:r w:rsidRPr="000447C5">
        <w:rPr>
          <w:rFonts w:ascii="TH SarabunPSK" w:eastAsia="Times New Roman" w:hAnsi="TH SarabunPSK" w:cs="TH SarabunPSK"/>
          <w:i/>
          <w:iCs/>
          <w:sz w:val="32"/>
          <w:szCs w:val="32"/>
          <w:shd w:val="clear" w:color="auto" w:fill="FFFFFF"/>
        </w:rPr>
        <w:t>IFoU</w:t>
      </w:r>
      <w:proofErr w:type="spellEnd"/>
      <w:r w:rsidRPr="000447C5">
        <w:rPr>
          <w:rFonts w:ascii="TH SarabunPSK" w:eastAsia="Times New Roman" w:hAnsi="TH SarabunPSK" w:cs="TH SarabunPSK"/>
          <w:i/>
          <w:iCs/>
          <w:sz w:val="32"/>
          <w:szCs w:val="32"/>
          <w:shd w:val="clear" w:color="auto" w:fill="FFFFFF"/>
        </w:rPr>
        <w:t xml:space="preserve"> 2018: Reframing Urban Resilience Implementation: Aligning Sustainability and Resilience</w:t>
      </w:r>
      <w:r w:rsidRPr="000447C5"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  <w:t xml:space="preserve">, Barcelona, Spain  </w:t>
      </w:r>
    </w:p>
    <w:p w14:paraId="37874353" w14:textId="77777777" w:rsidR="00EB6109" w:rsidRPr="000447C5" w:rsidRDefault="00EB6109" w:rsidP="000447C5">
      <w:pPr>
        <w:ind w:left="709" w:hanging="709"/>
        <w:contextualSpacing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proofErr w:type="spellStart"/>
      <w:r w:rsidRPr="000447C5">
        <w:rPr>
          <w:rFonts w:ascii="TH SarabunPSK" w:hAnsi="TH SarabunPSK" w:cs="TH SarabunPSK"/>
          <w:sz w:val="32"/>
          <w:szCs w:val="32"/>
        </w:rPr>
        <w:lastRenderedPageBreak/>
        <w:t>Natakun</w:t>
      </w:r>
      <w:proofErr w:type="spellEnd"/>
      <w:r w:rsidRPr="000447C5">
        <w:rPr>
          <w:rFonts w:ascii="TH SarabunPSK" w:hAnsi="TH SarabunPSK" w:cs="TH SarabunPSK"/>
          <w:sz w:val="32"/>
          <w:szCs w:val="32"/>
        </w:rPr>
        <w:t>, B., &amp; Suchai, N. (2019), “</w:t>
      </w:r>
      <w:r w:rsidRPr="000447C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Rethinking Affordable Row House Design for Multi-generational Lower Middle-income Family in Developing Countries: A Case Study of Bangkok, Thailand”, </w:t>
      </w:r>
      <w:r w:rsidRPr="000447C5">
        <w:rPr>
          <w:rFonts w:ascii="TH SarabunPSK" w:hAnsi="TH SarabunPSK" w:cs="TH SarabunPSK"/>
          <w:i/>
          <w:iCs/>
          <w:sz w:val="32"/>
          <w:szCs w:val="32"/>
          <w:shd w:val="clear" w:color="auto" w:fill="FFFFFF"/>
        </w:rPr>
        <w:t>The International Journal of Architectonic, Spatial, and Environmental Design</w:t>
      </w:r>
      <w:r w:rsidRPr="000447C5">
        <w:rPr>
          <w:rFonts w:ascii="TH SarabunPSK" w:hAnsi="TH SarabunPSK" w:cs="TH SarabunPSK"/>
          <w:sz w:val="32"/>
          <w:szCs w:val="32"/>
          <w:shd w:val="clear" w:color="auto" w:fill="FFFFFF"/>
        </w:rPr>
        <w:t>, Vol.13, issue 4, 17-39, Common Ground Research</w:t>
      </w:r>
    </w:p>
    <w:p w14:paraId="0F3BA55B" w14:textId="75E2A706" w:rsidR="00EB6109" w:rsidRPr="000447C5" w:rsidRDefault="00EB6109" w:rsidP="000447C5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Archer, D.,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Marome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, W.,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Natakun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, B.,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Mabangyang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, P., &amp;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Phanthuwongpakdee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, N. </w:t>
      </w:r>
    </w:p>
    <w:p w14:paraId="7E434608" w14:textId="74BA8D9A" w:rsidR="00EB6109" w:rsidRPr="000447C5" w:rsidRDefault="00EB6109" w:rsidP="000447C5">
      <w:pPr>
        <w:ind w:left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(2020), “The role of collective and individual assets in building urban community resilience”, </w:t>
      </w:r>
      <w:r w:rsidRPr="000447C5">
        <w:rPr>
          <w:rFonts w:ascii="TH SarabunPSK" w:eastAsia="Times New Roman" w:hAnsi="TH SarabunPSK" w:cs="TH SarabunPSK"/>
          <w:i/>
          <w:iCs/>
          <w:sz w:val="32"/>
          <w:szCs w:val="32"/>
        </w:rPr>
        <w:t>International Journal of Urban Sustainable Development</w:t>
      </w:r>
      <w:r w:rsidRPr="000447C5">
        <w:rPr>
          <w:rFonts w:ascii="TH SarabunPSK" w:eastAsia="Times New Roman" w:hAnsi="TH SarabunPSK" w:cs="TH SarabunPSK"/>
          <w:sz w:val="32"/>
          <w:szCs w:val="32"/>
        </w:rPr>
        <w:t>, 12:2, 169-186, DOI: 10.1080/19463138.2019.1671425</w:t>
      </w:r>
    </w:p>
    <w:p w14:paraId="23ECE57A" w14:textId="1FA2DFED" w:rsidR="00EB6109" w:rsidRPr="000447C5" w:rsidRDefault="00EB6109" w:rsidP="000447C5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proofErr w:type="spellStart"/>
      <w:r w:rsidRPr="000447C5">
        <w:rPr>
          <w:rFonts w:ascii="TH SarabunPSK" w:hAnsi="TH SarabunPSK" w:cs="TH SarabunPSK"/>
          <w:sz w:val="32"/>
          <w:szCs w:val="32"/>
          <w:shd w:val="clear" w:color="auto" w:fill="FFFFFF"/>
        </w:rPr>
        <w:t>Marome</w:t>
      </w:r>
      <w:proofErr w:type="spellEnd"/>
      <w:r w:rsidRPr="000447C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W., </w:t>
      </w:r>
      <w:proofErr w:type="spellStart"/>
      <w:r w:rsidRPr="000447C5">
        <w:rPr>
          <w:rFonts w:ascii="TH SarabunPSK" w:hAnsi="TH SarabunPSK" w:cs="TH SarabunPSK"/>
          <w:sz w:val="32"/>
          <w:szCs w:val="32"/>
          <w:shd w:val="clear" w:color="auto" w:fill="FFFFFF"/>
        </w:rPr>
        <w:t>Natakun</w:t>
      </w:r>
      <w:proofErr w:type="spellEnd"/>
      <w:r w:rsidRPr="000447C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B., &amp; Archer, D. (2021), “Examining the Use of Serious </w:t>
      </w:r>
    </w:p>
    <w:p w14:paraId="2FC25EF1" w14:textId="71F6CB94" w:rsidR="00EB6109" w:rsidRPr="000447C5" w:rsidRDefault="00EB6109" w:rsidP="000447C5">
      <w:pPr>
        <w:ind w:left="72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447C5">
        <w:rPr>
          <w:rFonts w:ascii="TH SarabunPSK" w:hAnsi="TH SarabunPSK" w:cs="TH SarabunPSK"/>
          <w:sz w:val="32"/>
          <w:szCs w:val="32"/>
          <w:shd w:val="clear" w:color="auto" w:fill="FFFFFF"/>
        </w:rPr>
        <w:t>Games for Enhancing Community Resilience to Climate Risks in Thailand”. </w:t>
      </w:r>
      <w:r w:rsidRPr="000447C5">
        <w:rPr>
          <w:rFonts w:ascii="TH SarabunPSK" w:hAnsi="TH SarabunPSK" w:cs="TH SarabunPSK"/>
          <w:i/>
          <w:iCs/>
          <w:sz w:val="32"/>
          <w:szCs w:val="32"/>
          <w:shd w:val="clear" w:color="auto" w:fill="FFFFFF"/>
        </w:rPr>
        <w:t>Sustainability</w:t>
      </w:r>
      <w:r w:rsidRPr="000447C5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r w:rsidRPr="000447C5">
        <w:rPr>
          <w:rFonts w:ascii="TH SarabunPSK" w:hAnsi="TH SarabunPSK" w:cs="TH SarabunPSK"/>
          <w:i/>
          <w:iCs/>
          <w:sz w:val="32"/>
          <w:szCs w:val="32"/>
          <w:shd w:val="clear" w:color="auto" w:fill="FFFFFF"/>
        </w:rPr>
        <w:t>13</w:t>
      </w:r>
      <w:r w:rsidRPr="000447C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4420. </w:t>
      </w:r>
      <w:hyperlink r:id="rId7" w:history="1">
        <w:r w:rsidRPr="000447C5">
          <w:rPr>
            <w:rStyle w:val="Hyperlink"/>
            <w:rFonts w:ascii="TH SarabunPSK" w:hAnsi="TH SarabunPSK" w:cs="TH SarabunPSK"/>
            <w:color w:val="auto"/>
            <w:sz w:val="32"/>
            <w:szCs w:val="32"/>
            <w:shd w:val="clear" w:color="auto" w:fill="FFFFFF"/>
          </w:rPr>
          <w:t>https://doi.org/10.3390/su13084420</w:t>
        </w:r>
      </w:hyperlink>
    </w:p>
    <w:p w14:paraId="4A22FD03" w14:textId="77777777" w:rsidR="007E32E5" w:rsidRPr="000447C5" w:rsidRDefault="007E32E5" w:rsidP="000447C5">
      <w:pPr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</w:p>
    <w:p w14:paraId="3B5143B7" w14:textId="5A4A9A50" w:rsidR="007E32E5" w:rsidRPr="000447C5" w:rsidRDefault="007E32E5" w:rsidP="000447C5">
      <w:pPr>
        <w:contextualSpacing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>3</w:t>
      </w:r>
      <w:r w:rsidR="00CE2F8B"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.</w:t>
      </w: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 xml:space="preserve"> </w:t>
      </w:r>
      <w:r w:rsidRPr="000447C5">
        <w:rPr>
          <w:rFonts w:ascii="TH SarabunPSK" w:eastAsia="Calibri" w:hAnsi="TH SarabunPSK" w:cs="TH SarabunPSK"/>
          <w:b/>
          <w:bCs/>
          <w:noProof/>
          <w:sz w:val="32"/>
          <w:szCs w:val="32"/>
          <w:u w:val="single"/>
          <w:cs/>
        </w:rPr>
        <w:t>ผู้ช่วยศาสตราจารย์ ดร.กัลยา ตันติยาสวัสดิกุล</w:t>
      </w:r>
    </w:p>
    <w:p w14:paraId="29E8103F" w14:textId="77777777" w:rsidR="000447C5" w:rsidRPr="000447C5" w:rsidRDefault="000447C5" w:rsidP="000447C5">
      <w:pPr>
        <w:ind w:left="709" w:hanging="709"/>
        <w:jc w:val="thaiDistribute"/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แต่สถาบันนำเสนอสภาสถาบันอนุมัติและจัดทำเป็นประกาศให้ทราบเป็นการทั่วไป และแจ้งให้ กพอ./กกอ. ทราบภายใน 30 วันนับแต่วันที่ออกประกาศ (ซึ่งไม่อยู่ใน Beall's list) หรือตีพิมพ์ในวารสารวิชาการที่ปรากฏในฐานข้อมูล TCI กลุ่มที่ 1; 0.8</w:t>
      </w:r>
    </w:p>
    <w:p w14:paraId="0296B6A1" w14:textId="7DB87EDE" w:rsidR="007E32E5" w:rsidRPr="000447C5" w:rsidRDefault="007E32E5" w:rsidP="000447C5">
      <w:pPr>
        <w:ind w:left="709" w:hanging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Kallaya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Tantiyaswasdikul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>. (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มกราคม-มิถุนายน 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62), A Framework for Design Thinking Outside the Design Profession: An Analysis of Design Thinking </w:t>
      </w:r>
      <w:proofErr w:type="gramStart"/>
      <w:r w:rsidRPr="000447C5">
        <w:rPr>
          <w:rFonts w:ascii="TH SarabunPSK" w:eastAsia="Times New Roman" w:hAnsi="TH SarabunPSK" w:cs="TH SarabunPSK"/>
          <w:sz w:val="32"/>
          <w:szCs w:val="32"/>
        </w:rPr>
        <w:t>Implementations,  Journal</w:t>
      </w:r>
      <w:proofErr w:type="gram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of Architectural/ Planning Research and Studies (JARS); 16(1): 45-68.</w:t>
      </w:r>
    </w:p>
    <w:p w14:paraId="2DE8D809" w14:textId="77777777" w:rsidR="000447C5" w:rsidRPr="000447C5" w:rsidRDefault="000447C5" w:rsidP="000447C5">
      <w:pPr>
        <w:ind w:left="709" w:hanging="709"/>
        <w:jc w:val="thaiDistribute"/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; 0.4</w:t>
      </w:r>
    </w:p>
    <w:p w14:paraId="02AEE3E7" w14:textId="5D4151B8" w:rsidR="007E32E5" w:rsidRPr="000447C5" w:rsidRDefault="007E32E5" w:rsidP="000447C5">
      <w:pPr>
        <w:ind w:left="709" w:hanging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Kallaya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Tantiyaswasdikul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>. (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กันยายน </w:t>
      </w:r>
      <w:r w:rsidRPr="000447C5">
        <w:rPr>
          <w:rFonts w:ascii="TH SarabunPSK" w:eastAsia="Times New Roman" w:hAnsi="TH SarabunPSK" w:cs="TH SarabunPSK"/>
          <w:sz w:val="32"/>
          <w:szCs w:val="32"/>
        </w:rPr>
        <w:t>60), Addressing complex challenges: A design thinking approach for social transformation, The AAE 2017 conference: Architecture Connects: Strategies for the co-production of architectural knowledge, Oxford Brookes University, 6-9 September 2017, UK: 127-137.</w:t>
      </w:r>
    </w:p>
    <w:p w14:paraId="0CAC4A81" w14:textId="77777777" w:rsidR="000447C5" w:rsidRPr="000447C5" w:rsidRDefault="000447C5" w:rsidP="000447C5">
      <w:pPr>
        <w:ind w:left="709" w:hanging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Curie Park,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Kallaya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Tantiyaswasdikul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, Steve Evans,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Pusit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Lertwattanaruk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>. (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มกราคม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62), Innovation catalysts for industrial waste challenges: Sri Lankan and Thai cases, Procedia Manufacturing; 33(2019): 570-77.</w:t>
      </w:r>
    </w:p>
    <w:p w14:paraId="48B2E3BF" w14:textId="77777777" w:rsidR="000447C5" w:rsidRPr="000447C5" w:rsidRDefault="000447C5" w:rsidP="000447C5">
      <w:pPr>
        <w:ind w:left="709" w:hanging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Tantiyaswasdikul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>, K. (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กันยายน 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63), How Design Thinking Can Foster Environmental Sustainability: Integrating Design Thinking into Circular Design Guide, The 6th International Conference on Industrial and Business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EngineerinSeptember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2020 Pages 157–162</w:t>
      </w:r>
    </w:p>
    <w:p w14:paraId="39FF0D87" w14:textId="20393575" w:rsidR="000447C5" w:rsidRPr="000447C5" w:rsidRDefault="000447C5" w:rsidP="000447C5">
      <w:pPr>
        <w:ind w:left="709" w:hanging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lastRenderedPageBreak/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; 0.2</w:t>
      </w:r>
    </w:p>
    <w:p w14:paraId="0A69D822" w14:textId="77777777" w:rsidR="007E32E5" w:rsidRPr="000447C5" w:rsidRDefault="007E32E5" w:rsidP="000447C5">
      <w:pPr>
        <w:ind w:left="709" w:hanging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นายภวัต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ฐิติญาณพร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Chulatep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Senivongse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, Isaac Jamieson and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Kallaya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0447C5">
        <w:rPr>
          <w:rFonts w:ascii="TH SarabunPSK" w:eastAsia="Times New Roman" w:hAnsi="TH SarabunPSK" w:cs="TH SarabunPSK"/>
          <w:sz w:val="32"/>
          <w:szCs w:val="32"/>
        </w:rPr>
        <w:t>Tantiyaswasdikul</w:t>
      </w:r>
      <w:proofErr w:type="spellEnd"/>
      <w:r w:rsidRPr="000447C5">
        <w:rPr>
          <w:rFonts w:ascii="TH SarabunPSK" w:eastAsia="Times New Roman" w:hAnsi="TH SarabunPSK" w:cs="TH SarabunPSK"/>
          <w:sz w:val="32"/>
          <w:szCs w:val="32"/>
        </w:rPr>
        <w:t>. (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มิถุนายน </w:t>
      </w:r>
      <w:r w:rsidRPr="000447C5">
        <w:rPr>
          <w:rFonts w:ascii="TH SarabunPSK" w:eastAsia="Times New Roman" w:hAnsi="TH SarabunPSK" w:cs="TH SarabunPSK"/>
          <w:sz w:val="32"/>
          <w:szCs w:val="32"/>
        </w:rPr>
        <w:t>62), A study on the use and adoption of sustainable product of room amenities in hotels</w:t>
      </w:r>
      <w:r w:rsidRPr="000447C5">
        <w:rPr>
          <w:rFonts w:ascii="TH SarabunPSK" w:eastAsia="Times New Roman" w:hAnsi="TH SarabunPSK" w:cs="TH SarabunPSK"/>
          <w:sz w:val="32"/>
          <w:szCs w:val="32"/>
        </w:rPr>
        <w:br/>
        <w:t xml:space="preserve">,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การประชุมวิชาการ ประจำปี 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2562 (Built Environment Research Associates Conference, 2019: BERAC 10)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ในวันที่ 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25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มิถุนายน </w:t>
      </w:r>
      <w:r w:rsidRPr="000447C5">
        <w:rPr>
          <w:rFonts w:ascii="TH SarabunPSK" w:eastAsia="Times New Roman" w:hAnsi="TH SarabunPSK" w:cs="TH SarabunPSK"/>
          <w:sz w:val="32"/>
          <w:szCs w:val="32"/>
        </w:rPr>
        <w:t>2562: 215-24.</w:t>
      </w:r>
    </w:p>
    <w:p w14:paraId="51760E94" w14:textId="77777777" w:rsidR="000447C5" w:rsidRPr="000447C5" w:rsidRDefault="000447C5" w:rsidP="000447C5">
      <w:pPr>
        <w:jc w:val="thaiDistribute"/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ตำราหรือหนังสือที่ผ่านการพิจารณาตามหลักเกณฑ์การประเมินตำแหน่งทางวิชาการแต่ไม่ได้นำมาขอรับการประเมินตำแหน่งทางวิชาการ; 1</w:t>
      </w:r>
    </w:p>
    <w:p w14:paraId="75D547E2" w14:textId="469807F5" w:rsidR="00A209B0" w:rsidRPr="000447C5" w:rsidRDefault="00A209B0" w:rsidP="000447C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447C5">
        <w:rPr>
          <w:rFonts w:ascii="TH SarabunPSK" w:hAnsi="TH SarabunPSK" w:cs="TH SarabunPSK"/>
          <w:sz w:val="32"/>
          <w:szCs w:val="32"/>
          <w:cs/>
        </w:rPr>
        <w:t>กัลยา ตันติยาสวัสดิกุล (2565) กระบวนการคิดเชิงออกแบบสำหรับการแก้ปัญหาอย่างสร้างสรรค์</w:t>
      </w:r>
    </w:p>
    <w:p w14:paraId="080AC2D4" w14:textId="711FF781" w:rsidR="007E32E5" w:rsidRPr="000447C5" w:rsidRDefault="007E32E5" w:rsidP="000447C5">
      <w:pPr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72670845" w14:textId="77777777" w:rsidR="000447C5" w:rsidRPr="000447C5" w:rsidRDefault="000447C5" w:rsidP="000447C5">
      <w:pPr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713FBA44" w14:textId="04C4AEFC" w:rsidR="00685446" w:rsidRPr="000447C5" w:rsidRDefault="00685446" w:rsidP="000447C5">
      <w:pPr>
        <w:contextualSpacing/>
        <w:jc w:val="thaiDistribute"/>
        <w:rPr>
          <w:rFonts w:ascii="TH SarabunPSK" w:eastAsia="Calibri" w:hAnsi="TH SarabunPSK" w:cs="TH SarabunPSK"/>
          <w:b/>
          <w:bCs/>
          <w:noProof/>
          <w:sz w:val="32"/>
          <w:szCs w:val="32"/>
          <w:u w:val="single"/>
        </w:rPr>
      </w:pP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>4</w:t>
      </w:r>
      <w:r w:rsidR="00CE2F8B"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.</w:t>
      </w: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 xml:space="preserve"> </w:t>
      </w:r>
      <w:r w:rsidRPr="000447C5">
        <w:rPr>
          <w:rFonts w:ascii="TH SarabunPSK" w:eastAsia="Calibri" w:hAnsi="TH SarabunPSK" w:cs="TH SarabunPSK"/>
          <w:b/>
          <w:bCs/>
          <w:noProof/>
          <w:sz w:val="32"/>
          <w:szCs w:val="32"/>
          <w:u w:val="single"/>
          <w:cs/>
        </w:rPr>
        <w:t>อาจารย์ นภมณี ทรัพย์สุนทรกุล</w:t>
      </w:r>
    </w:p>
    <w:p w14:paraId="57E3394D" w14:textId="77777777" w:rsidR="000447C5" w:rsidRPr="000447C5" w:rsidRDefault="000447C5" w:rsidP="000447C5">
      <w:pPr>
        <w:pStyle w:val="NormalWeb"/>
        <w:spacing w:before="0" w:beforeAutospacing="0" w:after="0" w:afterAutospacing="0"/>
        <w:ind w:left="709" w:hanging="709"/>
        <w:jc w:val="thaiDistribute"/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แต่สถาบันนำเสนอสภาสถาบันอนุมัติและจัดทำเป็นประกาศให้ทราบเป็นการทั่วไป และแจ้งให้ กพอ./กกอ. ทราบภายใน 30 วันนับแต่วันที่ออกประกาศ (ซึ่งไม่อยู่ใน Beall's list) หรือตีพิมพ์ในวารสารวิชาการที่ปรากฏในฐานข้อมูล TCI กลุ่มที่ 1; 0.8</w:t>
      </w:r>
    </w:p>
    <w:p w14:paraId="1D683A73" w14:textId="1810CF09" w:rsidR="00685446" w:rsidRPr="000447C5" w:rsidRDefault="00685446" w:rsidP="000447C5">
      <w:pPr>
        <w:pStyle w:val="NormalWeb"/>
        <w:spacing w:before="0" w:beforeAutospacing="0" w:after="0" w:afterAutospacing="0"/>
        <w:ind w:left="709" w:hanging="709"/>
        <w:jc w:val="thaiDistribute"/>
        <w:rPr>
          <w:rFonts w:ascii="TH SarabunPSK" w:hAnsi="TH SarabunPSK" w:cs="TH SarabunPSK"/>
          <w:position w:val="2"/>
          <w:sz w:val="32"/>
          <w:szCs w:val="32"/>
        </w:rPr>
      </w:pPr>
      <w:proofErr w:type="spellStart"/>
      <w:r w:rsidRPr="000447C5">
        <w:rPr>
          <w:rFonts w:ascii="TH SarabunPSK" w:eastAsia="Calibri" w:hAnsi="TH SarabunPSK" w:cs="TH SarabunPSK"/>
          <w:sz w:val="32"/>
          <w:szCs w:val="32"/>
        </w:rPr>
        <w:t>Supsoontornkul</w:t>
      </w:r>
      <w:proofErr w:type="spellEnd"/>
      <w:r w:rsidRPr="000447C5">
        <w:rPr>
          <w:rFonts w:ascii="TH SarabunPSK" w:eastAsia="Calibri" w:hAnsi="TH SarabunPSK" w:cs="TH SarabunPSK"/>
          <w:sz w:val="32"/>
          <w:szCs w:val="32"/>
        </w:rPr>
        <w:t xml:space="preserve">, N. (2022). </w:t>
      </w:r>
      <w:r w:rsidRPr="000447C5">
        <w:rPr>
          <w:rFonts w:ascii="TH SarabunPSK" w:hAnsi="TH SarabunPSK" w:cs="TH SarabunPSK"/>
          <w:sz w:val="32"/>
          <w:szCs w:val="32"/>
        </w:rPr>
        <w:t xml:space="preserve">Design Guideline for Bangkok Neighborhood Park Furniture Supporting Good Life Quality and Creative activities for urban living: A Case Study of </w:t>
      </w:r>
      <w:proofErr w:type="spellStart"/>
      <w:r w:rsidRPr="000447C5">
        <w:rPr>
          <w:rFonts w:ascii="TH SarabunPSK" w:hAnsi="TH SarabunPSK" w:cs="TH SarabunPSK"/>
          <w:sz w:val="32"/>
          <w:szCs w:val="32"/>
        </w:rPr>
        <w:t>Areesamphan</w:t>
      </w:r>
      <w:proofErr w:type="spellEnd"/>
      <w:r w:rsidRPr="000447C5">
        <w:rPr>
          <w:rFonts w:ascii="TH SarabunPSK" w:hAnsi="TH SarabunPSK" w:cs="TH SarabunPSK"/>
          <w:sz w:val="32"/>
          <w:szCs w:val="32"/>
        </w:rPr>
        <w:t xml:space="preserve"> Park. Journal of Architectural/ Planning Research and Studies (JARS), Vol.19(1).2022, 115-138. DOI: </w:t>
      </w:r>
      <w:r w:rsidRPr="000447C5">
        <w:rPr>
          <w:rFonts w:ascii="TH SarabunPSK" w:hAnsi="TH SarabunPSK" w:cs="TH SarabunPSK"/>
          <w:position w:val="2"/>
          <w:sz w:val="32"/>
          <w:szCs w:val="32"/>
        </w:rPr>
        <w:t xml:space="preserve">10.14456/jars.2022.7 </w:t>
      </w:r>
    </w:p>
    <w:p w14:paraId="2D7CC35A" w14:textId="77777777" w:rsidR="00493C94" w:rsidRPr="000447C5" w:rsidRDefault="00493C94" w:rsidP="000447C5">
      <w:pPr>
        <w:pStyle w:val="NormalWeb"/>
        <w:spacing w:before="0" w:beforeAutospacing="0" w:after="0" w:afterAutospacing="0"/>
        <w:ind w:left="709" w:hanging="709"/>
        <w:jc w:val="thaiDistribute"/>
        <w:rPr>
          <w:rFonts w:ascii="TH SarabunPSK" w:hAnsi="TH SarabunPSK" w:cs="TH SarabunPSK"/>
          <w:sz w:val="32"/>
          <w:szCs w:val="32"/>
        </w:rPr>
      </w:pPr>
    </w:p>
    <w:p w14:paraId="62D2326E" w14:textId="77777777" w:rsidR="000447C5" w:rsidRPr="000447C5" w:rsidRDefault="000447C5" w:rsidP="000447C5">
      <w:pPr>
        <w:ind w:left="720" w:hanging="720"/>
        <w:jc w:val="thaiDistribute"/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งานสร้างสรรค์ที่ได้รับการเผยแพร่ในระดับชาติ; 0.6</w:t>
      </w:r>
    </w:p>
    <w:p w14:paraId="386AF184" w14:textId="6308C749" w:rsidR="00685446" w:rsidRPr="000447C5" w:rsidRDefault="00685446" w:rsidP="000447C5">
      <w:pPr>
        <w:ind w:left="720" w:hanging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นภมณี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ทรัพย์สุนทรกุล. (25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61).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หนังสือรายงานผลงานการออกแบบสถาปัตยกรรมภายในพร้อมบทวิเคราะห์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นิทรรศการ 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586 Creative Seed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ในเทศกาลออกแบบกรุงเทพฯ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79C02546" w14:textId="77777777" w:rsidR="00685446" w:rsidRPr="000447C5" w:rsidRDefault="00685446" w:rsidP="000447C5">
      <w:pPr>
        <w:ind w:left="720" w:hanging="72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นภมณี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ทรัพย์สุนทรกุล. (25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60).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หนังสือรายงานผลงานการออกแบบสถาปัตยกรรมภายในพร้อมบทวิเคราะห์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อาคารเรียนพอดีพอดี ศูนย์พัฒนาเด็กเล็กองค์การบริหารส่วนตำบลแม่พริก </w:t>
      </w:r>
      <w:r w:rsidRPr="000447C5">
        <w:rPr>
          <w:rFonts w:ascii="TH SarabunPSK" w:eastAsia="Times New Roman" w:hAnsi="TH SarabunPSK" w:cs="TH SarabunPSK"/>
          <w:sz w:val="32"/>
          <w:szCs w:val="32"/>
        </w:rPr>
        <w:t>1 (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>อิตาเลี่ยนไทยอุปถัมภ์</w:t>
      </w:r>
      <w:r w:rsidRPr="000447C5">
        <w:rPr>
          <w:rFonts w:ascii="TH SarabunPSK" w:eastAsia="Times New Roman" w:hAnsi="TH SarabunPSK" w:cs="TH SarabunPSK"/>
          <w:sz w:val="32"/>
          <w:szCs w:val="32"/>
        </w:rPr>
        <w:t>)</w:t>
      </w:r>
      <w:r w:rsidRPr="000447C5">
        <w:rPr>
          <w:rFonts w:ascii="TH SarabunPSK" w:eastAsia="Times New Roman" w:hAnsi="TH SarabunPSK" w:cs="TH SarabunPSK"/>
          <w:sz w:val="32"/>
          <w:szCs w:val="32"/>
          <w:cs/>
        </w:rPr>
        <w:t xml:space="preserve"> โรงเรียนบ้านทุ่งฟ้าผ่า ต.แม่พริก อ.แม่สรวย จ.เชียงราย.</w:t>
      </w:r>
      <w:r w:rsidRPr="000447C5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532B4D5A" w14:textId="0A3C0759" w:rsidR="007E32E5" w:rsidRPr="000447C5" w:rsidRDefault="007E32E5" w:rsidP="000447C5">
      <w:pPr>
        <w:ind w:left="720" w:hanging="72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3BF2A418" w14:textId="77777777" w:rsidR="00CE2F8B" w:rsidRPr="000447C5" w:rsidRDefault="00CE2F8B" w:rsidP="000447C5">
      <w:pPr>
        <w:ind w:left="720" w:hanging="720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3F434F4F" w14:textId="70B59818" w:rsidR="007E32E5" w:rsidRPr="000447C5" w:rsidRDefault="007E32E5" w:rsidP="000447C5">
      <w:pPr>
        <w:ind w:left="720" w:hanging="720"/>
        <w:contextualSpacing/>
        <w:jc w:val="thaiDistribute"/>
        <w:rPr>
          <w:rFonts w:ascii="TH SarabunPSK" w:eastAsia="Calibri" w:hAnsi="TH SarabunPSK" w:cs="TH SarabunPSK"/>
          <w:b/>
          <w:bCs/>
          <w:noProof/>
          <w:sz w:val="32"/>
          <w:szCs w:val="32"/>
          <w:u w:val="single"/>
          <w:cs/>
        </w:rPr>
      </w:pP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>5</w:t>
      </w:r>
      <w:r w:rsidR="00CE2F8B"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.</w:t>
      </w:r>
      <w:r w:rsidRPr="000447C5"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  <w:t xml:space="preserve">  </w:t>
      </w:r>
      <w:r w:rsidRPr="000447C5">
        <w:rPr>
          <w:rFonts w:ascii="TH SarabunPSK" w:eastAsia="Calibri" w:hAnsi="TH SarabunPSK" w:cs="TH SarabunPSK"/>
          <w:b/>
          <w:bCs/>
          <w:noProof/>
          <w:sz w:val="32"/>
          <w:szCs w:val="32"/>
          <w:u w:val="single"/>
          <w:cs/>
        </w:rPr>
        <w:t>อาจารย์ เพชร จิตต์สุวรรณ</w:t>
      </w:r>
    </w:p>
    <w:p w14:paraId="244DBA14" w14:textId="77777777" w:rsidR="000447C5" w:rsidRPr="000447C5" w:rsidRDefault="000447C5" w:rsidP="000447C5">
      <w:pPr>
        <w:ind w:left="720" w:hanging="720"/>
        <w:contextualSpacing/>
        <w:jc w:val="thaiDistribute"/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</w:rPr>
      </w:pPr>
      <w:r w:rsidRPr="000447C5">
        <w:rPr>
          <w:rFonts w:ascii="TH SarabunPSK" w:hAnsi="TH SarabunPSK" w:cs="TH SarabunPSK"/>
          <w:b/>
          <w:bCs/>
          <w:i/>
          <w:iCs/>
          <w:color w:val="000000" w:themeColor="text1"/>
          <w:sz w:val="32"/>
          <w:szCs w:val="32"/>
          <w:cs/>
        </w:rPr>
        <w:t>งานสร้างสรรค์ที่ได้รับการเผยแพร่ในระดับชาติ; 0.6</w:t>
      </w:r>
    </w:p>
    <w:p w14:paraId="6CC9E6C4" w14:textId="4368BDFF" w:rsidR="007E32E5" w:rsidRPr="000447C5" w:rsidRDefault="007E32E5" w:rsidP="000447C5">
      <w:pPr>
        <w:ind w:left="720" w:hanging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0447C5">
        <w:rPr>
          <w:rFonts w:ascii="TH SarabunPSK" w:hAnsi="TH SarabunPSK" w:cs="TH SarabunPSK"/>
          <w:sz w:val="32"/>
          <w:szCs w:val="32"/>
          <w:cs/>
        </w:rPr>
        <w:t xml:space="preserve">เพชร จิตต์สุวรรณ. (2561). ออกแบบสถาปัตยกรรมภายในห้องพักบุคลากร คณะสถาปัตยกรรมศาสตร์และการผังเมือง. สถาปัตย์นิทรรศน์ ครั้งที่ 2 </w:t>
      </w:r>
    </w:p>
    <w:p w14:paraId="5505D683" w14:textId="02FAD72B" w:rsidR="001C0853" w:rsidRPr="000447C5" w:rsidRDefault="007E32E5" w:rsidP="000447C5">
      <w:pPr>
        <w:ind w:left="720" w:hanging="720"/>
        <w:contextualSpacing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0447C5">
        <w:rPr>
          <w:rFonts w:ascii="TH SarabunPSK" w:hAnsi="TH SarabunPSK" w:cs="TH SarabunPSK"/>
          <w:sz w:val="32"/>
          <w:szCs w:val="32"/>
          <w:cs/>
        </w:rPr>
        <w:t>เพชร จิตต์สุวรรณ</w:t>
      </w:r>
      <w:r w:rsidRPr="000447C5">
        <w:rPr>
          <w:rFonts w:ascii="TH SarabunPSK" w:eastAsia="Calibri" w:hAnsi="TH SarabunPSK" w:cs="TH SarabunPSK"/>
          <w:sz w:val="32"/>
          <w:szCs w:val="32"/>
        </w:rPr>
        <w:t xml:space="preserve">. (2563). </w:t>
      </w:r>
      <w:r w:rsidRPr="000447C5">
        <w:rPr>
          <w:rFonts w:ascii="TH SarabunPSK" w:eastAsia="Calibri" w:hAnsi="TH SarabunPSK" w:cs="TH SarabunPSK"/>
          <w:sz w:val="32"/>
          <w:szCs w:val="32"/>
          <w:cs/>
        </w:rPr>
        <w:t xml:space="preserve">ห้องปฏิบัติการชั่วคราว </w:t>
      </w:r>
      <w:r w:rsidRPr="000447C5">
        <w:rPr>
          <w:rFonts w:ascii="TH SarabunPSK" w:eastAsia="Calibri" w:hAnsi="TH SarabunPSK" w:cs="TH SarabunPSK"/>
          <w:sz w:val="32"/>
          <w:szCs w:val="32"/>
        </w:rPr>
        <w:t xml:space="preserve">(Design Future Lab) </w:t>
      </w:r>
      <w:r w:rsidRPr="000447C5">
        <w:rPr>
          <w:rFonts w:ascii="TH SarabunPSK" w:eastAsia="Calibri" w:hAnsi="TH SarabunPSK" w:cs="TH SarabunPSK"/>
          <w:sz w:val="32"/>
          <w:szCs w:val="32"/>
          <w:cs/>
        </w:rPr>
        <w:t>สถาปัตย์นิทรรศน์ ครั้งที่ 4 หน้า 94-65.</w:t>
      </w:r>
    </w:p>
    <w:sectPr w:rsidR="001C0853" w:rsidRPr="000447C5">
      <w:footerReference w:type="even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6B83" w14:textId="77777777" w:rsidR="00697956" w:rsidRDefault="00697956">
      <w:r>
        <w:separator/>
      </w:r>
    </w:p>
  </w:endnote>
  <w:endnote w:type="continuationSeparator" w:id="0">
    <w:p w14:paraId="11163255" w14:textId="77777777" w:rsidR="00697956" w:rsidRDefault="0069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B Thai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7DD1" w14:textId="77777777" w:rsidR="00A044F8" w:rsidRDefault="00A044F8" w:rsidP="00724E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1084A9" w14:textId="77777777" w:rsidR="00A044F8" w:rsidRDefault="00A044F8" w:rsidP="006A1C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2046" w14:textId="77777777" w:rsidR="00A044F8" w:rsidRPr="00A65E0B" w:rsidRDefault="00A044F8" w:rsidP="00A044F8">
    <w:pPr>
      <w:pStyle w:val="Footer"/>
      <w:framePr w:w="2160" w:wrap="around" w:vAnchor="text" w:hAnchor="page" w:x="8281" w:y="-13"/>
      <w:ind w:right="-195"/>
      <w:rPr>
        <w:rStyle w:val="PageNumber"/>
        <w:rFonts w:ascii="TH SarabunPSK" w:hAnsi="TH SarabunPSK" w:cs="TH SarabunPSK"/>
        <w:i/>
        <w:iCs/>
        <w:szCs w:val="28"/>
      </w:rPr>
    </w:pPr>
    <w:r>
      <w:rPr>
        <w:rStyle w:val="PageNumber"/>
        <w:rFonts w:hint="cs"/>
        <w:i/>
        <w:iCs/>
        <w:szCs w:val="28"/>
        <w:cs/>
      </w:rPr>
      <w:t xml:space="preserve">      </w:t>
    </w:r>
    <w:r w:rsidRPr="00A65E0B">
      <w:rPr>
        <w:rStyle w:val="PageNumber"/>
        <w:rFonts w:ascii="TH SarabunPSK" w:hAnsi="TH SarabunPSK" w:cs="TH SarabunPSK"/>
        <w:i/>
        <w:iCs/>
        <w:szCs w:val="28"/>
        <w:cs/>
      </w:rPr>
      <w:t xml:space="preserve">ภาคผนวก 1 หน้า </w:t>
    </w:r>
    <w:r w:rsidRPr="00A65E0B">
      <w:rPr>
        <w:rStyle w:val="PageNumber"/>
        <w:rFonts w:ascii="TH SarabunPSK" w:hAnsi="TH SarabunPSK" w:cs="TH SarabunPSK"/>
        <w:i/>
        <w:iCs/>
        <w:szCs w:val="28"/>
      </w:rPr>
      <w:fldChar w:fldCharType="begin"/>
    </w:r>
    <w:r w:rsidRPr="00A65E0B">
      <w:rPr>
        <w:rStyle w:val="PageNumber"/>
        <w:rFonts w:ascii="TH SarabunPSK" w:hAnsi="TH SarabunPSK" w:cs="TH SarabunPSK"/>
        <w:i/>
        <w:iCs/>
        <w:szCs w:val="28"/>
      </w:rPr>
      <w:instrText xml:space="preserve">PAGE  </w:instrText>
    </w:r>
    <w:r w:rsidRPr="00A65E0B">
      <w:rPr>
        <w:rStyle w:val="PageNumber"/>
        <w:rFonts w:ascii="TH SarabunPSK" w:hAnsi="TH SarabunPSK" w:cs="TH SarabunPSK"/>
        <w:i/>
        <w:iCs/>
        <w:szCs w:val="28"/>
      </w:rPr>
      <w:fldChar w:fldCharType="separate"/>
    </w:r>
    <w:r w:rsidR="00A34C8C">
      <w:rPr>
        <w:rStyle w:val="PageNumber"/>
        <w:rFonts w:ascii="TH SarabunPSK" w:hAnsi="TH SarabunPSK" w:cs="TH SarabunPSK"/>
        <w:i/>
        <w:iCs/>
        <w:noProof/>
        <w:szCs w:val="28"/>
      </w:rPr>
      <w:t>1</w:t>
    </w:r>
    <w:r w:rsidRPr="00A65E0B">
      <w:rPr>
        <w:rStyle w:val="PageNumber"/>
        <w:rFonts w:ascii="TH SarabunPSK" w:hAnsi="TH SarabunPSK" w:cs="TH SarabunPSK"/>
        <w:i/>
        <w:iCs/>
        <w:szCs w:val="28"/>
      </w:rPr>
      <w:fldChar w:fldCharType="end"/>
    </w:r>
  </w:p>
  <w:p w14:paraId="712DE7D5" w14:textId="77777777" w:rsidR="00A044F8" w:rsidRPr="00A65E0B" w:rsidRDefault="00A044F8" w:rsidP="006A1C3A">
    <w:pPr>
      <w:pStyle w:val="Footer"/>
      <w:ind w:right="360"/>
      <w:rPr>
        <w:rFonts w:ascii="TH SarabunPSK" w:hAnsi="TH SarabunPSK" w:cs="TH SarabunPSK"/>
        <w:i/>
        <w:iCs/>
        <w:szCs w:val="28"/>
        <w:cs/>
      </w:rPr>
    </w:pPr>
    <w:r w:rsidRPr="00A65E0B">
      <w:rPr>
        <w:rFonts w:ascii="TH SarabunPSK" w:hAnsi="TH SarabunPSK" w:cs="TH SarabunPSK"/>
        <w:i/>
        <w:iCs/>
        <w:szCs w:val="28"/>
        <w:cs/>
      </w:rPr>
      <w:t>หลักสูตรสถาปัตยกรรมภายในบัณฑิต ฉบับปรับปรุง พ.ศ. 25</w:t>
    </w:r>
    <w:r w:rsidR="00A65E0B" w:rsidRPr="00A65E0B">
      <w:rPr>
        <w:rFonts w:ascii="TH SarabunPSK" w:hAnsi="TH SarabunPSK" w:cs="TH SarabunPSK"/>
        <w:i/>
        <w:iCs/>
        <w:szCs w:val="28"/>
        <w:cs/>
      </w:rPr>
      <w:t>6</w:t>
    </w:r>
    <w:r w:rsidR="007E32E5">
      <w:rPr>
        <w:rFonts w:ascii="TH SarabunPSK" w:hAnsi="TH SarabunPSK" w:cs="TH SarabunPSK" w:hint="cs"/>
        <w:i/>
        <w:iCs/>
        <w:szCs w:val="28"/>
        <w:cs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7C7D" w14:textId="77777777" w:rsidR="00697956" w:rsidRDefault="00697956">
      <w:r>
        <w:separator/>
      </w:r>
    </w:p>
  </w:footnote>
  <w:footnote w:type="continuationSeparator" w:id="0">
    <w:p w14:paraId="53FC8895" w14:textId="77777777" w:rsidR="00697956" w:rsidRDefault="0069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A41"/>
    <w:multiLevelType w:val="hybridMultilevel"/>
    <w:tmpl w:val="9EA8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0B95"/>
    <w:multiLevelType w:val="multilevel"/>
    <w:tmpl w:val="F3500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ngsana New" w:hAnsi="Angsana New" w:cs="Angsana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76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1FA6DE9"/>
    <w:multiLevelType w:val="singleLevel"/>
    <w:tmpl w:val="FC38976C"/>
    <w:name w:val="AODoc2222"/>
    <w:lvl w:ilvl="0">
      <w:start w:val="1"/>
      <w:numFmt w:val="bullet"/>
      <w:pStyle w:val="AO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AODocTxtL1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AODocTxtL2"/>
      <w:suff w:val="nothing"/>
      <w:lvlText w:val=""/>
      <w:lvlJc w:val="left"/>
      <w:pPr>
        <w:ind w:left="1440" w:firstLine="0"/>
      </w:pPr>
    </w:lvl>
    <w:lvl w:ilvl="3">
      <w:start w:val="1"/>
      <w:numFmt w:val="none"/>
      <w:pStyle w:val="AODocTxtL3"/>
      <w:suff w:val="nothing"/>
      <w:lvlText w:val=""/>
      <w:lvlJc w:val="left"/>
      <w:pPr>
        <w:ind w:left="2160" w:firstLine="0"/>
      </w:pPr>
    </w:lvl>
    <w:lvl w:ilvl="4">
      <w:start w:val="1"/>
      <w:numFmt w:val="none"/>
      <w:pStyle w:val="AODocTxtL4"/>
      <w:suff w:val="nothing"/>
      <w:lvlText w:val=""/>
      <w:lvlJc w:val="left"/>
      <w:pPr>
        <w:ind w:left="2880" w:firstLine="0"/>
      </w:pPr>
    </w:lvl>
    <w:lvl w:ilvl="5">
      <w:start w:val="1"/>
      <w:numFmt w:val="none"/>
      <w:pStyle w:val="AODocTxtL5"/>
      <w:suff w:val="nothing"/>
      <w:lvlText w:val=""/>
      <w:lvlJc w:val="left"/>
      <w:pPr>
        <w:ind w:left="3600" w:firstLine="0"/>
      </w:pPr>
    </w:lvl>
    <w:lvl w:ilvl="6">
      <w:start w:val="1"/>
      <w:numFmt w:val="none"/>
      <w:pStyle w:val="AODocTxtL6"/>
      <w:suff w:val="nothing"/>
      <w:lvlText w:val=""/>
      <w:lvlJc w:val="left"/>
      <w:pPr>
        <w:ind w:left="4320" w:firstLine="0"/>
      </w:pPr>
    </w:lvl>
    <w:lvl w:ilvl="7">
      <w:start w:val="1"/>
      <w:numFmt w:val="none"/>
      <w:pStyle w:val="AODocTxtL7"/>
      <w:suff w:val="nothing"/>
      <w:lvlText w:val=""/>
      <w:lvlJc w:val="left"/>
      <w:pPr>
        <w:ind w:left="5040" w:firstLine="0"/>
      </w:pPr>
    </w:lvl>
    <w:lvl w:ilvl="8">
      <w:start w:val="1"/>
      <w:numFmt w:val="none"/>
      <w:pStyle w:val="AODocTxtL8"/>
      <w:suff w:val="nothing"/>
      <w:lvlText w:val=""/>
      <w:lvlJc w:val="left"/>
      <w:pPr>
        <w:ind w:left="5760" w:firstLine="0"/>
      </w:pPr>
    </w:lvl>
  </w:abstractNum>
  <w:abstractNum w:abstractNumId="4" w15:restartNumberingAfterBreak="0">
    <w:nsid w:val="4B34426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08963B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BE514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16614459">
    <w:abstractNumId w:val="2"/>
  </w:num>
  <w:num w:numId="2" w16cid:durableId="664745526">
    <w:abstractNumId w:val="3"/>
  </w:num>
  <w:num w:numId="3" w16cid:durableId="1347094918">
    <w:abstractNumId w:val="6"/>
  </w:num>
  <w:num w:numId="4" w16cid:durableId="821195980">
    <w:abstractNumId w:val="5"/>
  </w:num>
  <w:num w:numId="5" w16cid:durableId="403450433">
    <w:abstractNumId w:val="4"/>
  </w:num>
  <w:num w:numId="6" w16cid:durableId="1408504131">
    <w:abstractNumId w:val="0"/>
  </w:num>
  <w:num w:numId="7" w16cid:durableId="93201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96"/>
    <w:rsid w:val="00003914"/>
    <w:rsid w:val="0001172E"/>
    <w:rsid w:val="000214C8"/>
    <w:rsid w:val="000447C5"/>
    <w:rsid w:val="000607FE"/>
    <w:rsid w:val="00062DAC"/>
    <w:rsid w:val="00064EE5"/>
    <w:rsid w:val="00067B3A"/>
    <w:rsid w:val="00084769"/>
    <w:rsid w:val="00085837"/>
    <w:rsid w:val="00085D17"/>
    <w:rsid w:val="00085ECD"/>
    <w:rsid w:val="000A4E96"/>
    <w:rsid w:val="000C26BB"/>
    <w:rsid w:val="000D202B"/>
    <w:rsid w:val="000D617B"/>
    <w:rsid w:val="000F2431"/>
    <w:rsid w:val="000F27DC"/>
    <w:rsid w:val="000F3D9F"/>
    <w:rsid w:val="00103CE9"/>
    <w:rsid w:val="00111D30"/>
    <w:rsid w:val="00135FF0"/>
    <w:rsid w:val="001373BC"/>
    <w:rsid w:val="001402B0"/>
    <w:rsid w:val="00140DC6"/>
    <w:rsid w:val="00143D1E"/>
    <w:rsid w:val="00147D77"/>
    <w:rsid w:val="001510E9"/>
    <w:rsid w:val="00171E4A"/>
    <w:rsid w:val="001747AE"/>
    <w:rsid w:val="00176DA5"/>
    <w:rsid w:val="00194C5E"/>
    <w:rsid w:val="001A00FA"/>
    <w:rsid w:val="001A39EC"/>
    <w:rsid w:val="001A658D"/>
    <w:rsid w:val="001B3AD5"/>
    <w:rsid w:val="001B6072"/>
    <w:rsid w:val="001C0853"/>
    <w:rsid w:val="001C6F9E"/>
    <w:rsid w:val="001D5649"/>
    <w:rsid w:val="001F2BC8"/>
    <w:rsid w:val="001F3229"/>
    <w:rsid w:val="001F59CE"/>
    <w:rsid w:val="00202638"/>
    <w:rsid w:val="00211002"/>
    <w:rsid w:val="00211358"/>
    <w:rsid w:val="00212F82"/>
    <w:rsid w:val="002251BE"/>
    <w:rsid w:val="002432CB"/>
    <w:rsid w:val="002573DD"/>
    <w:rsid w:val="0025777D"/>
    <w:rsid w:val="0027545F"/>
    <w:rsid w:val="0028657F"/>
    <w:rsid w:val="00296FF8"/>
    <w:rsid w:val="00297003"/>
    <w:rsid w:val="002A499B"/>
    <w:rsid w:val="002A697F"/>
    <w:rsid w:val="002B14A0"/>
    <w:rsid w:val="002B2592"/>
    <w:rsid w:val="002B5C95"/>
    <w:rsid w:val="002C0072"/>
    <w:rsid w:val="002D2E47"/>
    <w:rsid w:val="0030589F"/>
    <w:rsid w:val="003077B4"/>
    <w:rsid w:val="00317EC0"/>
    <w:rsid w:val="00332FB3"/>
    <w:rsid w:val="003363D6"/>
    <w:rsid w:val="00337958"/>
    <w:rsid w:val="003439C7"/>
    <w:rsid w:val="00361C01"/>
    <w:rsid w:val="003709AC"/>
    <w:rsid w:val="00393D79"/>
    <w:rsid w:val="0039709F"/>
    <w:rsid w:val="003A2EDB"/>
    <w:rsid w:val="003A45F7"/>
    <w:rsid w:val="003B2DC3"/>
    <w:rsid w:val="003D1BFC"/>
    <w:rsid w:val="003E1656"/>
    <w:rsid w:val="003F760D"/>
    <w:rsid w:val="00443190"/>
    <w:rsid w:val="00447FE7"/>
    <w:rsid w:val="00452AD4"/>
    <w:rsid w:val="0046420E"/>
    <w:rsid w:val="00467FEF"/>
    <w:rsid w:val="004716C2"/>
    <w:rsid w:val="004716E1"/>
    <w:rsid w:val="0047349A"/>
    <w:rsid w:val="00481BF8"/>
    <w:rsid w:val="00485605"/>
    <w:rsid w:val="00493C94"/>
    <w:rsid w:val="004A2F70"/>
    <w:rsid w:val="004A4FD9"/>
    <w:rsid w:val="004A5AA2"/>
    <w:rsid w:val="004A5B89"/>
    <w:rsid w:val="004B69C3"/>
    <w:rsid w:val="004C0B53"/>
    <w:rsid w:val="004F1012"/>
    <w:rsid w:val="00523E12"/>
    <w:rsid w:val="00534A6E"/>
    <w:rsid w:val="00540685"/>
    <w:rsid w:val="00540E93"/>
    <w:rsid w:val="00551305"/>
    <w:rsid w:val="005561B6"/>
    <w:rsid w:val="00561A56"/>
    <w:rsid w:val="00565262"/>
    <w:rsid w:val="00591D55"/>
    <w:rsid w:val="00595974"/>
    <w:rsid w:val="00597B2E"/>
    <w:rsid w:val="005A4F90"/>
    <w:rsid w:val="005A63B3"/>
    <w:rsid w:val="005A7B1E"/>
    <w:rsid w:val="005C48C6"/>
    <w:rsid w:val="005C6FB9"/>
    <w:rsid w:val="005D2567"/>
    <w:rsid w:val="005D2884"/>
    <w:rsid w:val="005D7B05"/>
    <w:rsid w:val="005E6F56"/>
    <w:rsid w:val="005F0982"/>
    <w:rsid w:val="005F0D36"/>
    <w:rsid w:val="00604D93"/>
    <w:rsid w:val="0061340D"/>
    <w:rsid w:val="00616441"/>
    <w:rsid w:val="00624051"/>
    <w:rsid w:val="00624516"/>
    <w:rsid w:val="0063659B"/>
    <w:rsid w:val="0063667E"/>
    <w:rsid w:val="00636D96"/>
    <w:rsid w:val="00647830"/>
    <w:rsid w:val="0065444A"/>
    <w:rsid w:val="00656037"/>
    <w:rsid w:val="00667241"/>
    <w:rsid w:val="0067351D"/>
    <w:rsid w:val="00681E18"/>
    <w:rsid w:val="00685446"/>
    <w:rsid w:val="0069261B"/>
    <w:rsid w:val="00697956"/>
    <w:rsid w:val="006A1C3A"/>
    <w:rsid w:val="006A5074"/>
    <w:rsid w:val="006B5EDC"/>
    <w:rsid w:val="006B6BD6"/>
    <w:rsid w:val="006B72B2"/>
    <w:rsid w:val="006D65D8"/>
    <w:rsid w:val="006E3B2A"/>
    <w:rsid w:val="006E4E92"/>
    <w:rsid w:val="006E6C33"/>
    <w:rsid w:val="006E6C5B"/>
    <w:rsid w:val="006F4D8B"/>
    <w:rsid w:val="00705AC6"/>
    <w:rsid w:val="00724E59"/>
    <w:rsid w:val="00726388"/>
    <w:rsid w:val="00726E77"/>
    <w:rsid w:val="00731606"/>
    <w:rsid w:val="0075401C"/>
    <w:rsid w:val="007547DA"/>
    <w:rsid w:val="00766576"/>
    <w:rsid w:val="00770B3D"/>
    <w:rsid w:val="007859E7"/>
    <w:rsid w:val="007964A3"/>
    <w:rsid w:val="007A24CD"/>
    <w:rsid w:val="007A6994"/>
    <w:rsid w:val="007C4C76"/>
    <w:rsid w:val="007C7463"/>
    <w:rsid w:val="007D69C3"/>
    <w:rsid w:val="007E32E5"/>
    <w:rsid w:val="007E4807"/>
    <w:rsid w:val="007F0752"/>
    <w:rsid w:val="008148A7"/>
    <w:rsid w:val="00814E58"/>
    <w:rsid w:val="008404B4"/>
    <w:rsid w:val="0084671F"/>
    <w:rsid w:val="008832B6"/>
    <w:rsid w:val="00883A92"/>
    <w:rsid w:val="008855F5"/>
    <w:rsid w:val="008A38C7"/>
    <w:rsid w:val="008B762E"/>
    <w:rsid w:val="008C37DB"/>
    <w:rsid w:val="008C65A9"/>
    <w:rsid w:val="008D46DF"/>
    <w:rsid w:val="00921041"/>
    <w:rsid w:val="00931D45"/>
    <w:rsid w:val="00931ED4"/>
    <w:rsid w:val="0093302F"/>
    <w:rsid w:val="00941976"/>
    <w:rsid w:val="00943E2B"/>
    <w:rsid w:val="009552B9"/>
    <w:rsid w:val="00960110"/>
    <w:rsid w:val="0096287C"/>
    <w:rsid w:val="0096464A"/>
    <w:rsid w:val="00971E30"/>
    <w:rsid w:val="00985475"/>
    <w:rsid w:val="00993B03"/>
    <w:rsid w:val="0099639B"/>
    <w:rsid w:val="009A770E"/>
    <w:rsid w:val="009A77EA"/>
    <w:rsid w:val="009B2A41"/>
    <w:rsid w:val="009C250F"/>
    <w:rsid w:val="009E2953"/>
    <w:rsid w:val="009E41D5"/>
    <w:rsid w:val="00A01E9A"/>
    <w:rsid w:val="00A044F8"/>
    <w:rsid w:val="00A209B0"/>
    <w:rsid w:val="00A223FF"/>
    <w:rsid w:val="00A26A38"/>
    <w:rsid w:val="00A34C8C"/>
    <w:rsid w:val="00A445C4"/>
    <w:rsid w:val="00A53D70"/>
    <w:rsid w:val="00A56935"/>
    <w:rsid w:val="00A65E0B"/>
    <w:rsid w:val="00A679CA"/>
    <w:rsid w:val="00A7007A"/>
    <w:rsid w:val="00A768C3"/>
    <w:rsid w:val="00A83C8A"/>
    <w:rsid w:val="00A90C53"/>
    <w:rsid w:val="00A92CC3"/>
    <w:rsid w:val="00A92FF9"/>
    <w:rsid w:val="00A97FE8"/>
    <w:rsid w:val="00AA48EF"/>
    <w:rsid w:val="00AB2265"/>
    <w:rsid w:val="00AB2285"/>
    <w:rsid w:val="00AB5A71"/>
    <w:rsid w:val="00AC2B16"/>
    <w:rsid w:val="00AD1155"/>
    <w:rsid w:val="00AE1E2D"/>
    <w:rsid w:val="00AE7AA4"/>
    <w:rsid w:val="00AF3E99"/>
    <w:rsid w:val="00B01CE7"/>
    <w:rsid w:val="00B16E97"/>
    <w:rsid w:val="00B17BFF"/>
    <w:rsid w:val="00B33913"/>
    <w:rsid w:val="00B47B91"/>
    <w:rsid w:val="00B50D67"/>
    <w:rsid w:val="00B65497"/>
    <w:rsid w:val="00B67B9D"/>
    <w:rsid w:val="00B718F7"/>
    <w:rsid w:val="00B77D93"/>
    <w:rsid w:val="00B8790E"/>
    <w:rsid w:val="00B91E53"/>
    <w:rsid w:val="00BB6D07"/>
    <w:rsid w:val="00BC5D8C"/>
    <w:rsid w:val="00BD07C8"/>
    <w:rsid w:val="00BE76B3"/>
    <w:rsid w:val="00C03E2D"/>
    <w:rsid w:val="00C05914"/>
    <w:rsid w:val="00C05B4C"/>
    <w:rsid w:val="00C07038"/>
    <w:rsid w:val="00C07DC4"/>
    <w:rsid w:val="00C31F2E"/>
    <w:rsid w:val="00C42EE7"/>
    <w:rsid w:val="00C5103F"/>
    <w:rsid w:val="00C53D2D"/>
    <w:rsid w:val="00C87279"/>
    <w:rsid w:val="00C924DE"/>
    <w:rsid w:val="00CB242F"/>
    <w:rsid w:val="00CB541B"/>
    <w:rsid w:val="00CC77D1"/>
    <w:rsid w:val="00CD0D4B"/>
    <w:rsid w:val="00CD31BA"/>
    <w:rsid w:val="00CD4872"/>
    <w:rsid w:val="00CD60EB"/>
    <w:rsid w:val="00CE2F8B"/>
    <w:rsid w:val="00CE6578"/>
    <w:rsid w:val="00CF2528"/>
    <w:rsid w:val="00CF6664"/>
    <w:rsid w:val="00D02034"/>
    <w:rsid w:val="00D10643"/>
    <w:rsid w:val="00D26055"/>
    <w:rsid w:val="00D34E9E"/>
    <w:rsid w:val="00D44944"/>
    <w:rsid w:val="00D74649"/>
    <w:rsid w:val="00D82B1A"/>
    <w:rsid w:val="00D8332E"/>
    <w:rsid w:val="00D833FF"/>
    <w:rsid w:val="00D94B22"/>
    <w:rsid w:val="00DB3A38"/>
    <w:rsid w:val="00DC093B"/>
    <w:rsid w:val="00DD78AF"/>
    <w:rsid w:val="00DE5501"/>
    <w:rsid w:val="00DE793A"/>
    <w:rsid w:val="00DF634A"/>
    <w:rsid w:val="00E173FE"/>
    <w:rsid w:val="00E37D38"/>
    <w:rsid w:val="00E57FC1"/>
    <w:rsid w:val="00E60142"/>
    <w:rsid w:val="00E630DC"/>
    <w:rsid w:val="00E764CE"/>
    <w:rsid w:val="00E76EEB"/>
    <w:rsid w:val="00EA57EC"/>
    <w:rsid w:val="00EA5935"/>
    <w:rsid w:val="00EB60A2"/>
    <w:rsid w:val="00EB6109"/>
    <w:rsid w:val="00EB6AA6"/>
    <w:rsid w:val="00EB6EC8"/>
    <w:rsid w:val="00EB7725"/>
    <w:rsid w:val="00EC7CAE"/>
    <w:rsid w:val="00ED26D6"/>
    <w:rsid w:val="00ED596A"/>
    <w:rsid w:val="00EF10BE"/>
    <w:rsid w:val="00F237B2"/>
    <w:rsid w:val="00F268DF"/>
    <w:rsid w:val="00F32787"/>
    <w:rsid w:val="00F527AD"/>
    <w:rsid w:val="00F5691F"/>
    <w:rsid w:val="00F56CD5"/>
    <w:rsid w:val="00F7174F"/>
    <w:rsid w:val="00F819D4"/>
    <w:rsid w:val="00F86289"/>
    <w:rsid w:val="00F9416C"/>
    <w:rsid w:val="00FA611B"/>
    <w:rsid w:val="00FB5F4B"/>
    <w:rsid w:val="00FB7416"/>
    <w:rsid w:val="00FD0310"/>
    <w:rsid w:val="00FE3401"/>
    <w:rsid w:val="00FE7831"/>
    <w:rsid w:val="00FF104B"/>
    <w:rsid w:val="00FF109A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AA305"/>
  <w15:docId w15:val="{FABB738E-7EE0-4A54-9B70-9E056C70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E96"/>
    <w:rPr>
      <w:rFonts w:ascii="Cordia New" w:eastAsia="Cordia New" w:hAnsi="Cordia New" w:cs="Cordia New"/>
      <w:sz w:val="28"/>
      <w:szCs w:val="28"/>
    </w:rPr>
  </w:style>
  <w:style w:type="paragraph" w:styleId="Heading4">
    <w:name w:val="heading 4"/>
    <w:basedOn w:val="Normal"/>
    <w:next w:val="Normal"/>
    <w:qFormat/>
    <w:rsid w:val="005D7B05"/>
    <w:pPr>
      <w:keepNext/>
      <w:jc w:val="both"/>
      <w:outlineLvl w:val="3"/>
    </w:pPr>
    <w:rPr>
      <w:rFonts w:eastAsia="Times New Roman"/>
    </w:rPr>
  </w:style>
  <w:style w:type="paragraph" w:styleId="Heading5">
    <w:name w:val="heading 5"/>
    <w:basedOn w:val="Normal"/>
    <w:next w:val="Normal"/>
    <w:qFormat/>
    <w:rsid w:val="005D7B05"/>
    <w:pPr>
      <w:keepNext/>
      <w:ind w:right="-108"/>
      <w:jc w:val="both"/>
      <w:outlineLvl w:val="4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ONormal">
    <w:name w:val="AONormal"/>
    <w:rsid w:val="000A4E96"/>
    <w:pPr>
      <w:spacing w:line="260" w:lineRule="atLeast"/>
    </w:pPr>
    <w:rPr>
      <w:rFonts w:eastAsia="SimSun"/>
      <w:sz w:val="22"/>
      <w:szCs w:val="22"/>
      <w:lang w:val="en-GB" w:bidi="ar-SA"/>
    </w:rPr>
  </w:style>
  <w:style w:type="paragraph" w:customStyle="1" w:styleId="AODocTxt">
    <w:name w:val="AODocTxt"/>
    <w:basedOn w:val="Normal"/>
    <w:rsid w:val="000A4E96"/>
    <w:pPr>
      <w:numPr>
        <w:numId w:val="2"/>
      </w:numPr>
      <w:spacing w:before="240" w:line="260" w:lineRule="atLeast"/>
      <w:jc w:val="both"/>
    </w:pPr>
    <w:rPr>
      <w:rFonts w:ascii="Times New Roman" w:eastAsia="SimSun" w:hAnsi="Times New Roman" w:cs="Angsana New"/>
      <w:sz w:val="22"/>
      <w:szCs w:val="22"/>
      <w:lang w:val="en-GB" w:bidi="ar-SA"/>
    </w:rPr>
  </w:style>
  <w:style w:type="paragraph" w:customStyle="1" w:styleId="AOBullet">
    <w:name w:val="AOBullet"/>
    <w:basedOn w:val="Normal"/>
    <w:rsid w:val="000A4E96"/>
    <w:pPr>
      <w:numPr>
        <w:numId w:val="1"/>
      </w:numPr>
      <w:spacing w:before="240" w:line="260" w:lineRule="atLeast"/>
      <w:jc w:val="both"/>
    </w:pPr>
    <w:rPr>
      <w:rFonts w:ascii="Times New Roman" w:eastAsia="SimSun" w:hAnsi="Times New Roman" w:cs="Angsana New"/>
      <w:sz w:val="22"/>
      <w:szCs w:val="22"/>
      <w:lang w:val="en-GB" w:bidi="ar-SA"/>
    </w:rPr>
  </w:style>
  <w:style w:type="paragraph" w:customStyle="1" w:styleId="AODocTxtL1">
    <w:name w:val="AODocTxtL1"/>
    <w:basedOn w:val="AODocTxt"/>
    <w:rsid w:val="000A4E96"/>
    <w:pPr>
      <w:numPr>
        <w:ilvl w:val="1"/>
      </w:numPr>
    </w:pPr>
  </w:style>
  <w:style w:type="paragraph" w:customStyle="1" w:styleId="AODocTxtL2">
    <w:name w:val="AODocTxtL2"/>
    <w:basedOn w:val="AODocTxt"/>
    <w:rsid w:val="000A4E96"/>
    <w:pPr>
      <w:numPr>
        <w:ilvl w:val="2"/>
      </w:numPr>
    </w:pPr>
  </w:style>
  <w:style w:type="paragraph" w:customStyle="1" w:styleId="AODocTxtL3">
    <w:name w:val="AODocTxtL3"/>
    <w:basedOn w:val="AODocTxt"/>
    <w:rsid w:val="000A4E96"/>
    <w:pPr>
      <w:numPr>
        <w:ilvl w:val="3"/>
      </w:numPr>
    </w:pPr>
  </w:style>
  <w:style w:type="paragraph" w:customStyle="1" w:styleId="AODocTxtL4">
    <w:name w:val="AODocTxtL4"/>
    <w:basedOn w:val="AODocTxt"/>
    <w:rsid w:val="000A4E96"/>
    <w:pPr>
      <w:numPr>
        <w:ilvl w:val="4"/>
      </w:numPr>
    </w:pPr>
  </w:style>
  <w:style w:type="paragraph" w:customStyle="1" w:styleId="AODocTxtL5">
    <w:name w:val="AODocTxtL5"/>
    <w:basedOn w:val="AODocTxt"/>
    <w:rsid w:val="000A4E96"/>
    <w:pPr>
      <w:numPr>
        <w:ilvl w:val="5"/>
      </w:numPr>
    </w:pPr>
  </w:style>
  <w:style w:type="paragraph" w:customStyle="1" w:styleId="AODocTxtL6">
    <w:name w:val="AODocTxtL6"/>
    <w:basedOn w:val="AODocTxt"/>
    <w:rsid w:val="000A4E96"/>
    <w:pPr>
      <w:numPr>
        <w:ilvl w:val="6"/>
      </w:numPr>
    </w:pPr>
  </w:style>
  <w:style w:type="paragraph" w:customStyle="1" w:styleId="AODocTxtL7">
    <w:name w:val="AODocTxtL7"/>
    <w:basedOn w:val="AODocTxt"/>
    <w:rsid w:val="000A4E96"/>
    <w:pPr>
      <w:numPr>
        <w:ilvl w:val="7"/>
      </w:numPr>
    </w:pPr>
  </w:style>
  <w:style w:type="paragraph" w:customStyle="1" w:styleId="AODocTxtL8">
    <w:name w:val="AODocTxtL8"/>
    <w:basedOn w:val="AODocTxt"/>
    <w:rsid w:val="000A4E96"/>
    <w:pPr>
      <w:numPr>
        <w:ilvl w:val="8"/>
      </w:numPr>
    </w:pPr>
  </w:style>
  <w:style w:type="character" w:customStyle="1" w:styleId="AOBulletChar">
    <w:name w:val="AOBullet Char"/>
    <w:rsid w:val="000A4E96"/>
    <w:rPr>
      <w:rFonts w:eastAsia="SimSun" w:cs="Angsana New"/>
      <w:sz w:val="22"/>
      <w:szCs w:val="22"/>
      <w:lang w:val="en-GB" w:eastAsia="en-US" w:bidi="ar-SA"/>
    </w:rPr>
  </w:style>
  <w:style w:type="character" w:customStyle="1" w:styleId="txtnews1">
    <w:name w:val="txtnews1"/>
    <w:rsid w:val="007A24CD"/>
    <w:rPr>
      <w:rFonts w:ascii="DB ThaiText" w:hAnsi="DB ThaiText" w:hint="default"/>
      <w:color w:val="000000"/>
      <w:sz w:val="16"/>
      <w:szCs w:val="16"/>
    </w:rPr>
  </w:style>
  <w:style w:type="character" w:styleId="Hyperlink">
    <w:name w:val="Hyperlink"/>
    <w:rsid w:val="00A679CA"/>
    <w:rPr>
      <w:color w:val="0000FF"/>
      <w:u w:val="single"/>
    </w:rPr>
  </w:style>
  <w:style w:type="character" w:styleId="Strong">
    <w:name w:val="Strong"/>
    <w:uiPriority w:val="22"/>
    <w:qFormat/>
    <w:rsid w:val="005D7B05"/>
    <w:rPr>
      <w:b/>
      <w:bCs/>
    </w:rPr>
  </w:style>
  <w:style w:type="paragraph" w:styleId="Footer">
    <w:name w:val="footer"/>
    <w:basedOn w:val="Normal"/>
    <w:rsid w:val="006A1C3A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6A1C3A"/>
  </w:style>
  <w:style w:type="paragraph" w:styleId="Header">
    <w:name w:val="header"/>
    <w:basedOn w:val="Normal"/>
    <w:rsid w:val="006A1C3A"/>
    <w:pPr>
      <w:tabs>
        <w:tab w:val="center" w:pos="4153"/>
        <w:tab w:val="right" w:pos="8306"/>
      </w:tabs>
    </w:pPr>
    <w:rPr>
      <w:szCs w:val="32"/>
    </w:rPr>
  </w:style>
  <w:style w:type="character" w:customStyle="1" w:styleId="apple-converted-space">
    <w:name w:val="apple-converted-space"/>
    <w:rsid w:val="00A65E0B"/>
  </w:style>
  <w:style w:type="paragraph" w:customStyle="1" w:styleId="xmsonormal">
    <w:name w:val="x_msonormal"/>
    <w:basedOn w:val="Normal"/>
    <w:rsid w:val="00A65E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109"/>
    <w:pPr>
      <w:ind w:left="720"/>
      <w:contextualSpacing/>
    </w:pPr>
    <w:rPr>
      <w:rFonts w:ascii="Cambria" w:eastAsia="Cambria" w:hAnsi="Cambria" w:cs="Times New Roman"/>
      <w:sz w:val="24"/>
      <w:szCs w:val="24"/>
      <w:lang w:val="en-GB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61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4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3390/su130844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1057</Words>
  <Characters>5914</Characters>
  <Application>Microsoft Office Word</Application>
  <DocSecurity>0</DocSecurity>
  <Lines>107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ภาคผนวก</vt:lpstr>
    </vt:vector>
  </TitlesOfParts>
  <Company>tu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creator>aptu</dc:creator>
  <cp:lastModifiedBy>Jamarin Yui</cp:lastModifiedBy>
  <cp:revision>6</cp:revision>
  <cp:lastPrinted>2018-06-20T10:56:00Z</cp:lastPrinted>
  <dcterms:created xsi:type="dcterms:W3CDTF">2022-12-13T09:17:00Z</dcterms:created>
  <dcterms:modified xsi:type="dcterms:W3CDTF">2023-02-22T04:18:00Z</dcterms:modified>
</cp:coreProperties>
</file>