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代码智库项目结项报告</w:t>
      </w:r>
    </w:p>
    <w:p>
      <w:pPr>
        <w:spacing w:after="240"/>
        <w:jc w:val="center"/>
      </w:pPr>
      <w:r>
        <w:t>Analyzer Coder 代码与知识联合检索平台</w:t>
      </w:r>
    </w:p>
    <w:p>
      <w:pPr>
        <w:jc w:val="left"/>
      </w:pPr>
      <w:r>
        <w:rPr>
          <w:b w:val="0"/>
        </w:rPr>
        <w:t>交付版本  1.1.3    报告日期  2026年10月12日</w:t>
      </w:r>
    </w:p>
    <w:p>
      <w:pPr>
        <w:jc w:val="left"/>
      </w:pPr>
      <w:r>
        <w:rPr>
          <w:b w:val="0"/>
        </w:rPr>
        <w:t>结项范围  软件研发成果、功能验证和离线部署交付</w:t>
      </w:r>
    </w:p>
    <w:p>
      <w:pPr>
        <w:pStyle w:val="Heading1"/>
      </w:pPr>
      <w:r>
        <w:t>一 项目概况与结项意见</w:t>
      </w:r>
    </w:p>
    <w:p>
      <w:pPr>
        <w:ind w:firstLine="420"/>
        <w:jc w:val="both"/>
      </w:pPr>
      <w:r>
        <w:rPr>
          <w:b w:val="0"/>
        </w:rPr>
        <w:t>代码智库已形成从项目接入、分支准备、代码索引、知识维护到联合检索、证据问答和来源追溯的完整软件主线，并支持无需接入代码的纯知识库项目。当前正式交付为 1.1.3，完整单镜像部署包已生成，镜像验收与包内外校验通过。</w:t>
      </w:r>
    </w:p>
    <w:p>
      <w:pPr>
        <w:ind w:firstLine="420"/>
        <w:jc w:val="both"/>
      </w:pPr>
      <w:r>
        <w:rPr>
          <w:b w:val="0"/>
        </w:rPr>
        <w:t>建议以当前已交付的软件功能、源码文档、专项测试和部署成果完成本阶段技术结项。原方案提出的业务效率指标、至少三个项目试点及完整业务全景仍需专项验证，不作为本次已经达成的结项成果。</w:t>
      </w:r>
    </w:p>
    <w:p>
      <w:pPr>
        <w:pStyle w:val="Heading2"/>
      </w:pPr>
      <w:r>
        <w:t>建设背景</w:t>
      </w:r>
    </w:p>
    <w:p>
      <w:pPr>
        <w:ind w:firstLine="420"/>
        <w:jc w:val="both"/>
      </w:pPr>
      <w:r>
        <w:rPr>
          <w:b w:val="0"/>
        </w:rPr>
        <w:t>长期运行的业务系统经过多轮迭代，代码、设计约束、故障经验和接口说明分散存放，项目知识往往依赖少数人员。新人接手、现场排障和系统改造需要反复查找资料，且容易混用不同分支或不同时间的内容。</w:t>
      </w:r>
    </w:p>
    <w:p>
      <w:pPr>
        <w:ind w:firstLine="420"/>
        <w:jc w:val="both"/>
      </w:pPr>
      <w:r>
        <w:rPr>
          <w:b w:val="0"/>
        </w:rPr>
        <w:t>项目面向研发、测试、运维、实施及交接人员，围绕“找到实现、理解约束、核对来源”建设统一工作台，使代码证据与团队知识能够共同检索、持续维护，并为外部 AI 工具提供受控的项目上下文。</w:t>
      </w:r>
    </w:p>
    <w:p>
      <w:pPr>
        <w:pStyle w:val="Heading2"/>
      </w:pPr>
      <w:r>
        <w:t>建设目标与当前边界</w:t>
      </w:r>
    </w:p>
    <w:p>
      <w:pPr>
        <w:ind w:firstLine="420"/>
        <w:jc w:val="both"/>
      </w:pPr>
      <w:r>
        <w:rPr>
          <w:b w:val="0"/>
        </w:rPr>
        <w:t>本阶段目标是建立代码与知识共同召回、分支版本可追溯、知识可治理、回答有引用、权限受控和可离线部署的基础能力。代码项目保留分支、提交及内容版本；纯知识库自动建立并选中 WORKSPACE 虚拟分支，直接开展知识维护和问答。</w:t>
      </w:r>
    </w:p>
    <w:p>
      <w:pPr>
        <w:ind w:firstLine="420"/>
        <w:jc w:val="both"/>
      </w:pPr>
      <w:r>
        <w:rPr>
          <w:b w:val="0"/>
        </w:rPr>
        <w:t>当前产品聚焦项目内的检索与知识协作。代码图谱提供静态结构和关系线索，不代表运行时调用链；系统不承担自动修改代码、自动发布审批或跨仓变更审查。</w:t>
      </w:r>
    </w:p>
    <w:p>
      <w:r>
        <w:br w:type="page"/>
      </w:r>
    </w:p>
    <w:p>
      <w:pPr>
        <w:pStyle w:val="Heading1"/>
      </w:pPr>
      <w:r>
        <w:t>二 已交付的主要功能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74"/>
        <w:gridCol w:w="3969"/>
        <w:gridCol w:w="3969"/>
      </w:tblGrid>
      <w:tr>
        <w:trPr>
          <w:tblHeader/>
          <w:cantSplit/>
        </w:trPr>
        <w:tc>
          <w:tcPr>
            <w:tcW w:type="dxa" w:w="1474"/>
            <w:vAlign w:val="center"/>
            <w:shd w:fill="E8EBEF"/>
          </w:tcPr>
          <w:p>
            <w:pPr>
              <w:spacing w:line="293" w:lineRule="auto" w:before="0" w:after="0"/>
              <w:jc w:val="center"/>
            </w:pPr>
            <w:r>
              <w:rPr>
                <w:b/>
                <w:sz w:val="20"/>
              </w:rPr>
              <w:t>能力领域</w:t>
            </w:r>
          </w:p>
        </w:tc>
        <w:tc>
          <w:tcPr>
            <w:tcW w:type="dxa" w:w="3969"/>
            <w:vAlign w:val="center"/>
            <w:shd w:fill="E8EBEF"/>
          </w:tcPr>
          <w:p>
            <w:pPr>
              <w:spacing w:line="293" w:lineRule="auto" w:before="0" w:after="0"/>
              <w:jc w:val="center"/>
            </w:pPr>
            <w:r>
              <w:rPr>
                <w:b/>
                <w:sz w:val="20"/>
              </w:rPr>
              <w:t>已实现成果</w:t>
            </w:r>
          </w:p>
        </w:tc>
        <w:tc>
          <w:tcPr>
            <w:tcW w:type="dxa" w:w="3969"/>
            <w:vAlign w:val="center"/>
            <w:shd w:fill="E8EBEF"/>
          </w:tcPr>
          <w:p>
            <w:pPr>
              <w:spacing w:line="293" w:lineRule="auto" w:before="0" w:after="0"/>
              <w:jc w:val="center"/>
            </w:pPr>
            <w:r>
              <w:rPr>
                <w:b/>
                <w:sz w:val="20"/>
              </w:rPr>
              <w:t>适用范围和使用约束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项目接入</w:t>
            </w:r>
          </w:p>
        </w:tc>
        <w:tc>
          <w:tcPr>
            <w:tcW w:type="dxa" w:w="3969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支持本地 Git、远程 Git、GitLab、ZIP，以及仅作为知识库使用的项目。</w:t>
            </w:r>
          </w:p>
        </w:tc>
        <w:tc>
          <w:tcPr>
            <w:tcW w:type="dxa" w:w="3969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项目资料、成员权限和来源凭据统一管理；纯知识库不要求代码地址或凭据。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分支与版本</w:t>
            </w:r>
          </w:p>
        </w:tc>
        <w:tc>
          <w:tcPr>
            <w:tcW w:type="dxa" w:w="3969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受管分支同步、内容索引、图谱准备及阅读上下文。</w:t>
            </w:r>
          </w:p>
        </w:tc>
        <w:tc>
          <w:tcPr>
            <w:tcW w:type="dxa" w:w="3969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读取绑定项目、分支和内容版本；未准备时明确提示，避免静默借用默认分支。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代码索引</w:t>
            </w:r>
          </w:p>
        </w:tc>
        <w:tc>
          <w:tcPr>
            <w:tcW w:type="dxa" w:w="3969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扫描和切分代码与文本资产，记录路径、符号及起止位置。</w:t>
            </w:r>
          </w:p>
        </w:tc>
        <w:tc>
          <w:tcPr>
            <w:tcW w:type="dxa" w:w="3969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覆盖多种代码及配置文件；不同语言的静态分析深度存在差异。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联合检索</w:t>
            </w:r>
          </w:p>
        </w:tc>
        <w:tc>
          <w:tcPr>
            <w:tcW w:type="dxa" w:w="3969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组合代码与已发布知识的关键词、相似度及可用向量通道，融合排序。</w:t>
            </w:r>
          </w:p>
        </w:tc>
        <w:tc>
          <w:tcPr>
            <w:tcW w:type="dxa" w:w="3969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保留来源和检索诊断；语义检索需要配置可用的向量服务。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知识治理</w:t>
            </w:r>
          </w:p>
        </w:tc>
        <w:tc>
          <w:tcPr>
            <w:tcW w:type="dxa" w:w="3969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标题、Markdown 正文、标签、附件、代码关联、修订历史和发布管理。</w:t>
            </w:r>
          </w:p>
        </w:tc>
        <w:tc>
          <w:tcPr>
            <w:tcW w:type="dxa" w:w="3969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维护者录入草稿，管理者确认发布；草稿不进入有效问答证据。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知识可信性</w:t>
            </w:r>
          </w:p>
        </w:tc>
        <w:tc>
          <w:tcPr>
            <w:tcW w:type="dxa" w:w="3969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共享范围、分支验证、来源漂移复核和历史恢复。</w:t>
            </w:r>
          </w:p>
        </w:tc>
        <w:tc>
          <w:tcPr>
            <w:tcW w:type="dxa" w:w="3969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代码项目按分支判断适用性；纯知识库不执行代码版本验证。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草稿删除</w:t>
            </w:r>
          </w:p>
        </w:tc>
        <w:tc>
          <w:tcPr>
            <w:tcW w:type="dxa" w:w="3969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仅允许具有管理权限的用户删除草稿；校验修订号和分支范围。</w:t>
            </w:r>
          </w:p>
        </w:tc>
        <w:tc>
          <w:tcPr>
            <w:tcW w:type="dxa" w:w="3969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事务清理关联记录和向量，保留 Markdown 来源文件，支持再次生成知识。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证据问答</w:t>
            </w:r>
          </w:p>
        </w:tc>
        <w:tc>
          <w:tcPr>
            <w:tcW w:type="dxa" w:w="3969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外部问答模型、本地证据模式、连续会话、引用及账号隔离历史。</w:t>
            </w:r>
          </w:p>
        </w:tc>
        <w:tc>
          <w:tcPr>
            <w:tcW w:type="dxa" w:w="3969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配置了可用模型但尚未选择时推荐使用；已选模型不再重复推荐。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代码图谱与 MCP</w:t>
            </w:r>
          </w:p>
        </w:tc>
        <w:tc>
          <w:tcPr>
            <w:tcW w:type="dxa" w:w="3969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代码关系浏览、静态关联查询、只读 HTTP MCP 和 stdio 适配器。</w:t>
            </w:r>
          </w:p>
        </w:tc>
        <w:tc>
          <w:tcPr>
            <w:tcW w:type="dxa" w:w="3969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工具调用校验令牌及项目读取权限；纯知识库隐藏代码图谱入口。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纯知识库</w:t>
            </w:r>
          </w:p>
        </w:tc>
        <w:tc>
          <w:tcPr>
            <w:tcW w:type="dxa" w:w="3969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知识管理和知识问答两个业务入口，展示项目说明、统计和虚拟分支。</w:t>
            </w:r>
          </w:p>
        </w:tc>
        <w:tc>
          <w:tcPr>
            <w:tcW w:type="dxa" w:w="3969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同一搜索框区分全部可见知识、已发布知识和草稿；已发布范围支持相关度检索。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平台管理</w:t>
            </w:r>
          </w:p>
        </w:tc>
        <w:tc>
          <w:tcPr>
            <w:tcW w:type="dxa" w:w="3969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账号会话、项目权限、模型检测、后台任务、审计及部署维护。</w:t>
            </w:r>
          </w:p>
        </w:tc>
        <w:tc>
          <w:tcPr>
            <w:tcW w:type="dxa" w:w="3969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外部模型由使用方配置；任务展示阶段、状态和失败信息。</w:t>
            </w:r>
          </w:p>
        </w:tc>
      </w:tr>
    </w:tbl>
    <w:p>
      <w:pPr>
        <w:spacing w:after="0" w:line="120" w:lineRule="auto"/>
      </w:pPr>
      <w:r>
        <w:rPr>
          <w:sz w:val="6"/>
        </w:rPr>
      </w:r>
    </w:p>
    <w:p>
      <w:pPr>
        <w:pStyle w:val="Heading2"/>
      </w:pPr>
      <w:r>
        <w:t>两类项目的业务闭环</w:t>
      </w:r>
    </w:p>
    <w:p>
      <w:pPr>
        <w:ind w:firstLine="420"/>
        <w:jc w:val="both"/>
      </w:pPr>
      <w:r>
        <w:rPr>
          <w:b w:val="0"/>
        </w:rPr>
        <w:t>代码项目：接入代码 → 准备目标分支 → 建立索引 → 维护并发布知识 → 联合检索或问答 → 回到源码和知识原文。</w:t>
      </w:r>
    </w:p>
    <w:p>
      <w:pPr>
        <w:ind w:firstLine="420"/>
        <w:jc w:val="both"/>
      </w:pPr>
      <w:r>
        <w:rPr>
          <w:b w:val="0"/>
        </w:rPr>
        <w:t>纯知识库：创建项目 → 自动选中虚拟分支 → 新建并发布知识 → 在知识管理中检索 → 知识问答与引用核对。无需同步代码或建立代码索引。</w:t>
      </w:r>
    </w:p>
    <w:p>
      <w:r>
        <w:br w:type="page"/>
      </w:r>
    </w:p>
    <w:p>
      <w:pPr>
        <w:pStyle w:val="Heading1"/>
      </w:pPr>
      <w:r>
        <w:t>三 技术实现与原计划对照</w:t>
      </w:r>
    </w:p>
    <w:p>
      <w:pPr>
        <w:pStyle w:val="Heading2"/>
      </w:pPr>
      <w:r>
        <w:t>技术架构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01"/>
        <w:gridCol w:w="7710"/>
      </w:tblGrid>
      <w:tr>
        <w:trPr>
          <w:tblHeader/>
          <w:cantSplit/>
        </w:trPr>
        <w:tc>
          <w:tcPr>
            <w:tcW w:type="dxa" w:w="1701"/>
            <w:vAlign w:val="center"/>
            <w:shd w:fill="E8EBEF"/>
          </w:tcPr>
          <w:p>
            <w:pPr>
              <w:spacing w:line="293" w:lineRule="auto" w:before="0" w:after="0"/>
              <w:jc w:val="center"/>
            </w:pPr>
            <w:r>
              <w:rPr>
                <w:b/>
                <w:sz w:val="20"/>
              </w:rPr>
              <w:t>层次</w:t>
            </w:r>
          </w:p>
        </w:tc>
        <w:tc>
          <w:tcPr>
            <w:tcW w:type="dxa" w:w="7710"/>
            <w:vAlign w:val="center"/>
            <w:shd w:fill="E8EBEF"/>
          </w:tcPr>
          <w:p>
            <w:pPr>
              <w:spacing w:line="293" w:lineRule="auto" w:before="0" w:after="0"/>
              <w:jc w:val="center"/>
            </w:pPr>
            <w:r>
              <w:rPr>
                <w:b/>
                <w:sz w:val="20"/>
              </w:rPr>
              <w:t>当前实现及职责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前端</w:t>
            </w:r>
          </w:p>
        </w:tc>
        <w:tc>
          <w:tcPr>
            <w:tcW w:type="dxa" w:w="7710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Vue 3、TypeScript、Vite、Pinia、Vue Router、Element Plus；提供管理、阅读、检索和问答工作台。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后端</w:t>
            </w:r>
          </w:p>
        </w:tc>
        <w:tc>
          <w:tcPr>
            <w:tcW w:type="dxa" w:w="7710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Java 17、Spring Boot、MyBatis；按接口、应用、领域、基础设施及后台任务组织业务。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数据与向量</w:t>
            </w:r>
          </w:p>
        </w:tc>
        <w:tc>
          <w:tcPr>
            <w:tcW w:type="dxa" w:w="7710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PostgreSQL 17、pgvector；保存业务数据、知识修订、阅读坐标和向量。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代码分析</w:t>
            </w:r>
          </w:p>
        </w:tc>
        <w:tc>
          <w:tcPr>
            <w:tcW w:type="dxa" w:w="7710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Git CLI 与 CodeGraph 1.6.0 原生组件；图谱产物绑定分支内容版本。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模型与工具</w:t>
            </w:r>
          </w:p>
        </w:tc>
        <w:tc>
          <w:tcPr>
            <w:tcW w:type="dxa" w:w="7710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兼容 OpenAI 接口的聊天和 embedding 服务为可选增强；HTTP MCP 与 Node.js 适配器提供授权读取。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运行交付</w:t>
            </w:r>
          </w:p>
        </w:tc>
        <w:tc>
          <w:tcPr>
            <w:tcW w:type="dxa" w:w="7710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一个 Docker 镜像包含前后端、数据库、代理和分析运行时；数据及配置由宿主目录挂载。</w:t>
            </w:r>
          </w:p>
        </w:tc>
      </w:tr>
    </w:tbl>
    <w:p>
      <w:pPr>
        <w:spacing w:after="0" w:line="120" w:lineRule="auto"/>
      </w:pPr>
      <w:r>
        <w:rPr>
          <w:sz w:val="6"/>
        </w:rPr>
      </w:r>
    </w:p>
    <w:p>
      <w:pPr>
        <w:ind w:firstLine="420"/>
        <w:jc w:val="both"/>
      </w:pPr>
      <w:r>
        <w:rPr>
          <w:b w:val="0"/>
        </w:rPr>
        <w:t>实现重点是证据一致性：检索、问答、源码与图谱共用明确的阅读范围；知识修订、分支验证和来源坐标用于判断适用性。外部模型超时、向量输入超限、共享节流及 429 重试等问题已纳入近期修订，基础检索仍可独立使用。</w:t>
      </w:r>
    </w:p>
    <w:p>
      <w:pPr>
        <w:pStyle w:val="Heading2"/>
      </w:pPr>
      <w:r>
        <w:t>原里程碑的成果核对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01"/>
        <w:gridCol w:w="4139"/>
        <w:gridCol w:w="3572"/>
      </w:tblGrid>
      <w:tr>
        <w:trPr>
          <w:tblHeader/>
          <w:cantSplit/>
        </w:trPr>
        <w:tc>
          <w:tcPr>
            <w:tcW w:type="dxa" w:w="1701"/>
            <w:vAlign w:val="center"/>
            <w:shd w:fill="E8EBEF"/>
          </w:tcPr>
          <w:p>
            <w:pPr>
              <w:spacing w:line="293" w:lineRule="auto" w:before="0" w:after="0"/>
              <w:jc w:val="center"/>
            </w:pPr>
            <w:r>
              <w:rPr>
                <w:b/>
                <w:sz w:val="20"/>
              </w:rPr>
              <w:t>原计划节点</w:t>
            </w:r>
          </w:p>
        </w:tc>
        <w:tc>
          <w:tcPr>
            <w:tcW w:type="dxa" w:w="4139"/>
            <w:vAlign w:val="center"/>
            <w:shd w:fill="E8EBEF"/>
          </w:tcPr>
          <w:p>
            <w:pPr>
              <w:spacing w:line="293" w:lineRule="auto" w:before="0" w:after="0"/>
              <w:jc w:val="center"/>
            </w:pPr>
            <w:r>
              <w:rPr>
                <w:b/>
                <w:sz w:val="20"/>
              </w:rPr>
              <w:t>当前可核对成果</w:t>
            </w:r>
          </w:p>
        </w:tc>
        <w:tc>
          <w:tcPr>
            <w:tcW w:type="dxa" w:w="3572"/>
            <w:vAlign w:val="center"/>
            <w:shd w:fill="E8EBEF"/>
          </w:tcPr>
          <w:p>
            <w:pPr>
              <w:spacing w:line="293" w:lineRule="auto" w:before="0" w:after="0"/>
              <w:jc w:val="center"/>
            </w:pPr>
            <w:r>
              <w:rPr>
                <w:b/>
                <w:sz w:val="20"/>
              </w:rPr>
              <w:t>结项判断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M1</w:t>
              <w:br/>
              <w:t>2026-07-10</w:t>
            </w:r>
          </w:p>
        </w:tc>
        <w:tc>
          <w:tcPr>
            <w:tcW w:type="dxa" w:w="4139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已实现代码扫描、片段索引、结构图谱、知识维护和仓库 Markdown 来源生成。</w:t>
            </w:r>
          </w:p>
        </w:tc>
        <w:tc>
          <w:tcPr>
            <w:tcW w:type="dxa" w:w="3572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核心基础具备；不能据此认定通用接口、数据库对象与业务知识均已自动完整抽取。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M2</w:t>
              <w:br/>
              <w:t>2026-07-31</w:t>
            </w:r>
          </w:p>
        </w:tc>
        <w:tc>
          <w:tcPr>
            <w:tcW w:type="dxa" w:w="4139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已实现向量增强检索、证据问答、来源引用、模型配置及降级路径。</w:t>
            </w:r>
          </w:p>
        </w:tc>
        <w:tc>
          <w:tcPr>
            <w:tcW w:type="dxa" w:w="3572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软件主线已交付；真实模型的效果和业务质量仍需独立评测。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M3</w:t>
              <w:br/>
              <w:t>2026-08-31</w:t>
            </w:r>
          </w:p>
        </w:tc>
        <w:tc>
          <w:tcPr>
            <w:tcW w:type="dxa" w:w="4139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已实现代码关系图谱与项目工作台，新增纯知识库模式并完成离线发布。</w:t>
            </w:r>
          </w:p>
        </w:tc>
        <w:tc>
          <w:tcPr>
            <w:tcW w:type="dxa" w:w="3572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代码结构可浏览；完整业务全景与至少三个项目试点尚无完成证据。</w:t>
            </w:r>
          </w:p>
        </w:tc>
      </w:tr>
    </w:tbl>
    <w:p>
      <w:pPr>
        <w:spacing w:after="0" w:line="120" w:lineRule="auto"/>
      </w:pPr>
      <w:r>
        <w:rPr>
          <w:sz w:val="6"/>
        </w:rPr>
      </w:r>
    </w:p>
    <w:p>
      <w:pPr>
        <w:ind w:firstLine="420"/>
        <w:jc w:val="both"/>
      </w:pPr>
      <w:r>
        <w:rPr>
          <w:b w:val="0"/>
          <w:sz w:val="19"/>
        </w:rPr>
        <w:t>上述日期为原文计划节点，不作为实际完成日期。现行实现使用 pgvector 而非原方案中的 Qdrant，代码分析通过 CodeGraph 集成；当前未交付 SVN 接入、Wiki 同步或任意 Word/PDF 附件的正文解析。技术路线调整不等同于这些扩展目标已经完成。</w:t>
      </w:r>
    </w:p>
    <w:p>
      <w:r>
        <w:br w:type="page"/>
      </w:r>
    </w:p>
    <w:p>
      <w:pPr>
        <w:pStyle w:val="Heading1"/>
      </w:pPr>
      <w:r>
        <w:t>四 验证结果与价值目标</w:t>
      </w:r>
    </w:p>
    <w:p>
      <w:pPr>
        <w:pStyle w:val="Heading2"/>
      </w:pPr>
      <w:r>
        <w:t>已记录的工程验证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14"/>
        <w:gridCol w:w="4025"/>
        <w:gridCol w:w="3572"/>
      </w:tblGrid>
      <w:tr>
        <w:trPr>
          <w:tblHeader/>
          <w:cantSplit/>
        </w:trPr>
        <w:tc>
          <w:tcPr>
            <w:tcW w:type="dxa" w:w="1814"/>
            <w:vAlign w:val="center"/>
            <w:shd w:fill="E8EBEF"/>
          </w:tcPr>
          <w:p>
            <w:pPr>
              <w:spacing w:line="293" w:lineRule="auto" w:before="0" w:after="0"/>
              <w:jc w:val="center"/>
            </w:pPr>
            <w:r>
              <w:rPr>
                <w:b/>
                <w:sz w:val="20"/>
              </w:rPr>
              <w:t>时间与对象</w:t>
            </w:r>
          </w:p>
        </w:tc>
        <w:tc>
          <w:tcPr>
            <w:tcW w:type="dxa" w:w="4025"/>
            <w:vAlign w:val="center"/>
            <w:shd w:fill="E8EBEF"/>
          </w:tcPr>
          <w:p>
            <w:pPr>
              <w:spacing w:line="293" w:lineRule="auto" w:before="0" w:after="0"/>
              <w:jc w:val="center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type="dxa" w:w="3572"/>
            <w:vAlign w:val="center"/>
            <w:shd w:fill="E8EBEF"/>
          </w:tcPr>
          <w:p>
            <w:pPr>
              <w:spacing w:line="293" w:lineRule="auto" w:before="0" w:after="0"/>
              <w:jc w:val="center"/>
            </w:pPr>
            <w:r>
              <w:rPr>
                <w:b/>
                <w:sz w:val="20"/>
              </w:rPr>
              <w:t>验证边界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2026-10-11</w:t>
              <w:br/>
              <w:t>纯知识库后端</w:t>
            </w:r>
          </w:p>
        </w:tc>
        <w:tc>
          <w:tcPr>
            <w:tcW w:type="dxa" w:w="4025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全量 *Test 共 382 项，失败 0、错误 0，11 项按环境条件跳过。</w:t>
            </w:r>
          </w:p>
        </w:tc>
        <w:tc>
          <w:tcPr>
            <w:tcW w:type="dxa" w:w="3572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历史专项记录；跳过项不能记为通过，报告编写时未重跑全量。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2026-10-11</w:t>
              <w:br/>
              <w:t>独立数据库链路</w:t>
            </w:r>
          </w:p>
        </w:tc>
        <w:tc>
          <w:tcPr>
            <w:tcW w:type="dxa" w:w="4025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知识库创建、草稿隔离、发布、检索、本地连续问答、历史和权限隔离通过。</w:t>
            </w:r>
          </w:p>
        </w:tc>
        <w:tc>
          <w:tcPr>
            <w:tcW w:type="dxa" w:w="3572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使用隔离 PostgreSQL/pgvector；另验证既有代码准备流程。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2026-10-11</w:t>
              <w:br/>
              <w:t>前端回归</w:t>
            </w:r>
          </w:p>
        </w:tc>
        <w:tc>
          <w:tcPr>
            <w:tcW w:type="dxa" w:w="4025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当时全量 47 个文件、202 项通过；后续整合专项 7 个文件、55 项通过。</w:t>
            </w:r>
          </w:p>
        </w:tc>
        <w:tc>
          <w:tcPr>
            <w:tcW w:type="dxa" w:w="3572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分别为当时全量和后续专项，不相加为同一轮结果。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2026-10-11</w:t>
              <w:br/>
              <w:t>知识删除修订</w:t>
            </w:r>
          </w:p>
        </w:tc>
        <w:tc>
          <w:tcPr>
            <w:tcW w:type="dxa" w:w="4025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删除及上下文路由边界相关后端 21 项测试通过。</w:t>
            </w:r>
          </w:p>
        </w:tc>
        <w:tc>
          <w:tcPr>
            <w:tcW w:type="dxa" w:w="3572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包括真实拦截器参与的 HTTP 控制器回归。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2026-10-12</w:t>
              <w:br/>
              <w:t>1.1.3 构建</w:t>
            </w:r>
          </w:p>
        </w:tc>
        <w:tc>
          <w:tcPr>
            <w:tcW w:type="dxa" w:w="4025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重新安装前端依赖、类型检查和生产构建通过；后端 clean package 通过。</w:t>
            </w:r>
          </w:p>
        </w:tc>
        <w:tc>
          <w:tcPr>
            <w:tcW w:type="dxa" w:w="3572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后端此次打包使用 -DskipTests，功能依据上述专项记录。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2026-10-12</w:t>
              <w:br/>
              <w:t>镜像与发布包</w:t>
            </w:r>
          </w:p>
        </w:tc>
        <w:tc>
          <w:tcPr>
            <w:tcW w:type="dxa" w:w="4025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真实容器初始化、登录、知识删除级联、pgvector、CodeGraph、MCP、重建持久化通过。</w:t>
            </w:r>
          </w:p>
        </w:tc>
        <w:tc>
          <w:tcPr>
            <w:tcW w:type="dxa" w:w="3572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本机 Linux 容器验收；解压后的 7 个载荷文件及压缩包 SHA-256 均通过。</w:t>
            </w:r>
          </w:p>
        </w:tc>
      </w:tr>
    </w:tbl>
    <w:p>
      <w:pPr>
        <w:spacing w:after="0" w:line="120" w:lineRule="auto"/>
      </w:pPr>
      <w:r>
        <w:rPr>
          <w:sz w:val="6"/>
        </w:rPr>
      </w:r>
    </w:p>
    <w:p>
      <w:pPr>
        <w:pStyle w:val="Heading2"/>
      </w:pPr>
      <w:r>
        <w:t>原价值指标的达成情况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14"/>
        <w:gridCol w:w="3515"/>
        <w:gridCol w:w="4082"/>
      </w:tblGrid>
      <w:tr>
        <w:trPr>
          <w:tblHeader/>
          <w:cantSplit/>
        </w:trPr>
        <w:tc>
          <w:tcPr>
            <w:tcW w:type="dxa" w:w="1814"/>
            <w:vAlign w:val="center"/>
            <w:shd w:fill="E8EBEF"/>
          </w:tcPr>
          <w:p>
            <w:pPr>
              <w:spacing w:line="293" w:lineRule="auto" w:before="0" w:after="0"/>
              <w:jc w:val="center"/>
            </w:pPr>
            <w:r>
              <w:rPr>
                <w:b/>
                <w:sz w:val="20"/>
              </w:rPr>
              <w:t>价值目标</w:t>
            </w:r>
          </w:p>
        </w:tc>
        <w:tc>
          <w:tcPr>
            <w:tcW w:type="dxa" w:w="3515"/>
            <w:vAlign w:val="center"/>
            <w:shd w:fill="E8EBEF"/>
          </w:tcPr>
          <w:p>
            <w:pPr>
              <w:spacing w:line="293" w:lineRule="auto" w:before="0" w:after="0"/>
              <w:jc w:val="center"/>
            </w:pPr>
            <w:r>
              <w:rPr>
                <w:b/>
                <w:sz w:val="20"/>
              </w:rPr>
              <w:t>原设定目标</w:t>
            </w:r>
          </w:p>
        </w:tc>
        <w:tc>
          <w:tcPr>
            <w:tcW w:type="dxa" w:w="4082"/>
            <w:vAlign w:val="center"/>
            <w:shd w:fill="E8EBEF"/>
          </w:tcPr>
          <w:p>
            <w:pPr>
              <w:spacing w:line="293" w:lineRule="auto" w:before="0" w:after="0"/>
              <w:jc w:val="center"/>
            </w:pPr>
            <w:r>
              <w:rPr>
                <w:b/>
                <w:sz w:val="20"/>
              </w:rPr>
              <w:t>当前判断及后续取证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项目接手</w:t>
            </w:r>
          </w:p>
        </w:tc>
        <w:tc>
          <w:tcPr>
            <w:tcW w:type="dxa" w:w="3515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从 2～4 周降至 1～3 天，熟悉周期缩短 80% 以上。</w:t>
            </w:r>
          </w:p>
        </w:tc>
        <w:tc>
          <w:tcPr>
            <w:tcW w:type="dxa" w:w="4082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已提供统一查询和图谱能力；需同等复杂度项目的前后对照数据。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故障定位</w:t>
            </w:r>
          </w:p>
        </w:tc>
        <w:tc>
          <w:tcPr>
            <w:tcW w:type="dxa" w:w="3515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定位耗时不超过 20 分钟，效率提升 70% 以上。</w:t>
            </w:r>
          </w:p>
        </w:tc>
        <w:tc>
          <w:tcPr>
            <w:tcW w:type="dxa" w:w="4082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已提供证据查询与来源追溯；需真实故障样本和计时记录。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知识沉淀</w:t>
            </w:r>
          </w:p>
        </w:tc>
        <w:tc>
          <w:tcPr>
            <w:tcW w:type="dxa" w:w="3515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形成统一知识库，知识覆盖率达到 90% 以上。</w:t>
            </w:r>
          </w:p>
        </w:tc>
        <w:tc>
          <w:tcPr>
            <w:tcW w:type="dxa" w:w="4082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知识库机制已交付；需先定义应覆盖知识清单及覆盖率分母。</w:t>
            </w:r>
          </w:p>
        </w:tc>
      </w:tr>
    </w:tbl>
    <w:p>
      <w:pPr>
        <w:spacing w:after="0" w:line="120" w:lineRule="auto"/>
      </w:pPr>
      <w:r>
        <w:rPr>
          <w:sz w:val="6"/>
        </w:rPr>
      </w:r>
    </w:p>
    <w:p>
      <w:pPr>
        <w:ind w:firstLine="420"/>
        <w:jc w:val="both"/>
      </w:pPr>
      <w:r>
        <w:rPr>
          <w:b w:val="0"/>
          <w:sz w:val="19"/>
        </w:rPr>
        <w:t>现有评测集含 47 条检索、26 条问答样本。配置目标为 Recall@10 ≥85%、引用覆盖率 ≥95%、陈述支持率 ≥90%、P95 延迟 ≤5000 毫秒。这些是质量门槛，样本结构校验或功能测试通过均不能替代质量实测达标结论。</w:t>
      </w:r>
    </w:p>
    <w:p>
      <w:pPr>
        <w:ind w:firstLine="420"/>
        <w:jc w:val="both"/>
      </w:pPr>
      <w:r>
        <w:rPr>
          <w:b w:val="0"/>
          <w:sz w:val="19"/>
        </w:rPr>
        <w:t>现有记录仍有全库 Java 格式检查未通过、前端较大分包提示等工程改进项；修改文件的专项检查通过。上线前还需在目标环境完成真实远端来源、外部模型、安全配置和容量验证。</w:t>
      </w:r>
    </w:p>
    <w:p>
      <w:r>
        <w:br w:type="page"/>
      </w:r>
    </w:p>
    <w:p>
      <w:pPr>
        <w:pStyle w:val="Heading1"/>
      </w:pPr>
      <w:r>
        <w:t>五 发布交付与运行移交</w:t>
      </w:r>
    </w:p>
    <w:p>
      <w:pPr>
        <w:ind w:firstLine="420"/>
        <w:jc w:val="both"/>
      </w:pPr>
      <w:r>
        <w:rPr>
          <w:b w:val="0"/>
        </w:rPr>
        <w:t>正式版本由根目录 VERSION 统一管理。本次交付为 linux/amd64 完整单镜像 analyzer-coder:1.1.3，发布目录和压缩包均位于 release/，不包含业务数据、生产配置或密钥。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68"/>
        <w:gridCol w:w="7143"/>
      </w:tblGrid>
      <w:tr>
        <w:trPr>
          <w:tblHeader/>
          <w:cantSplit/>
        </w:trPr>
        <w:tc>
          <w:tcPr>
            <w:tcW w:type="dxa" w:w="2268"/>
            <w:vAlign w:val="center"/>
            <w:shd w:fill="E8EBEF"/>
          </w:tcPr>
          <w:p>
            <w:pPr>
              <w:spacing w:line="293" w:lineRule="auto" w:before="0" w:after="0"/>
              <w:jc w:val="center"/>
            </w:pPr>
            <w:r>
              <w:rPr>
                <w:b/>
                <w:sz w:val="20"/>
              </w:rPr>
              <w:t>交付项</w:t>
            </w:r>
          </w:p>
        </w:tc>
        <w:tc>
          <w:tcPr>
            <w:tcW w:type="dxa" w:w="7143"/>
            <w:vAlign w:val="center"/>
            <w:shd w:fill="E8EBEF"/>
          </w:tcPr>
          <w:p>
            <w:pPr>
              <w:spacing w:line="293" w:lineRule="auto" w:before="0" w:after="0"/>
              <w:jc w:val="center"/>
            </w:pPr>
            <w:r>
              <w:rPr>
                <w:b/>
                <w:sz w:val="20"/>
              </w:rPr>
              <w:t>位置或内容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完整离线包</w:t>
            </w:r>
          </w:p>
        </w:tc>
        <w:tc>
          <w:tcPr>
            <w:tcW w:type="dxa" w:w="7143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release/analyzer-coder-docker-1.1.3.tar.gz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包外校验文件</w:t>
            </w:r>
          </w:p>
        </w:tc>
        <w:tc>
          <w:tcPr>
            <w:tcW w:type="dxa" w:w="7143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同名 .tar.gz.sha256，校验完整压缩包。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镜像与启动入口</w:t>
            </w:r>
          </w:p>
        </w:tc>
        <w:tc>
          <w:tcPr>
            <w:tcW w:type="dxa" w:w="7143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包内 image.tar、analyzer.sh、analyzer.ps1。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编排与版本信息</w:t>
            </w:r>
          </w:p>
        </w:tc>
        <w:tc>
          <w:tcPr>
            <w:tcW w:type="dxa" w:w="7143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包内 compose.yaml、image.env、MANIFEST.json。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部署说明与包内校验</w:t>
            </w:r>
          </w:p>
        </w:tc>
        <w:tc>
          <w:tcPr>
            <w:tcW w:type="dxa" w:w="7143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包内 README.md、SHA256SUMS。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研发与验证资产</w:t>
            </w:r>
          </w:p>
        </w:tc>
        <w:tc>
          <w:tcPr>
            <w:tcW w:type="dxa" w:w="7143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backend/、frontend/、mcp-server/、evaluation/、scripts/、deploy/ 及 docs/。</w:t>
            </w:r>
          </w:p>
        </w:tc>
      </w:tr>
    </w:tbl>
    <w:p>
      <w:pPr>
        <w:spacing w:after="0" w:line="120" w:lineRule="auto"/>
      </w:pPr>
      <w:r>
        <w:rPr>
          <w:sz w:val="6"/>
        </w:rPr>
      </w:r>
    </w:p>
    <w:p>
      <w:pPr>
        <w:jc w:val="left"/>
      </w:pPr>
      <w:r>
        <w:rPr>
          <w:b/>
        </w:rPr>
        <w:t>压缩包 SHA-256</w:t>
      </w:r>
    </w:p>
    <w:p>
      <w:pPr>
        <w:spacing w:line="264" w:lineRule="auto"/>
        <w:jc w:val="left"/>
      </w:pPr>
      <w:r>
        <w:rPr>
          <w:b w:val="0"/>
          <w:sz w:val="19"/>
        </w:rPr>
        <w:t>3618a6d22a4a205b3db972d40a0c35b4</w:t>
        <w:br/>
        <w:t>ae73d0bc3e3ec1d290abb767cdd78739</w:t>
      </w:r>
    </w:p>
    <w:p>
      <w:pPr>
        <w:pStyle w:val="Heading2"/>
      </w:pPr>
      <w:r>
        <w:t>首次安装与维护要求</w:t>
      </w:r>
    </w:p>
    <w:p>
      <w:pPr>
        <w:ind w:firstLine="420"/>
        <w:jc w:val="both"/>
      </w:pPr>
      <w:r>
        <w:rPr>
          <w:b w:val="0"/>
        </w:rPr>
        <w:t>目标服务器需具备 x86_64 架构、Docker 和 Compose。核对校验和并解压后，执行 bash analyzer.sh start 或 pwsh -File analyzer.ps1 start；首次启动自动初始化数据库和缺失配置，默认通过服务器 18081 端口访问，管理员初始密码从安装目录配置读取。</w:t>
      </w:r>
    </w:p>
    <w:p>
      <w:pPr>
        <w:ind w:firstLine="420"/>
        <w:jc w:val="both"/>
      </w:pPr>
      <w:r>
        <w:rPr>
          <w:b w:val="0"/>
        </w:rPr>
        <w:t>宿主 data/ 挂载至容器 /data，config/ 只读挂载至 /config；配置、密码及主密钥在安装目录保管。维护人员按随包说明执行状态检查、日志排查、重启和备份，验证数据与密钥可恢复。向量和问答服务由使用方配置并检测可用性。</w:t>
      </w:r>
    </w:p>
    <w:p>
      <w:pPr>
        <w:pStyle w:val="Heading2"/>
      </w:pPr>
      <w:r>
        <w:t>移交核对事项</w:t>
      </w:r>
    </w:p>
    <w:p>
      <w:pPr>
        <w:ind w:firstLine="420"/>
        <w:jc w:val="both"/>
      </w:pPr>
      <w:r>
        <w:rPr>
          <w:b w:val="0"/>
          <w:sz w:val="19"/>
        </w:rPr>
        <w:t>移交时应归档源码、当前工作区变更、部署包、MANIFEST、校验文件和测试记录。MANIFEST 记录的基础提交为 20715f434ee74b37b5d1984a9b06dd2f9d4e2220，sourceDirty 为 true，说明镜像包含提交之外的工作区修改，源码归档须覆盖这些修改。</w:t>
      </w:r>
    </w:p>
    <w:p>
      <w:pPr>
        <w:ind w:firstLine="420"/>
        <w:jc w:val="both"/>
      </w:pPr>
      <w:r>
        <w:rPr>
          <w:b w:val="0"/>
        </w:rPr>
        <w:t>运营移交应明确系统管理、项目维护和知识发布责任，完成账号权限与模型配置检查，并在目标服务器验证访问策略、备份恢复和持续运行。技术包验收不替代业务试点验收。</w:t>
      </w:r>
    </w:p>
    <w:p>
      <w:r>
        <w:br w:type="page"/>
      </w:r>
    </w:p>
    <w:p>
      <w:pPr>
        <w:pStyle w:val="Heading1"/>
      </w:pPr>
      <w:r>
        <w:t>六 结项结论与后续安排</w:t>
      </w:r>
    </w:p>
    <w:p>
      <w:pPr>
        <w:pStyle w:val="Heading2"/>
      </w:pPr>
      <w:r>
        <w:t>阶段结项结论</w:t>
      </w:r>
    </w:p>
    <w:p>
      <w:pPr>
        <w:ind w:firstLine="420"/>
        <w:jc w:val="both"/>
      </w:pPr>
      <w:r>
        <w:rPr>
          <w:b w:val="0"/>
        </w:rPr>
        <w:t>代码智库已交付代码与知识联合检索、版本化阅读、知识治理、证据问答、代码结构图谱、受控 MCP 接入及完整离线部署能力。纯知识库模式补齐了无代码场景的知识维护路径；虚拟分支、模型推荐和页面入口整合已纳入 1.1.3 正式交付。</w:t>
      </w:r>
    </w:p>
    <w:p>
      <w:pPr>
        <w:ind w:firstLine="420"/>
        <w:jc w:val="both"/>
      </w:pPr>
      <w:r>
        <w:rPr>
          <w:b w:val="0"/>
        </w:rPr>
        <w:t>现有源码、专项验证及真实容器验收能够支持本阶段软件研发和部署成果归档。建议按当前已实现范围完成技术结项，业务收益、完整业务全景和多项目推广单独组织评估，以实际记录确认成效。</w:t>
      </w:r>
    </w:p>
    <w:p>
      <w:pPr>
        <w:pStyle w:val="Heading2"/>
      </w:pPr>
      <w:r>
        <w:t>后续工作优先级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34"/>
        <w:gridCol w:w="4535"/>
        <w:gridCol w:w="3742"/>
      </w:tblGrid>
      <w:tr>
        <w:trPr>
          <w:tblHeader/>
          <w:cantSplit/>
        </w:trPr>
        <w:tc>
          <w:tcPr>
            <w:tcW w:type="dxa" w:w="1134"/>
            <w:vAlign w:val="center"/>
            <w:shd w:fill="E8EBEF"/>
          </w:tcPr>
          <w:p>
            <w:pPr>
              <w:spacing w:line="293" w:lineRule="auto" w:before="0" w:after="0"/>
              <w:jc w:val="center"/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4535"/>
            <w:vAlign w:val="center"/>
            <w:shd w:fill="E8EBEF"/>
          </w:tcPr>
          <w:p>
            <w:pPr>
              <w:spacing w:line="293" w:lineRule="auto" w:before="0" w:after="0"/>
              <w:jc w:val="center"/>
            </w:pPr>
            <w:r>
              <w:rPr>
                <w:b/>
                <w:sz w:val="20"/>
              </w:rPr>
              <w:t>事项</w:t>
            </w:r>
          </w:p>
        </w:tc>
        <w:tc>
          <w:tcPr>
            <w:tcW w:type="dxa" w:w="3742"/>
            <w:vAlign w:val="center"/>
            <w:shd w:fill="E8EBEF"/>
          </w:tcPr>
          <w:p>
            <w:pPr>
              <w:spacing w:line="293" w:lineRule="auto" w:before="0" w:after="0"/>
              <w:jc w:val="center"/>
            </w:pPr>
            <w:r>
              <w:rPr>
                <w:b/>
                <w:sz w:val="20"/>
              </w:rPr>
              <w:t>完成判据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近期</w:t>
            </w:r>
          </w:p>
        </w:tc>
        <w:tc>
          <w:tcPr>
            <w:tcW w:type="dxa" w:w="4535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选择至少三个代表项目开展试点，覆盖接手、排障和知识维护场景。</w:t>
            </w:r>
          </w:p>
        </w:tc>
        <w:tc>
          <w:tcPr>
            <w:tcW w:type="dxa" w:w="3742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形成项目清单、基线、操作记录和使用反馈，对原价值指标逐项评估。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近期</w:t>
            </w:r>
          </w:p>
        </w:tc>
        <w:tc>
          <w:tcPr>
            <w:tcW w:type="dxa" w:w="4535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补齐外部问答与向量服务、远端 Git/GitLab、目标服务器及容量验收。</w:t>
            </w:r>
          </w:p>
        </w:tc>
        <w:tc>
          <w:tcPr>
            <w:tcW w:type="dxa" w:w="3742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保存可复现的联调、性能和恢复演练记录。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中期</w:t>
            </w:r>
          </w:p>
        </w:tc>
        <w:tc>
          <w:tcPr>
            <w:tcW w:type="dxa" w:w="4535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执行检索与问答质量评测，完善任务监控、前端分包和工程规范。</w:t>
            </w:r>
          </w:p>
        </w:tc>
        <w:tc>
          <w:tcPr>
            <w:tcW w:type="dxa" w:w="3742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输出样本结果、质量指标和问题整改记录，避免仅以单测替代效果评价。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line="293" w:lineRule="auto" w:before="0" w:after="0"/>
              <w:jc w:val="center"/>
            </w:pPr>
            <w:r>
              <w:rPr>
                <w:b w:val="0"/>
                <w:sz w:val="20"/>
              </w:rPr>
              <w:t>按需</w:t>
            </w:r>
          </w:p>
        </w:tc>
        <w:tc>
          <w:tcPr>
            <w:tcW w:type="dxa" w:w="4535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纯知识库在同一项目接入代码；附件正文解析、Wiki/SVN 等扩展。</w:t>
            </w:r>
          </w:p>
        </w:tc>
        <w:tc>
          <w:tcPr>
            <w:tcW w:type="dxa" w:w="3742"/>
            <w:vAlign w:val="center"/>
          </w:tcPr>
          <w:p>
            <w:pPr>
              <w:spacing w:line="293" w:lineRule="auto" w:before="0" w:after="0"/>
              <w:jc w:val="left"/>
            </w:pPr>
            <w:r>
              <w:rPr>
                <w:b w:val="0"/>
                <w:sz w:val="20"/>
              </w:rPr>
              <w:t>先明确数据保留、权限和检索规则，再实施并专项验收。</w:t>
            </w:r>
          </w:p>
        </w:tc>
      </w:tr>
    </w:tbl>
    <w:p>
      <w:pPr>
        <w:spacing w:after="0" w:line="120" w:lineRule="auto"/>
      </w:pPr>
      <w:r>
        <w:rPr>
          <w:sz w:val="6"/>
        </w:rPr>
      </w:r>
    </w:p>
    <w:p>
      <w:pPr>
        <w:pStyle w:val="Heading2"/>
      </w:pPr>
      <w:r>
        <w:t>主要依据与核对入口</w:t>
      </w:r>
    </w:p>
    <w:p>
      <w:pPr>
        <w:spacing w:after="80"/>
        <w:jc w:val="left"/>
      </w:pPr>
      <w:r>
        <w:rPr>
          <w:b w:val="0"/>
          <w:sz w:val="19"/>
        </w:rPr>
        <w:t>原始建设目标与里程碑  docs/代码智库.docx</w:t>
      </w:r>
    </w:p>
    <w:p>
      <w:pPr>
        <w:spacing w:after="80"/>
        <w:jc w:val="left"/>
      </w:pPr>
      <w:r>
        <w:rPr>
          <w:b w:val="0"/>
          <w:sz w:val="19"/>
        </w:rPr>
        <w:t>产品范围与业务流程  README.md 及 docs/01-product-overview.md</w:t>
      </w:r>
    </w:p>
    <w:p>
      <w:pPr>
        <w:spacing w:after="80"/>
        <w:jc w:val="left"/>
      </w:pPr>
      <w:r>
        <w:rPr>
          <w:b w:val="0"/>
          <w:sz w:val="19"/>
        </w:rPr>
        <w:t>知识生命周期及删除  docs/07-knowledge-management.md</w:t>
      </w:r>
    </w:p>
    <w:p>
      <w:pPr>
        <w:spacing w:after="80"/>
        <w:jc w:val="left"/>
      </w:pPr>
      <w:r>
        <w:rPr>
          <w:b w:val="0"/>
          <w:sz w:val="19"/>
        </w:rPr>
        <w:t>检索 问答与图谱  docs/06-unified-retrieval.md 及 docs/08-qa-and-codegraph.md</w:t>
      </w:r>
    </w:p>
    <w:p>
      <w:pPr>
        <w:spacing w:after="80"/>
        <w:jc w:val="left"/>
      </w:pPr>
      <w:r>
        <w:rPr>
          <w:b w:val="0"/>
          <w:sz w:val="19"/>
        </w:rPr>
        <w:t>纯知识库现行范围与验证  docs/plans/knowledge-only-requirements.md 及 knowledge-only-design.md</w:t>
      </w:r>
    </w:p>
    <w:p>
      <w:pPr>
        <w:spacing w:after="80"/>
        <w:jc w:val="left"/>
      </w:pPr>
      <w:r>
        <w:rPr>
          <w:b w:val="0"/>
          <w:sz w:val="19"/>
        </w:rPr>
        <w:t>历史工程验证  docs/14-verification-baseline.md</w:t>
      </w:r>
    </w:p>
    <w:p>
      <w:pPr>
        <w:spacing w:after="80"/>
        <w:jc w:val="left"/>
      </w:pPr>
      <w:r>
        <w:rPr>
          <w:b w:val="0"/>
          <w:sz w:val="19"/>
        </w:rPr>
        <w:t>本轮发布记录  docs/release-policy.md 及 .runtime/build-release-1.1.3.log</w:t>
      </w:r>
    </w:p>
    <w:p>
      <w:pPr>
        <w:spacing w:after="80"/>
        <w:jc w:val="left"/>
      </w:pPr>
      <w:r>
        <w:rPr>
          <w:b w:val="0"/>
          <w:sz w:val="19"/>
        </w:rPr>
        <w:t>交付清单与安装依据  release/analyzer-coder-docker-1.1.3/ 内 MANIFEST.json README.md 和 SHA256SUMS</w:t>
      </w:r>
    </w:p>
    <w:p>
      <w:pPr>
        <w:spacing w:after="80"/>
        <w:jc w:val="left"/>
      </w:pPr>
      <w:r>
        <w:rPr>
          <w:b w:val="0"/>
          <w:sz w:val="19"/>
        </w:rPr>
        <w:t>评测样本与门槛  evaluation/manifest.json 及 evaluation/thresholds.json</w:t>
      </w:r>
    </w:p>
    <w:sectPr w:rsidR="00FC693F" w:rsidRPr="0006063C" w:rsidSect="00034616">
      <w:footerReference w:type="default" r:id="rId9"/>
      <w:pgSz w:w="11906" w:h="16838"/>
      <w:pgMar w:top="1134" w:right="1247" w:bottom="1077" w:left="1247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20"/>
    </w:pPr>
    <w:rPr>
      <w:rFonts w:ascii="宋体" w:hAnsi="宋体" w:eastAsia="宋体" w:cs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76" w:lineRule="auto"/>
      <w:outlineLvl w:val="0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276" w:lineRule="auto"/>
      <w:outlineLvl w:val="1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 w:cs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代码智库项目结项报告</dc:title>
  <dc:subject>Analyzer Coder 1.1.3 软件建设成果与交付验收</dc:subject>
  <dc:creator/>
  <cp:keywords>代码智库 结项报告 1.1.3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