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5040" w:firstLineChars="2100"/>
      </w:pPr>
      <w:r>
        <w:rPr>
          <w:rFonts w:ascii="宋体" w:hAnsi="宋体"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87"/>
        <w:spacing w:after="120"/>
        <w:rPr>
          <w:b/>
          <w:sz w:val="52"/>
        </w:rPr>
      </w:pPr>
    </w:p>
    <w:p>
      <w:pPr>
        <w:pStyle w:val="87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>
      <w:pPr>
        <w:pStyle w:val="87"/>
        <w:spacing w:after="12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需求规格说明书</w:t>
      </w:r>
    </w:p>
    <w:p/>
    <w:p/>
    <w:p/>
    <w:p>
      <w:bookmarkStart w:id="0" w:name="OLE_LINK9"/>
      <w:bookmarkStart w:id="1" w:name="OLE_LINK10"/>
    </w:p>
    <w:tbl>
      <w:tblPr>
        <w:tblStyle w:val="4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1325"/>
        <w:gridCol w:w="4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" w:hRule="atLeast"/>
        </w:trPr>
        <w:tc>
          <w:tcPr>
            <w:tcW w:w="2627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4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4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4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5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" w:hRule="atLeast"/>
        </w:trPr>
        <w:tc>
          <w:tcPr>
            <w:tcW w:w="2627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325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576" w:type="dxa"/>
          </w:tcPr>
          <w:p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627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325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576" w:type="dxa"/>
          </w:tcPr>
          <w:p>
            <w:r>
              <w:rPr>
                <w:rFonts w:hint="eastAsia"/>
              </w:rPr>
              <w:t>季陶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627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325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576" w:type="dxa"/>
          </w:tcPr>
          <w:p/>
        </w:tc>
      </w:tr>
    </w:tbl>
    <w:p/>
    <w:bookmarkEnd w:id="0"/>
    <w:bookmarkEnd w:id="1"/>
    <w:p/>
    <w:p/>
    <w:p/>
    <w:p/>
    <w:p/>
    <w:p/>
    <w:p/>
    <w:p>
      <w:pPr>
        <w:jc w:val="center"/>
        <w:rPr>
          <w:b/>
        </w:rPr>
      </w:pPr>
      <w:r>
        <w:rPr>
          <w:rFonts w:hint="eastAsia"/>
          <w:b/>
        </w:rPr>
        <w:t>浙江融创信息产业有限公司</w:t>
      </w:r>
    </w:p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 本 历 史</w:t>
      </w:r>
    </w:p>
    <w:p/>
    <w:tbl>
      <w:tblPr>
        <w:tblStyle w:val="41"/>
        <w:tblW w:w="870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46"/>
        <w:gridCol w:w="1030"/>
        <w:gridCol w:w="26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5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季陶</w:t>
            </w: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  <w:tr>
        <w:tblPrEx>
          <w:tblLayout w:type="fixed"/>
        </w:tblPrEx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1046" w:type="dxa"/>
            <w:vAlign w:val="center"/>
          </w:tcPr>
          <w:p>
            <w:pPr>
              <w:jc w:val="center"/>
            </w:pPr>
          </w:p>
        </w:tc>
        <w:tc>
          <w:tcPr>
            <w:tcW w:w="1030" w:type="dxa"/>
            <w:vAlign w:val="center"/>
          </w:tcPr>
          <w:p>
            <w:pPr>
              <w:jc w:val="center"/>
            </w:pPr>
          </w:p>
        </w:tc>
        <w:tc>
          <w:tcPr>
            <w:tcW w:w="2699" w:type="dxa"/>
            <w:vAlign w:val="center"/>
          </w:tcPr>
          <w:p>
            <w:pPr>
              <w:jc w:val="center"/>
            </w:pPr>
          </w:p>
        </w:tc>
        <w:tc>
          <w:tcPr>
            <w:tcW w:w="2511" w:type="dxa"/>
            <w:vAlign w:val="center"/>
          </w:tcPr>
          <w:p>
            <w:pPr>
              <w:spacing w:line="240" w:lineRule="auto"/>
            </w:pPr>
          </w:p>
        </w:tc>
      </w:tr>
    </w:tbl>
    <w:p/>
    <w:p>
      <w:pPr>
        <w:rPr>
          <w:bCs/>
          <w:color w:val="000000"/>
          <w:szCs w:val="21"/>
        </w:rPr>
      </w:pPr>
    </w:p>
    <w:p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>
      <w:pPr>
        <w:widowControl/>
        <w:jc w:val="left"/>
        <w:rPr>
          <w:rFonts w:ascii="宋体" w:hAnsi="宋体"/>
          <w:sz w:val="28"/>
          <w:szCs w:val="28"/>
        </w:rPr>
      </w:pPr>
    </w:p>
    <w:p>
      <w:pPr>
        <w:widowControl/>
        <w:jc w:val="center"/>
        <w:rPr>
          <w:rFonts w:ascii="宋体" w:hAnsi="宋体"/>
          <w:b/>
          <w:sz w:val="32"/>
          <w:szCs w:val="28"/>
        </w:rPr>
      </w:pPr>
      <w:r>
        <w:rPr>
          <w:rFonts w:hint="eastAsia" w:ascii="宋体" w:hAnsi="宋体"/>
          <w:b/>
          <w:sz w:val="32"/>
          <w:szCs w:val="28"/>
        </w:rPr>
        <w:t>目</w:t>
      </w:r>
      <w:r>
        <w:rPr>
          <w:rFonts w:ascii="宋体" w:hAnsi="宋体"/>
          <w:b/>
          <w:sz w:val="32"/>
          <w:szCs w:val="28"/>
        </w:rPr>
        <w:t xml:space="preserve">  </w:t>
      </w:r>
      <w:r>
        <w:rPr>
          <w:rFonts w:hint="eastAsia" w:ascii="宋体" w:hAnsi="宋体"/>
          <w:b/>
          <w:sz w:val="32"/>
          <w:szCs w:val="28"/>
        </w:rPr>
        <w:t>录</w:t>
      </w:r>
    </w:p>
    <w:p>
      <w:pPr>
        <w:pStyle w:val="26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sz w:val="144"/>
          <w:szCs w:val="48"/>
        </w:rPr>
        <w:fldChar w:fldCharType="begin"/>
      </w:r>
      <w:r>
        <w:rPr>
          <w:rFonts w:ascii="宋体" w:hAnsi="宋体"/>
          <w:sz w:val="144"/>
          <w:szCs w:val="48"/>
        </w:rPr>
        <w:instrText xml:space="preserve"> TOC \o "2-6" \t "标题 1,1" </w:instrText>
      </w:r>
      <w:r>
        <w:rPr>
          <w:rFonts w:ascii="宋体" w:hAnsi="宋体"/>
          <w:sz w:val="144"/>
          <w:szCs w:val="48"/>
        </w:rPr>
        <w:fldChar w:fldCharType="separate"/>
      </w:r>
      <w:r>
        <w:rPr>
          <w:rFonts w:hint="eastAsia" w:ascii="微软雅黑" w:hAnsi="微软雅黑" w:eastAsia="微软雅黑"/>
        </w:rPr>
        <w:t>一、概述</w:t>
      </w:r>
      <w:r>
        <w:tab/>
      </w:r>
      <w:r>
        <w:fldChar w:fldCharType="begin"/>
      </w:r>
      <w:r>
        <w:instrText xml:space="preserve"> PAGEREF _Toc424715227 \h </w:instrText>
      </w:r>
      <w:r>
        <w:fldChar w:fldCharType="separate"/>
      </w:r>
      <w:r>
        <w:t>2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 w:ascii="宋体" w:hAnsi="宋体"/>
        </w:rPr>
        <w:t>背景</w:t>
      </w:r>
      <w:r>
        <w:tab/>
      </w:r>
      <w:r>
        <w:fldChar w:fldCharType="begin"/>
      </w:r>
      <w:r>
        <w:instrText xml:space="preserve"> PAGEREF _Toc424715228 \h </w:instrText>
      </w:r>
      <w:r>
        <w:fldChar w:fldCharType="separate"/>
      </w:r>
      <w:r>
        <w:t>2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 w:ascii="宋体" w:hAnsi="宋体"/>
        </w:rPr>
        <w:t>建设目标</w:t>
      </w:r>
      <w:r>
        <w:tab/>
      </w:r>
      <w:r>
        <w:fldChar w:fldCharType="begin"/>
      </w:r>
      <w:r>
        <w:instrText xml:space="preserve"> PAGEREF _Toc424715229 \h </w:instrText>
      </w:r>
      <w:r>
        <w:fldChar w:fldCharType="separate"/>
      </w:r>
      <w:r>
        <w:t>2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 w:ascii="宋体" w:hAnsi="宋体"/>
        </w:rPr>
        <w:t>产品定位</w:t>
      </w:r>
      <w:r>
        <w:rPr>
          <w:rFonts w:hint="eastAsia" w:ascii="宋体" w:hAnsi="宋体"/>
          <w:i/>
        </w:rPr>
        <w:t>（可选）</w:t>
      </w:r>
      <w:r>
        <w:tab/>
      </w:r>
      <w:r>
        <w:fldChar w:fldCharType="begin"/>
      </w:r>
      <w:r>
        <w:instrText xml:space="preserve"> PAGEREF _Toc424715230 \h </w:instrText>
      </w:r>
      <w:r>
        <w:fldChar w:fldCharType="separate"/>
      </w:r>
      <w:r>
        <w:t>2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 w:ascii="宋体" w:hAnsi="宋体"/>
        </w:rPr>
        <w:t>文档涉众</w:t>
      </w:r>
      <w:r>
        <w:tab/>
      </w:r>
      <w:r>
        <w:fldChar w:fldCharType="begin"/>
      </w:r>
      <w:r>
        <w:instrText xml:space="preserve"> PAGEREF _Toc424715231 \h </w:instrText>
      </w:r>
      <w:r>
        <w:fldChar w:fldCharType="separate"/>
      </w:r>
      <w:r>
        <w:t>2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1.5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 w:ascii="宋体" w:hAnsi="宋体"/>
        </w:rPr>
        <w:t>术语与缩写解释</w:t>
      </w:r>
      <w:r>
        <w:rPr>
          <w:rFonts w:hint="eastAsia" w:ascii="宋体" w:hAnsi="宋体"/>
          <w:i/>
        </w:rPr>
        <w:t>（可选）</w:t>
      </w:r>
      <w:r>
        <w:tab/>
      </w:r>
      <w:r>
        <w:fldChar w:fldCharType="begin"/>
      </w:r>
      <w:r>
        <w:instrText xml:space="preserve"> PAGEREF _Toc424715232 \h </w:instrText>
      </w:r>
      <w:r>
        <w:fldChar w:fldCharType="separate"/>
      </w:r>
      <w:r>
        <w:t>2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1.6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 w:ascii="宋体" w:hAnsi="宋体"/>
        </w:rPr>
        <w:t>参考文献</w:t>
      </w:r>
      <w:r>
        <w:rPr>
          <w:rFonts w:hint="eastAsia" w:ascii="宋体" w:hAnsi="宋体"/>
          <w:i/>
        </w:rPr>
        <w:t>（可选）</w:t>
      </w:r>
      <w:r>
        <w:tab/>
      </w:r>
      <w:r>
        <w:fldChar w:fldCharType="begin"/>
      </w:r>
      <w:r>
        <w:instrText xml:space="preserve"> PAGEREF _Toc424715233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hint="eastAsia" w:ascii="微软雅黑" w:hAnsi="微软雅黑" w:eastAsia="微软雅黑"/>
        </w:rPr>
        <w:t>二、角色及职责</w:t>
      </w:r>
      <w:r>
        <w:tab/>
      </w:r>
      <w:r>
        <w:fldChar w:fldCharType="begin"/>
      </w:r>
      <w:r>
        <w:instrText xml:space="preserve"> PAGEREF _Toc424715234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hint="eastAsia" w:ascii="微软雅黑" w:hAnsi="微软雅黑" w:eastAsia="微软雅黑"/>
        </w:rPr>
        <w:t>三、总体介绍</w:t>
      </w:r>
      <w:r>
        <w:rPr>
          <w:rFonts w:hint="eastAsia" w:ascii="微软雅黑" w:hAnsi="微软雅黑" w:eastAsia="微软雅黑"/>
          <w:b w:val="0"/>
          <w:i/>
        </w:rPr>
        <w:t>（可选）</w:t>
      </w:r>
      <w:r>
        <w:tab/>
      </w:r>
      <w:r>
        <w:fldChar w:fldCharType="begin"/>
      </w:r>
      <w:r>
        <w:instrText xml:space="preserve"> PAGEREF _Toc424715235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业务功能</w:t>
      </w:r>
      <w:r>
        <w:tab/>
      </w:r>
      <w:r>
        <w:fldChar w:fldCharType="begin"/>
      </w:r>
      <w:r>
        <w:instrText xml:space="preserve"> PAGEREF _Toc424715236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产品结构</w:t>
      </w:r>
      <w:r>
        <w:tab/>
      </w:r>
      <w:r>
        <w:fldChar w:fldCharType="begin"/>
      </w:r>
      <w:r>
        <w:instrText xml:space="preserve"> PAGEREF _Toc424715237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</w:pPr>
      <w:r>
        <w:rPr>
          <w:rFonts w:ascii="Arial" w:hAnsi="Arial" w:cs="Arial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系统框架</w:t>
      </w:r>
      <w:r>
        <w:tab/>
      </w:r>
      <w:r>
        <w:fldChar w:fldCharType="begin"/>
      </w:r>
      <w:r>
        <w:instrText xml:space="preserve"> PAGEREF _Toc424715238 \h </w:instrText>
      </w:r>
      <w:r>
        <w:fldChar w:fldCharType="separate"/>
      </w:r>
      <w:r>
        <w:t>3</w:t>
      </w:r>
      <w:r>
        <w:fldChar w:fldCharType="end"/>
      </w:r>
    </w:p>
    <w:p>
      <w:pPr>
        <w:pStyle w:val="26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hint="eastAsia" w:ascii="微软雅黑" w:hAnsi="微软雅黑" w:eastAsia="微软雅黑"/>
        </w:rPr>
        <w:t>四、功能描述</w:t>
      </w:r>
      <w:r>
        <w:tab/>
      </w:r>
      <w:r>
        <w:fldChar w:fldCharType="begin"/>
      </w:r>
      <w:r>
        <w:instrText xml:space="preserve"> PAGEREF _Toc424715239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功能模块一</w:t>
      </w:r>
      <w:r>
        <w:tab/>
      </w:r>
      <w:r>
        <w:fldChar w:fldCharType="begin"/>
      </w:r>
      <w:r>
        <w:instrText xml:space="preserve"> PAGEREF _Toc424715240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rPr>
          <w:rFonts w:asciiTheme="minorEastAsia" w:hAnsiTheme="minorEastAsia" w:eastAsiaTheme="minorEastAsia"/>
        </w:rPr>
        <w:t>4.1.1</w:t>
      </w:r>
      <w:r>
        <w:rPr>
          <w:rFonts w:eastAsiaTheme="minorEastAsia" w:cstheme="minorBidi"/>
          <w:i w:val="0"/>
          <w:iCs w:val="0"/>
          <w:sz w:val="21"/>
          <w:szCs w:val="22"/>
        </w:rPr>
        <w:tab/>
      </w:r>
      <w:r>
        <w:rPr>
          <w:rFonts w:hint="eastAsia" w:asciiTheme="minorEastAsia" w:hAnsiTheme="minorEastAsia" w:eastAsiaTheme="minorEastAsia"/>
        </w:rPr>
        <w:t>功能一</w:t>
      </w:r>
      <w:r>
        <w:tab/>
      </w:r>
      <w:r>
        <w:fldChar w:fldCharType="begin"/>
      </w:r>
      <w:r>
        <w:instrText xml:space="preserve"> PAGEREF _Toc424715241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hint="eastAsia" w:ascii="微软雅黑" w:hAnsi="微软雅黑" w:eastAsia="微软雅黑"/>
        </w:rPr>
        <w:t>四、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非功能性需求</w:t>
      </w:r>
      <w:r>
        <w:tab/>
      </w:r>
      <w:r>
        <w:fldChar w:fldCharType="begin"/>
      </w:r>
      <w:r>
        <w:instrText xml:space="preserve"> PAGEREF _Toc424715242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  <w:i/>
        </w:rPr>
        <w:t>5.1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_Toc424715243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5.2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_Toc424715244 \h </w:instrText>
      </w:r>
      <w:r>
        <w:fldChar w:fldCharType="separate"/>
      </w:r>
      <w:r>
        <w:t>4</w:t>
      </w:r>
      <w:r>
        <w:fldChar w:fldCharType="end"/>
      </w:r>
    </w:p>
    <w:p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>
        <w:rPr>
          <w:rFonts w:ascii="宋体" w:hAnsi="宋体" w:cstheme="minorHAnsi"/>
          <w:sz w:val="144"/>
          <w:szCs w:val="48"/>
        </w:rPr>
        <w:fldChar w:fldCharType="end"/>
      </w:r>
    </w:p>
    <w:p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widowControl/>
        <w:spacing w:line="240" w:lineRule="auto"/>
        <w:jc w:val="left"/>
        <w:rPr>
          <w:rFonts w:ascii="微软雅黑" w:hAnsi="微软雅黑" w:eastAsia="微软雅黑"/>
          <w:b/>
          <w:bCs/>
          <w:kern w:val="44"/>
          <w:sz w:val="32"/>
          <w:szCs w:val="32"/>
        </w:rPr>
      </w:pPr>
      <w:bookmarkStart w:id="2" w:name="_Toc424715227"/>
      <w:bookmarkStart w:id="3" w:name="_Toc241057901"/>
      <w:r>
        <w:rPr>
          <w:rFonts w:ascii="微软雅黑" w:hAnsi="微软雅黑" w:eastAsia="微软雅黑"/>
          <w:sz w:val="32"/>
          <w:szCs w:val="32"/>
        </w:rPr>
        <w:br w:type="page"/>
      </w:r>
    </w:p>
    <w:p>
      <w:pPr>
        <w:pStyle w:val="2"/>
        <w:numPr>
          <w:ilvl w:val="0"/>
          <w:numId w:val="5"/>
        </w:numPr>
        <w:spacing w:before="312" w:beforeLines="100" w:after="156" w:afterLines="5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概述</w:t>
      </w:r>
      <w:bookmarkEnd w:id="2"/>
    </w:p>
    <w:p>
      <w:pPr>
        <w:pStyle w:val="3"/>
        <w:spacing w:before="312" w:beforeLines="100" w:after="156" w:afterLines="50"/>
        <w:rPr>
          <w:rFonts w:ascii="宋体" w:hAnsi="宋体"/>
          <w:szCs w:val="28"/>
        </w:rPr>
      </w:pPr>
      <w:bookmarkStart w:id="4" w:name="_Toc424715228"/>
      <w:bookmarkStart w:id="5" w:name="_Toc241032261"/>
      <w:r>
        <w:rPr>
          <w:rFonts w:hint="eastAsia" w:ascii="宋体" w:hAnsi="宋体"/>
          <w:szCs w:val="28"/>
        </w:rPr>
        <w:t>背景</w:t>
      </w:r>
      <w:bookmarkEnd w:id="4"/>
    </w:p>
    <w:p>
      <w:pPr>
        <w:ind w:firstLine="480" w:firstLineChars="200"/>
      </w:pPr>
      <w:bookmarkStart w:id="6" w:name="_Toc424715229"/>
      <w:r>
        <w:rPr>
          <w:rFonts w:hint="eastAsia"/>
        </w:rPr>
        <w:t>承接浙江省医疗卫生健康最多跑一次改革，对浙江省预约诊疗平台进行服务内容升级，从功能型向服务及内容型转型。</w:t>
      </w:r>
    </w:p>
    <w:p>
      <w:pPr>
        <w:ind w:firstLine="480" w:firstLineChars="200"/>
        <w:rPr>
          <w:rFonts w:ascii="宋体" w:hAnsi="宋体"/>
          <w:i/>
          <w:iCs/>
        </w:rPr>
      </w:pPr>
      <w:r>
        <w:rPr>
          <w:rFonts w:hint="eastAsia"/>
        </w:rPr>
        <w:t>另一方面互联网巨头的竞争与合作态势已然形成。与阿里健康已开展浙江省互联网医院各个子应用平台的运营合作；另外及与其他4家挂号服务商关于预约渠道占比的相互竞争态势已经形成。</w:t>
      </w:r>
    </w:p>
    <w:p>
      <w:pPr>
        <w:pStyle w:val="3"/>
        <w:spacing w:before="312" w:beforeLines="100" w:after="156" w:afterLines="5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建设目标</w:t>
      </w:r>
      <w:bookmarkEnd w:id="6"/>
    </w:p>
    <w:p>
      <w:pPr>
        <w:ind w:firstLine="480" w:firstLineChars="200"/>
      </w:pPr>
      <w:bookmarkStart w:id="7" w:name="_Toc424715230"/>
      <w:r>
        <w:rPr>
          <w:rFonts w:hint="eastAsia"/>
          <w:lang w:val="en-AU"/>
        </w:rPr>
        <w:t>浙江健康导航打造成为浙江省官方的卫生健康领域的线上服务平台。重点连接全省381家二级及以公立医院的医疗信息服务。逐步拓展到大健康领域的机构服务、健康商城、医患互动、慢病管理等服务领域。上打造浙江省医疗卫生垂直领域的“大众点评”。</w:t>
      </w:r>
    </w:p>
    <w:p>
      <w:pPr>
        <w:pStyle w:val="3"/>
        <w:spacing w:before="312" w:beforeLines="100" w:after="156" w:afterLines="5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产品定位</w:t>
      </w:r>
      <w:r>
        <w:rPr>
          <w:rFonts w:hint="eastAsia" w:ascii="宋体" w:hAnsi="宋体"/>
          <w:i/>
          <w:szCs w:val="28"/>
        </w:rPr>
        <w:t>（可选）</w:t>
      </w:r>
      <w:bookmarkEnd w:id="7"/>
    </w:p>
    <w:p>
      <w:pPr>
        <w:ind w:firstLine="480" w:firstLineChars="200"/>
      </w:pPr>
      <w:bookmarkStart w:id="8" w:name="_Toc424715231"/>
      <w:r>
        <w:rPr>
          <w:rFonts w:hint="eastAsia"/>
        </w:rPr>
        <w:t>针对个人客户在公益服务的基础上提供差异化提供差异化增值服务，打通“信息流”、“资金流”、“服务流”、“物流”的四流。</w:t>
      </w:r>
    </w:p>
    <w:p>
      <w:pPr>
        <w:ind w:firstLine="480" w:firstLineChars="200"/>
      </w:pPr>
      <w:r>
        <w:rPr>
          <w:rFonts w:hint="eastAsia"/>
        </w:rPr>
        <w:t>针对医疗从业机构及从业人员提供机构互联网服务入口。赋能医疗服务，提升机构医疗资源利用效率，获取增值收益。</w:t>
      </w:r>
    </w:p>
    <w:p>
      <w:pPr>
        <w:ind w:firstLine="480" w:firstLineChars="200"/>
      </w:pPr>
      <w:r>
        <w:rPr>
          <w:rFonts w:hint="eastAsia"/>
        </w:rPr>
        <w:t xml:space="preserve">针对互联网运营合作方提供流量入口，分享增值收益。创新商业模式，共建医疗健康信息服务生态。 </w:t>
      </w:r>
    </w:p>
    <w:p>
      <w:pPr>
        <w:ind w:firstLine="480" w:firstLineChars="200"/>
      </w:pPr>
      <w:r>
        <w:rPr>
          <w:rFonts w:hint="eastAsia"/>
        </w:rPr>
        <w:t xml:space="preserve">针对行业主管部门通过大数据、智能分析，为卫计委行业监管提供决策支持。 </w:t>
      </w:r>
    </w:p>
    <w:p>
      <w:pPr>
        <w:pStyle w:val="3"/>
        <w:spacing w:before="312" w:beforeLines="100" w:after="156" w:afterLines="5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文档涉众</w:t>
      </w:r>
      <w:bookmarkEnd w:id="8"/>
    </w:p>
    <w:p>
      <w:pPr>
        <w:ind w:firstLine="480" w:firstLineChars="200"/>
      </w:pPr>
      <w:bookmarkStart w:id="9" w:name="_Toc424715232"/>
      <w:r>
        <w:rPr>
          <w:rFonts w:hint="eastAsia"/>
        </w:rPr>
        <w:t>本平台相关产品经理、技术开发经理及运营经理</w:t>
      </w:r>
    </w:p>
    <w:p>
      <w:pPr>
        <w:pStyle w:val="3"/>
        <w:spacing w:before="312" w:beforeLines="100" w:after="156" w:afterLines="50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术语与缩写解释</w:t>
      </w:r>
      <w:r>
        <w:rPr>
          <w:rFonts w:hint="eastAsia" w:ascii="宋体" w:hAnsi="宋体"/>
          <w:i/>
          <w:szCs w:val="28"/>
        </w:rPr>
        <w:t>（可选）</w:t>
      </w:r>
      <w:bookmarkEnd w:id="9"/>
    </w:p>
    <w:tbl>
      <w:tblPr>
        <w:tblStyle w:val="4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4"/>
        <w:gridCol w:w="6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324" w:type="dxa"/>
            <w:shd w:val="clear" w:color="auto" w:fill="D9D9D9"/>
          </w:tcPr>
          <w:p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hAnsi="华文仿宋" w:eastAsia="华文仿宋"/>
                <w:bCs/>
                <w:szCs w:val="24"/>
              </w:rPr>
            </w:pPr>
            <w:r>
              <w:rPr>
                <w:rFonts w:hint="eastAsia" w:ascii="华文仿宋" w:hAnsi="华文仿宋" w:eastAsia="华文仿宋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hAnsi="华文仿宋" w:eastAsia="华文仿宋"/>
                <w:bCs/>
                <w:szCs w:val="24"/>
              </w:rPr>
            </w:pPr>
            <w:r>
              <w:rPr>
                <w:rFonts w:hint="eastAsia" w:ascii="华文仿宋" w:hAnsi="华文仿宋" w:eastAsia="华文仿宋"/>
                <w:bCs/>
                <w:szCs w:val="24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32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  <w:r>
              <w:rPr>
                <w:rFonts w:hint="eastAsia" w:ascii="华文仿宋" w:hAnsi="华文仿宋" w:eastAsia="华文仿宋"/>
                <w:szCs w:val="24"/>
              </w:rPr>
              <w:t>合作商</w:t>
            </w:r>
          </w:p>
        </w:tc>
        <w:tc>
          <w:tcPr>
            <w:tcW w:w="620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32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  <w:r>
              <w:rPr>
                <w:rFonts w:hint="eastAsia" w:ascii="华文仿宋" w:hAnsi="华文仿宋" w:eastAsia="华文仿宋"/>
                <w:szCs w:val="24"/>
              </w:rPr>
              <w:t>机构</w:t>
            </w:r>
          </w:p>
        </w:tc>
        <w:tc>
          <w:tcPr>
            <w:tcW w:w="620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32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  <w:r>
              <w:rPr>
                <w:rFonts w:hint="eastAsia" w:ascii="华文仿宋" w:hAnsi="华文仿宋" w:eastAsia="华文仿宋"/>
                <w:szCs w:val="24"/>
              </w:rPr>
              <w:t>服务</w:t>
            </w:r>
          </w:p>
        </w:tc>
        <w:tc>
          <w:tcPr>
            <w:tcW w:w="620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32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  <w:r>
              <w:rPr>
                <w:rFonts w:hint="eastAsia" w:ascii="华文仿宋" w:hAnsi="华文仿宋" w:eastAsia="华文仿宋"/>
                <w:szCs w:val="24"/>
              </w:rPr>
              <w:t>产品</w:t>
            </w:r>
          </w:p>
        </w:tc>
        <w:tc>
          <w:tcPr>
            <w:tcW w:w="620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32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  <w:r>
              <w:rPr>
                <w:rFonts w:hint="eastAsia" w:ascii="华文仿宋" w:hAnsi="华文仿宋" w:eastAsia="华文仿宋"/>
                <w:szCs w:val="24"/>
              </w:rPr>
              <w:t>产品分类</w:t>
            </w:r>
          </w:p>
        </w:tc>
        <w:tc>
          <w:tcPr>
            <w:tcW w:w="620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32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</w:p>
        </w:tc>
        <w:tc>
          <w:tcPr>
            <w:tcW w:w="6204" w:type="dxa"/>
          </w:tcPr>
          <w:p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hAnsi="华文仿宋" w:eastAsia="华文仿宋"/>
                <w:szCs w:val="24"/>
              </w:rPr>
            </w:pPr>
          </w:p>
        </w:tc>
      </w:tr>
    </w:tbl>
    <w:p/>
    <w:p>
      <w:pPr>
        <w:pStyle w:val="3"/>
        <w:spacing w:before="312" w:beforeLines="100" w:after="156" w:afterLines="50"/>
        <w:rPr>
          <w:rFonts w:ascii="宋体" w:hAnsi="宋体"/>
          <w:szCs w:val="28"/>
        </w:rPr>
      </w:pPr>
      <w:bookmarkStart w:id="10" w:name="_Toc424715233"/>
      <w:r>
        <w:rPr>
          <w:rFonts w:hint="eastAsia" w:ascii="宋体" w:hAnsi="宋体"/>
          <w:szCs w:val="28"/>
        </w:rPr>
        <w:t>参考文献</w:t>
      </w:r>
      <w:r>
        <w:rPr>
          <w:rFonts w:hint="eastAsia" w:ascii="宋体" w:hAnsi="宋体"/>
          <w:i/>
          <w:szCs w:val="28"/>
        </w:rPr>
        <w:t>（可选）</w:t>
      </w:r>
      <w:bookmarkEnd w:id="10"/>
    </w:p>
    <w:p>
      <w:pPr>
        <w:rPr>
          <w:rFonts w:ascii="微软雅黑" w:hAnsi="微软雅黑" w:eastAsia="微软雅黑"/>
          <w:i/>
          <w:iCs/>
          <w:color w:val="7F7F7F" w:themeColor="background1" w:themeShade="80"/>
        </w:rPr>
      </w:pPr>
      <w:r>
        <w:rPr>
          <w:rFonts w:hint="eastAsia" w:ascii="微软雅黑" w:hAnsi="微软雅黑" w:eastAsia="微软雅黑"/>
          <w:i/>
          <w:iCs/>
          <w:color w:val="7F7F7F" w:themeColor="background1" w:themeShade="80"/>
        </w:rPr>
        <w:t>阐述本文档参考的其他文献资料，可注明相关作者、出版日期、来源等。</w:t>
      </w:r>
    </w:p>
    <w:p/>
    <w:bookmarkEnd w:id="3"/>
    <w:bookmarkEnd w:id="5"/>
    <w:p>
      <w:pPr>
        <w:pStyle w:val="67"/>
        <w:keepNext/>
        <w:keepLines/>
        <w:numPr>
          <w:ilvl w:val="0"/>
          <w:numId w:val="6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 w:val="32"/>
          <w:szCs w:val="32"/>
        </w:rPr>
      </w:pPr>
      <w:bookmarkStart w:id="11" w:name="_Toc424715234"/>
    </w:p>
    <w:p>
      <w:pPr>
        <w:pStyle w:val="2"/>
        <w:numPr>
          <w:ilvl w:val="0"/>
          <w:numId w:val="6"/>
        </w:numPr>
        <w:spacing w:before="312" w:beforeLines="100" w:after="156" w:afterLines="5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角色及职责</w:t>
      </w:r>
      <w:bookmarkEnd w:id="11"/>
    </w:p>
    <w:p>
      <w:pPr>
        <w:rPr>
          <w:rFonts w:ascii="微软雅黑" w:hAnsi="微软雅黑" w:eastAsia="微软雅黑"/>
          <w:i/>
          <w:color w:val="7F7F7F" w:themeColor="background1" w:themeShade="80"/>
        </w:rPr>
      </w:pPr>
      <w:r>
        <w:rPr>
          <w:rFonts w:hint="eastAsia" w:ascii="微软雅黑" w:hAnsi="微软雅黑" w:eastAsia="微软雅黑"/>
          <w:i/>
          <w:color w:val="7F7F7F" w:themeColor="background1" w:themeShade="80"/>
        </w:rPr>
        <w:t>阐述本产品的各种角色及其职责。各种角色的具体行为将在功能性需求中描述。</w:t>
      </w:r>
    </w:p>
    <w:tbl>
      <w:tblPr>
        <w:tblStyle w:val="4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6477"/>
      </w:tblGrid>
      <w:tr>
        <w:tblPrEx>
          <w:tblLayout w:type="fixed"/>
        </w:tblPrEx>
        <w:tc>
          <w:tcPr>
            <w:tcW w:w="2051" w:type="dxa"/>
            <w:shd w:val="clear" w:color="auto" w:fill="D9D9D9"/>
          </w:tcPr>
          <w:p>
            <w:pPr>
              <w:jc w:val="center"/>
              <w:rPr>
                <w:rFonts w:ascii="华文仿宋" w:hAnsi="华文仿宋" w:eastAsia="华文仿宋"/>
                <w:b/>
                <w:sz w:val="21"/>
                <w:szCs w:val="21"/>
              </w:rPr>
            </w:pPr>
            <w:r>
              <w:rPr>
                <w:rFonts w:hint="eastAsia" w:ascii="华文仿宋" w:hAnsi="华文仿宋" w:eastAsia="华文仿宋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>
            <w:pPr>
              <w:jc w:val="center"/>
              <w:rPr>
                <w:rFonts w:ascii="华文仿宋" w:hAnsi="华文仿宋" w:eastAsia="华文仿宋"/>
                <w:b/>
                <w:sz w:val="21"/>
                <w:szCs w:val="21"/>
              </w:rPr>
            </w:pPr>
            <w:r>
              <w:rPr>
                <w:rFonts w:hint="eastAsia" w:ascii="华文仿宋" w:hAnsi="华文仿宋" w:eastAsia="华文仿宋"/>
                <w:b/>
                <w:sz w:val="21"/>
                <w:szCs w:val="21"/>
              </w:rPr>
              <w:t>职责描述</w:t>
            </w:r>
          </w:p>
        </w:tc>
      </w:tr>
      <w:tr>
        <w:tblPrEx>
          <w:tblLayout w:type="fixed"/>
        </w:tblPrEx>
        <w:tc>
          <w:tcPr>
            <w:tcW w:w="2051" w:type="dxa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个人用户</w:t>
            </w:r>
          </w:p>
        </w:tc>
        <w:tc>
          <w:tcPr>
            <w:tcW w:w="6477" w:type="dxa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>
        <w:tblPrEx>
          <w:tblLayout w:type="fixed"/>
        </w:tblPrEx>
        <w:tc>
          <w:tcPr>
            <w:tcW w:w="2051" w:type="dxa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医疗机构管理员</w:t>
            </w:r>
          </w:p>
        </w:tc>
        <w:tc>
          <w:tcPr>
            <w:tcW w:w="6477" w:type="dxa"/>
          </w:tcPr>
          <w:p>
            <w:pPr>
              <w:spacing w:line="400" w:lineRule="exact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注册审核通过后，管理维护机构发布在平台的服务。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1" w:type="dxa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医疗从业人员</w:t>
            </w:r>
          </w:p>
        </w:tc>
        <w:tc>
          <w:tcPr>
            <w:tcW w:w="6477" w:type="dxa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身份认证后，提供线上服务发布、互动、点评。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1" w:type="dxa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预约挂号服务商</w:t>
            </w:r>
          </w:p>
        </w:tc>
        <w:tc>
          <w:tcPr>
            <w:tcW w:w="6477" w:type="dxa"/>
          </w:tcPr>
          <w:p>
            <w:pPr>
              <w:spacing w:line="400" w:lineRule="exact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通过接口调用方式，实现省内主要二级以上医院预约挂号服务。</w:t>
            </w:r>
          </w:p>
        </w:tc>
      </w:tr>
      <w:tr>
        <w:tblPrEx>
          <w:tblLayout w:type="fixed"/>
        </w:tblPrEx>
        <w:tc>
          <w:tcPr>
            <w:tcW w:w="2051" w:type="dxa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12580坐席</w:t>
            </w:r>
          </w:p>
        </w:tc>
        <w:tc>
          <w:tcPr>
            <w:tcW w:w="6477" w:type="dxa"/>
          </w:tcPr>
          <w:p>
            <w:pPr>
              <w:spacing w:line="400" w:lineRule="exact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代呼叫12580的客户，预约挂号。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1" w:type="dxa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运维工程师</w:t>
            </w:r>
          </w:p>
        </w:tc>
        <w:tc>
          <w:tcPr>
            <w:tcW w:w="6477" w:type="dxa"/>
          </w:tcPr>
          <w:p>
            <w:pPr>
              <w:spacing w:line="400" w:lineRule="exact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医院接口接入开通关闭、日常运营监控、故障预警排查、报表服务。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1" w:type="dxa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运营经理</w:t>
            </w:r>
          </w:p>
        </w:tc>
        <w:tc>
          <w:tcPr>
            <w:tcW w:w="6477" w:type="dxa"/>
          </w:tcPr>
          <w:p>
            <w:pPr>
              <w:spacing w:line="400" w:lineRule="exact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医疗健康机构账户开通关闭、医疗从业人员审核、日常服务及内容审核及发布、官方内容采编发布、运营报表。</w:t>
            </w:r>
          </w:p>
        </w:tc>
      </w:tr>
    </w:tbl>
    <w:p/>
    <w:p>
      <w:pPr>
        <w:pStyle w:val="67"/>
        <w:keepNext/>
        <w:keepLines/>
        <w:numPr>
          <w:ilvl w:val="0"/>
          <w:numId w:val="7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 w:val="32"/>
          <w:szCs w:val="32"/>
        </w:rPr>
      </w:pPr>
      <w:bookmarkStart w:id="12" w:name="_Toc424715235"/>
    </w:p>
    <w:p>
      <w:pPr>
        <w:pStyle w:val="67"/>
        <w:keepNext/>
        <w:keepLines/>
        <w:numPr>
          <w:ilvl w:val="0"/>
          <w:numId w:val="7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 w:val="32"/>
          <w:szCs w:val="32"/>
        </w:rPr>
      </w:pPr>
    </w:p>
    <w:p>
      <w:pPr>
        <w:pStyle w:val="2"/>
        <w:numPr>
          <w:ilvl w:val="0"/>
          <w:numId w:val="7"/>
        </w:numPr>
        <w:spacing w:before="312" w:beforeLines="100" w:after="156" w:afterLines="50"/>
        <w:rPr>
          <w:rFonts w:ascii="微软雅黑" w:hAnsi="微软雅黑" w:eastAsia="微软雅黑"/>
          <w:b w:val="0"/>
          <w:i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总体介绍</w:t>
      </w:r>
      <w:r>
        <w:rPr>
          <w:rFonts w:hint="eastAsia" w:ascii="微软雅黑" w:hAnsi="微软雅黑" w:eastAsia="微软雅黑"/>
          <w:b w:val="0"/>
          <w:i/>
          <w:sz w:val="32"/>
          <w:szCs w:val="32"/>
        </w:rPr>
        <w:t>（可选）</w:t>
      </w:r>
      <w:bookmarkEnd w:id="12"/>
    </w:p>
    <w:p>
      <w:r>
        <w:rPr>
          <w:rFonts w:hint="eastAsia" w:ascii="微软雅黑" w:hAnsi="微软雅黑" w:eastAsia="微软雅黑"/>
          <w:i/>
          <w:color w:val="7F7F7F" w:themeColor="background1" w:themeShade="80"/>
        </w:rPr>
        <w:t>对产品整体设计进行阐述。</w:t>
      </w:r>
    </w:p>
    <w:p>
      <w:pPr>
        <w:pStyle w:val="67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>
      <w:pPr>
        <w:pStyle w:val="67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>
      <w:pPr>
        <w:pStyle w:val="3"/>
      </w:pPr>
      <w:bookmarkStart w:id="13" w:name="_Toc424715236"/>
      <w:r>
        <w:rPr>
          <w:rFonts w:hint="eastAsia"/>
        </w:rPr>
        <w:t>业务功能</w:t>
      </w:r>
      <w:bookmarkEnd w:id="13"/>
    </w:p>
    <w:p>
      <w:r>
        <w:rPr>
          <w:rFonts w:hint="eastAsia" w:ascii="微软雅黑" w:hAnsi="微软雅黑" w:eastAsia="微软雅黑"/>
          <w:i/>
          <w:color w:val="7F7F7F" w:themeColor="background1" w:themeShade="80"/>
        </w:rPr>
        <w:t>阐述产品应用的实际业务场景。</w:t>
      </w:r>
    </w:p>
    <w:p>
      <w:pPr>
        <w:pStyle w:val="3"/>
      </w:pPr>
      <w:bookmarkStart w:id="14" w:name="_Toc424715237"/>
      <w:r>
        <w:rPr>
          <w:rFonts w:hint="eastAsia"/>
        </w:rPr>
        <w:t>产品结构</w:t>
      </w:r>
      <w:bookmarkEnd w:id="14"/>
    </w:p>
    <w:p>
      <w:r>
        <w:rPr>
          <w:rFonts w:hint="eastAsia" w:ascii="微软雅黑" w:hAnsi="微软雅黑" w:eastAsia="微软雅黑"/>
          <w:i/>
          <w:color w:val="7F7F7F" w:themeColor="background1" w:themeShade="80"/>
        </w:rPr>
        <w:t>阐述系统的整体组成部分，相关之间的关系，包括系统对外接口描述等。</w:t>
      </w:r>
    </w:p>
    <w:p>
      <w:pPr>
        <w:pStyle w:val="3"/>
      </w:pPr>
      <w:bookmarkStart w:id="15" w:name="_Toc424715238"/>
      <w:r>
        <w:rPr>
          <w:rFonts w:hint="eastAsia"/>
        </w:rPr>
        <w:t>系统框架</w:t>
      </w:r>
      <w:bookmarkEnd w:id="15"/>
    </w:p>
    <w:p>
      <w:r>
        <w:rPr>
          <w:rFonts w:hint="eastAsia" w:ascii="微软雅黑" w:hAnsi="微软雅黑" w:eastAsia="微软雅黑"/>
          <w:i/>
          <w:color w:val="7F7F7F" w:themeColor="background1" w:themeShade="80"/>
        </w:rPr>
        <w:t>阐述系统的整体流程与业务总体操作说明等。</w:t>
      </w:r>
    </w:p>
    <w:p>
      <w:pPr>
        <w:pStyle w:val="67"/>
        <w:keepNext/>
        <w:keepLines/>
        <w:numPr>
          <w:ilvl w:val="0"/>
          <w:numId w:val="8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 w:val="32"/>
          <w:szCs w:val="32"/>
        </w:rPr>
      </w:pPr>
      <w:bookmarkStart w:id="16" w:name="_Toc424715239"/>
    </w:p>
    <w:p>
      <w:pPr>
        <w:pStyle w:val="67"/>
        <w:keepNext/>
        <w:keepLines/>
        <w:numPr>
          <w:ilvl w:val="0"/>
          <w:numId w:val="8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 w:val="32"/>
          <w:szCs w:val="32"/>
        </w:rPr>
      </w:pPr>
    </w:p>
    <w:p>
      <w:pPr>
        <w:pStyle w:val="67"/>
        <w:keepNext/>
        <w:keepLines/>
        <w:numPr>
          <w:ilvl w:val="0"/>
          <w:numId w:val="8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 w:val="32"/>
          <w:szCs w:val="32"/>
        </w:rPr>
      </w:pPr>
    </w:p>
    <w:p>
      <w:pPr>
        <w:pStyle w:val="2"/>
        <w:numPr>
          <w:ilvl w:val="0"/>
          <w:numId w:val="8"/>
        </w:numPr>
        <w:spacing w:before="312" w:beforeLines="100" w:after="156" w:afterLines="5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功能描述</w:t>
      </w:r>
      <w:bookmarkEnd w:id="16"/>
    </w:p>
    <w:p>
      <w:pPr>
        <w:pStyle w:val="67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>
      <w:pPr>
        <w:pStyle w:val="3"/>
      </w:pPr>
      <w:r>
        <w:t>在线问诊相关</w:t>
      </w:r>
    </w:p>
    <w:p>
      <w:pPr>
        <w:rPr>
          <w:rFonts w:hint="eastAsia"/>
        </w:rPr>
      </w:pPr>
      <w:r>
        <w:rPr>
          <w:rFonts w:hint="eastAsia"/>
        </w:rPr>
        <w:t>功能列表：</w:t>
      </w:r>
    </w:p>
    <w:p>
      <w:pPr>
        <w:rPr>
          <w:rFonts w:hint="default"/>
        </w:rPr>
      </w:pPr>
      <w:r>
        <w:rPr>
          <w:rFonts w:hint="default"/>
        </w:rPr>
        <w:t xml:space="preserve">客户端：4.1.1搜索咨询医生 4.1.2 条件查询咨询医生列表 </w:t>
      </w:r>
    </w:p>
    <w:p>
      <w:pPr>
        <w:rPr>
          <w:rFonts w:hint="default"/>
        </w:rPr>
      </w:pPr>
      <w:r>
        <w:rPr>
          <w:rFonts w:hint="default"/>
        </w:rPr>
        <w:t>4.1.3 用户授权合作商</w:t>
      </w:r>
    </w:p>
    <w:p>
      <w:pPr>
        <w:rPr>
          <w:rFonts w:hint="default"/>
        </w:rPr>
      </w:pPr>
      <w:r>
        <w:rPr>
          <w:rFonts w:hint="default"/>
        </w:rPr>
        <w:t>接口服务：4.2.1同步咨询医生 4.2.2 同步咨询订单</w:t>
      </w:r>
    </w:p>
    <w:p>
      <w:pPr>
        <w:rPr>
          <w:rFonts w:hint="default"/>
        </w:rPr>
      </w:pPr>
      <w:r>
        <w:rPr>
          <w:rFonts w:hint="default"/>
        </w:rPr>
        <w:t>运营管理平台：4.3.1咨询医生管理 4.3.2咨询订单管理  4.3.3 咨询订单统计报表展示 4.3.4 合作商权重设置 4.3.5 快速咨询合作商设置</w:t>
      </w:r>
    </w:p>
    <w:p>
      <w:pPr>
        <w:rPr>
          <w:rFonts w:hint="eastAsia"/>
        </w:rPr>
      </w:pPr>
      <w:r>
        <w:rPr>
          <w:rFonts w:hint="default"/>
        </w:rPr>
        <w:t xml:space="preserve">合作商管理平台 </w:t>
      </w:r>
      <w:commentRangeStart w:id="0"/>
      <w:r>
        <w:rPr>
          <w:rFonts w:hint="default"/>
        </w:rPr>
        <w:t>4.4.1 开通在线咨询服务？ 4.4.2 开通快速咨询服务？ 4.4.3 发布咨询医生</w:t>
      </w:r>
      <w:commentRangeEnd w:id="0"/>
      <w:r>
        <w:commentReference w:id="0"/>
      </w:r>
      <w:bookmarkStart w:id="22" w:name="_GoBack"/>
      <w:bookmarkEnd w:id="22"/>
    </w:p>
    <w:p>
      <w:pPr>
        <w:pStyle w:val="4"/>
        <w:numPr>
          <w:ilvl w:val="2"/>
          <w:numId w:val="0"/>
        </w:numPr>
        <w:ind w:leftChars="0"/>
      </w:pPr>
      <w:r>
        <w:t>4.1.1客户端</w:t>
      </w:r>
    </w:p>
    <w:p>
      <w:pPr>
        <w:pStyle w:val="5"/>
        <w:numPr>
          <w:ilvl w:val="3"/>
          <w:numId w:val="0"/>
        </w:numPr>
        <w:ind w:leftChars="0"/>
      </w:pPr>
      <w:r>
        <w:t>4.1.1.1 搜索咨询医生</w:t>
      </w:r>
    </w:p>
    <w:p>
      <w:r>
        <w:rPr>
          <w:rFonts w:hint="eastAsia"/>
        </w:rPr>
        <w:t>入口：</w:t>
      </w:r>
      <w:r>
        <w:rPr>
          <w:rFonts w:hint="default"/>
        </w:rPr>
        <w:t>健康导航App-专家咨询顶部</w:t>
      </w:r>
    </w:p>
    <w:p>
      <w:pPr>
        <w:rPr>
          <w:rFonts w:hint="eastAsia" w:ascii="华文细黑" w:hAnsi="华文细黑" w:eastAsia="华文细黑"/>
          <w:szCs w:val="24"/>
          <w:lang w:eastAsia="zh-CN"/>
        </w:rPr>
      </w:pPr>
      <w:r>
        <w:rPr>
          <w:rFonts w:hint="eastAsia" w:ascii="华文细黑" w:hAnsi="华文细黑" w:eastAsia="华文细黑"/>
          <w:szCs w:val="24"/>
          <w:lang w:eastAsia="zh-CN"/>
        </w:rPr>
        <w:t>示意图：</w:t>
      </w:r>
    </w:p>
    <w:p>
      <w:pPr>
        <w:rPr>
          <w:rFonts w:hint="eastAsia" w:ascii="华文细黑" w:hAnsi="华文细黑" w:eastAsia="华文细黑"/>
          <w:szCs w:val="24"/>
        </w:rPr>
      </w:pPr>
      <w:r>
        <w:rPr>
          <w:rFonts w:hint="eastAsia" w:ascii="Arial" w:hAnsi="Arial" w:cs="Arial"/>
          <w:b/>
          <w:bCs/>
          <w:color w:val="333333"/>
          <w:sz w:val="36"/>
          <w:szCs w:val="36"/>
          <w:shd w:val="clear" w:color="auto" w:fill="auto"/>
          <w:lang w:val="en-US" w:eastAsia="zh-CN"/>
        </w:rPr>
        <w:drawing>
          <wp:inline distT="0" distB="0" distL="114300" distR="114300">
            <wp:extent cx="2348865" cy="4178300"/>
            <wp:effectExtent l="0" t="0" r="13335" b="12700"/>
            <wp:docPr id="1" name="图片 4" descr="Screenshot_20190606-09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Screenshot_20190606-0930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1"/>
      <w:r>
        <w:rPr>
          <w:rFonts w:hint="eastAsia" w:ascii="华文细黑" w:hAnsi="华文细黑" w:eastAsia="华文细黑"/>
          <w:szCs w:val="24"/>
          <w:lang w:eastAsia="zh-CN"/>
        </w:rPr>
        <w:drawing>
          <wp:inline distT="0" distB="0" distL="114300" distR="114300">
            <wp:extent cx="2367280" cy="4208780"/>
            <wp:effectExtent l="0" t="0" r="13970" b="1270"/>
            <wp:docPr id="10" name="图片 10" descr="Screenshot_20190611-13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90611-1335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>
      <w:pPr>
        <w:rPr>
          <w:rFonts w:ascii="华文细黑" w:hAnsi="华文细黑" w:eastAsia="华文细黑"/>
          <w:szCs w:val="24"/>
        </w:rPr>
      </w:pPr>
      <w:r>
        <w:rPr>
          <w:rFonts w:hint="eastAsia" w:ascii="华文细黑" w:hAnsi="华文细黑" w:eastAsia="华文细黑"/>
          <w:szCs w:val="24"/>
        </w:rPr>
        <w:t>涉及</w:t>
      </w:r>
      <w:r>
        <w:rPr>
          <w:rFonts w:hint="eastAsia" w:ascii="华文细黑" w:hAnsi="华文细黑" w:eastAsia="华文细黑"/>
          <w:b/>
          <w:szCs w:val="24"/>
        </w:rPr>
        <w:t>字段</w:t>
      </w:r>
      <w:r>
        <w:rPr>
          <w:rFonts w:hint="eastAsia" w:ascii="华文细黑" w:hAnsi="华文细黑" w:eastAsia="华文细黑"/>
          <w:szCs w:val="24"/>
        </w:rPr>
        <w:t>：</w:t>
      </w:r>
    </w:p>
    <w:tbl>
      <w:tblPr>
        <w:tblStyle w:val="42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3496"/>
      </w:tblGrid>
      <w:tr>
        <w:tblPrEx>
          <w:tblLayout w:type="fixed"/>
        </w:tblPrEx>
        <w:tc>
          <w:tcPr>
            <w:tcW w:w="170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华文细黑" w:hAnsi="华文细黑" w:eastAsia="华文细黑"/>
                <w:b/>
                <w:szCs w:val="24"/>
              </w:rPr>
            </w:pPr>
            <w:r>
              <w:rPr>
                <w:rFonts w:hint="eastAsia" w:ascii="华文细黑" w:hAnsi="华文细黑" w:eastAsia="华文细黑"/>
                <w:b/>
                <w:szCs w:val="24"/>
              </w:rPr>
              <w:t>字段名</w:t>
            </w:r>
          </w:p>
        </w:tc>
        <w:tc>
          <w:tcPr>
            <w:tcW w:w="170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华文细黑" w:hAnsi="华文细黑" w:eastAsia="华文细黑"/>
                <w:b/>
                <w:szCs w:val="24"/>
              </w:rPr>
            </w:pPr>
            <w:r>
              <w:rPr>
                <w:rFonts w:hint="eastAsia" w:ascii="华文细黑" w:hAnsi="华文细黑" w:eastAsia="华文细黑"/>
                <w:b/>
                <w:szCs w:val="24"/>
              </w:rPr>
              <w:t>长度</w:t>
            </w:r>
          </w:p>
        </w:tc>
        <w:tc>
          <w:tcPr>
            <w:tcW w:w="170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华文细黑" w:hAnsi="华文细黑" w:eastAsia="华文细黑"/>
                <w:b/>
                <w:szCs w:val="24"/>
              </w:rPr>
            </w:pPr>
            <w:r>
              <w:rPr>
                <w:rFonts w:hint="eastAsia" w:ascii="华文细黑" w:hAnsi="华文细黑" w:eastAsia="华文细黑"/>
                <w:b/>
                <w:szCs w:val="24"/>
              </w:rPr>
              <w:t>是否必填</w:t>
            </w:r>
          </w:p>
        </w:tc>
        <w:tc>
          <w:tcPr>
            <w:tcW w:w="349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华文细黑" w:hAnsi="华文细黑" w:eastAsia="华文细黑"/>
                <w:b/>
                <w:szCs w:val="24"/>
              </w:rPr>
            </w:pPr>
            <w:r>
              <w:rPr>
                <w:rFonts w:hint="eastAsia" w:ascii="华文细黑" w:hAnsi="华文细黑" w:eastAsia="华文细黑"/>
                <w:b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705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医生名称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否</w:t>
            </w:r>
          </w:p>
        </w:tc>
        <w:tc>
          <w:tcPr>
            <w:tcW w:w="3496" w:type="dxa"/>
          </w:tcPr>
          <w:p>
            <w:pPr>
              <w:jc w:val="center"/>
              <w:rPr>
                <w:rFonts w:hint="eastAsia" w:ascii="华文细黑" w:hAnsi="华文细黑" w:eastAsia="华文细黑"/>
                <w:szCs w:val="24"/>
              </w:rPr>
            </w:pPr>
            <w:r>
              <w:rPr>
                <w:rFonts w:hint="default" w:ascii="华文细黑" w:hAnsi="华文细黑" w:eastAsia="华文细黑"/>
                <w:szCs w:val="24"/>
              </w:rPr>
              <w:t>模糊查询</w:t>
            </w:r>
          </w:p>
        </w:tc>
      </w:tr>
      <w:tr>
        <w:tblPrEx>
          <w:tblLayout w:type="fixed"/>
        </w:tblPrEx>
        <w:tc>
          <w:tcPr>
            <w:tcW w:w="1705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医院名称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hint="eastAsia" w:ascii="华文细黑" w:hAnsi="华文细黑" w:eastAsia="华文细黑"/>
                <w:szCs w:val="24"/>
              </w:rPr>
              <w:t>否</w:t>
            </w:r>
          </w:p>
        </w:tc>
        <w:tc>
          <w:tcPr>
            <w:tcW w:w="349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模糊查询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规则补充：</w:t>
      </w:r>
    </w:p>
    <w:p>
      <w:pPr>
        <w:pStyle w:val="67"/>
        <w:numPr>
          <w:ilvl w:val="0"/>
          <w:numId w:val="9"/>
        </w:numPr>
        <w:ind w:firstLineChars="0"/>
      </w:pPr>
      <w:r>
        <w:t>只能搜到已上架的咨询医生</w:t>
      </w:r>
    </w:p>
    <w:p>
      <w:pPr>
        <w:pStyle w:val="67"/>
        <w:numPr>
          <w:ilvl w:val="0"/>
          <w:numId w:val="9"/>
        </w:numPr>
        <w:ind w:firstLineChars="0"/>
      </w:pPr>
      <w:r>
        <w:rPr>
          <w:rFonts w:hint="default"/>
        </w:rPr>
        <w:t>支持医生名称和医院名称的模糊查询</w:t>
      </w:r>
      <w:r>
        <w:rPr>
          <w:rFonts w:hint="eastAsia"/>
        </w:rPr>
        <w:t>。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</w:rPr>
      </w:pPr>
      <w:r>
        <w:rPr>
          <w:rFonts w:hint="default"/>
        </w:rPr>
        <w:t>4.1.1.2条件查询咨询医生列表</w:t>
      </w:r>
    </w:p>
    <w:p>
      <w:pPr>
        <w:rPr>
          <w:rFonts w:hint="eastAsia"/>
        </w:rPr>
      </w:pPr>
      <w:r>
        <w:rPr>
          <w:rFonts w:hint="eastAsia"/>
          <w:b/>
        </w:rPr>
        <w:t>入口</w:t>
      </w:r>
      <w:r>
        <w:rPr>
          <w:rFonts w:hint="eastAsia"/>
        </w:rPr>
        <w:t>：</w:t>
      </w:r>
      <w:r>
        <w:rPr>
          <w:rFonts w:hint="default"/>
        </w:rPr>
        <w:t>健康导航App-专家咨询</w:t>
      </w:r>
    </w:p>
    <w:p>
      <w:r>
        <w:rPr>
          <w:rFonts w:hint="eastAsia"/>
          <w:b/>
        </w:rPr>
        <w:t>列表字段</w:t>
      </w:r>
      <w:r>
        <w:rPr>
          <w:rFonts w:hint="eastAsia"/>
        </w:rPr>
        <w:t xml:space="preserve">：姓名 职称 医院名 </w:t>
      </w:r>
      <w:r>
        <w:rPr>
          <w:rFonts w:hint="default"/>
        </w:rPr>
        <w:t>国标</w:t>
      </w:r>
      <w:r>
        <w:rPr>
          <w:rFonts w:hint="eastAsia"/>
        </w:rPr>
        <w:t>科室名 医生擅长 咨询价格</w:t>
      </w:r>
      <w:r>
        <w:rPr>
          <w:rFonts w:hint="default"/>
        </w:rPr>
        <w:t xml:space="preserve"> </w:t>
      </w:r>
      <w:r>
        <w:rPr>
          <w:rFonts w:hint="eastAsia"/>
        </w:rPr>
        <w:t>咨询量</w:t>
      </w:r>
    </w:p>
    <w:p>
      <w:pPr>
        <w:rPr>
          <w:rFonts w:ascii="华文细黑" w:hAnsi="华文细黑" w:eastAsia="华文细黑"/>
          <w:szCs w:val="24"/>
        </w:rPr>
      </w:pPr>
      <w:r>
        <w:rPr>
          <w:rFonts w:hint="default" w:ascii="华文细黑" w:hAnsi="华文细黑" w:eastAsia="华文细黑"/>
          <w:szCs w:val="24"/>
        </w:rPr>
        <w:t>条件涉及</w:t>
      </w:r>
      <w:r>
        <w:rPr>
          <w:rFonts w:hint="eastAsia" w:ascii="华文细黑" w:hAnsi="华文细黑" w:eastAsia="华文细黑"/>
          <w:b/>
          <w:szCs w:val="24"/>
        </w:rPr>
        <w:t>字段</w:t>
      </w:r>
      <w:r>
        <w:rPr>
          <w:rFonts w:hint="eastAsia" w:ascii="华文细黑" w:hAnsi="华文细黑" w:eastAsia="华文细黑"/>
          <w:szCs w:val="24"/>
        </w:rPr>
        <w:t>：</w:t>
      </w:r>
    </w:p>
    <w:tbl>
      <w:tblPr>
        <w:tblStyle w:val="42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3496"/>
      </w:tblGrid>
      <w:tr>
        <w:tblPrEx>
          <w:tblLayout w:type="fixed"/>
        </w:tblPrEx>
        <w:tc>
          <w:tcPr>
            <w:tcW w:w="170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华文细黑" w:hAnsi="华文细黑" w:eastAsia="华文细黑"/>
                <w:b/>
                <w:szCs w:val="24"/>
              </w:rPr>
            </w:pPr>
            <w:r>
              <w:rPr>
                <w:rFonts w:hint="eastAsia" w:ascii="华文细黑" w:hAnsi="华文细黑" w:eastAsia="华文细黑"/>
                <w:b/>
                <w:szCs w:val="24"/>
              </w:rPr>
              <w:t>字段名</w:t>
            </w:r>
          </w:p>
        </w:tc>
        <w:tc>
          <w:tcPr>
            <w:tcW w:w="170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华文细黑" w:hAnsi="华文细黑" w:eastAsia="华文细黑"/>
                <w:b/>
                <w:szCs w:val="24"/>
              </w:rPr>
            </w:pPr>
            <w:r>
              <w:rPr>
                <w:rFonts w:hint="eastAsia" w:ascii="华文细黑" w:hAnsi="华文细黑" w:eastAsia="华文细黑"/>
                <w:b/>
                <w:szCs w:val="24"/>
              </w:rPr>
              <w:t>长度</w:t>
            </w:r>
          </w:p>
        </w:tc>
        <w:tc>
          <w:tcPr>
            <w:tcW w:w="170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华文细黑" w:hAnsi="华文细黑" w:eastAsia="华文细黑"/>
                <w:b/>
                <w:szCs w:val="24"/>
              </w:rPr>
            </w:pPr>
            <w:r>
              <w:rPr>
                <w:rFonts w:hint="eastAsia" w:ascii="华文细黑" w:hAnsi="华文细黑" w:eastAsia="华文细黑"/>
                <w:b/>
                <w:szCs w:val="24"/>
              </w:rPr>
              <w:t>是否必填</w:t>
            </w:r>
          </w:p>
        </w:tc>
        <w:tc>
          <w:tcPr>
            <w:tcW w:w="349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华文细黑" w:hAnsi="华文细黑" w:eastAsia="华文细黑"/>
                <w:b/>
                <w:szCs w:val="24"/>
              </w:rPr>
            </w:pPr>
            <w:r>
              <w:rPr>
                <w:rFonts w:hint="eastAsia" w:ascii="华文细黑" w:hAnsi="华文细黑" w:eastAsia="华文细黑"/>
                <w:b/>
                <w:szCs w:val="24"/>
              </w:rPr>
              <w:t>备注</w:t>
            </w:r>
          </w:p>
        </w:tc>
      </w:tr>
      <w:tr>
        <w:tblPrEx>
          <w:tblLayout w:type="fixed"/>
        </w:tblPrEx>
        <w:tc>
          <w:tcPr>
            <w:tcW w:w="1705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科室类别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是</w:t>
            </w:r>
          </w:p>
        </w:tc>
        <w:tc>
          <w:tcPr>
            <w:tcW w:w="3496" w:type="dxa"/>
          </w:tcPr>
          <w:p>
            <w:pPr>
              <w:jc w:val="center"/>
              <w:rPr>
                <w:rFonts w:hint="eastAsia" w:ascii="华文细黑" w:hAnsi="华文细黑" w:eastAsia="华文细黑"/>
                <w:szCs w:val="24"/>
              </w:rPr>
            </w:pPr>
            <w:r>
              <w:rPr>
                <w:rFonts w:hint="default" w:ascii="华文细黑" w:hAnsi="华文细黑" w:eastAsia="华文细黑"/>
                <w:szCs w:val="24"/>
              </w:rPr>
              <w:t>国标一二级科室</w:t>
            </w:r>
          </w:p>
        </w:tc>
      </w:tr>
      <w:tr>
        <w:tblPrEx>
          <w:tblLayout w:type="fixed"/>
        </w:tblPrEx>
        <w:tc>
          <w:tcPr>
            <w:tcW w:w="1705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综合因子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是</w:t>
            </w:r>
          </w:p>
        </w:tc>
        <w:tc>
          <w:tcPr>
            <w:tcW w:w="349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订单量(降序) || 价格(升序)||</w:t>
            </w:r>
            <w:commentRangeStart w:id="2"/>
            <w:r>
              <w:rPr>
                <w:rFonts w:ascii="华文细黑" w:hAnsi="华文细黑" w:eastAsia="华文细黑"/>
                <w:szCs w:val="24"/>
              </w:rPr>
              <w:t>好评</w:t>
            </w:r>
            <w:commentRangeEnd w:id="2"/>
            <w:r>
              <w:commentReference w:id="2"/>
            </w:r>
            <w:r>
              <w:rPr>
                <w:rFonts w:ascii="华文细黑" w:hAnsi="华文细黑" w:eastAsia="华文细黑"/>
                <w:szCs w:val="24"/>
              </w:rPr>
              <w:t xml:space="preserve"> ||</w:t>
            </w:r>
            <w:r>
              <w:commentReference w:id="3"/>
            </w:r>
            <w:r>
              <w:rPr>
                <w:rFonts w:ascii="华文细黑" w:hAnsi="华文细黑" w:eastAsia="华文细黑"/>
                <w:szCs w:val="24"/>
              </w:rPr>
              <w:t>综合排序</w:t>
            </w:r>
          </w:p>
        </w:tc>
      </w:tr>
      <w:tr>
        <w:tblPrEx>
          <w:tblLayout w:type="fixed"/>
        </w:tblPrEx>
        <w:tc>
          <w:tcPr>
            <w:tcW w:w="1705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筛选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华文细黑" w:hAnsi="华文细黑" w:eastAsia="华文细黑"/>
                <w:szCs w:val="24"/>
              </w:rPr>
            </w:pPr>
            <w:r>
              <w:rPr>
                <w:rFonts w:hint="default" w:ascii="华文细黑" w:hAnsi="华文细黑" w:eastAsia="华文细黑"/>
                <w:szCs w:val="24"/>
              </w:rPr>
              <w:t>是</w:t>
            </w:r>
          </w:p>
        </w:tc>
        <w:tc>
          <w:tcPr>
            <w:tcW w:w="349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  <w:r>
              <w:rPr>
                <w:rFonts w:ascii="华文细黑" w:hAnsi="华文细黑" w:eastAsia="华文细黑"/>
                <w:szCs w:val="24"/>
              </w:rPr>
              <w:t>价格区间 &amp;&amp; 医生职称</w:t>
            </w:r>
          </w:p>
        </w:tc>
      </w:tr>
      <w:tr>
        <w:tblPrEx>
          <w:tblLayout w:type="fixed"/>
        </w:tblPrEx>
        <w:tc>
          <w:tcPr>
            <w:tcW w:w="1705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华文细黑" w:hAnsi="华文细黑" w:eastAsia="华文细黑"/>
                <w:szCs w:val="24"/>
              </w:rPr>
            </w:pPr>
          </w:p>
        </w:tc>
        <w:tc>
          <w:tcPr>
            <w:tcW w:w="349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705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华文细黑" w:hAnsi="华文细黑" w:eastAsia="华文细黑"/>
                <w:szCs w:val="24"/>
              </w:rPr>
            </w:pPr>
          </w:p>
        </w:tc>
        <w:tc>
          <w:tcPr>
            <w:tcW w:w="349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</w:tr>
      <w:tr>
        <w:tblPrEx>
          <w:tblLayout w:type="fixed"/>
        </w:tblPrEx>
        <w:tc>
          <w:tcPr>
            <w:tcW w:w="1705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  <w:tc>
          <w:tcPr>
            <w:tcW w:w="1706" w:type="dxa"/>
          </w:tcPr>
          <w:p>
            <w:pPr>
              <w:jc w:val="center"/>
              <w:rPr>
                <w:rFonts w:hint="eastAsia" w:ascii="华文细黑" w:hAnsi="华文细黑" w:eastAsia="华文细黑"/>
                <w:szCs w:val="24"/>
              </w:rPr>
            </w:pPr>
          </w:p>
        </w:tc>
        <w:tc>
          <w:tcPr>
            <w:tcW w:w="3496" w:type="dxa"/>
          </w:tcPr>
          <w:p>
            <w:pPr>
              <w:jc w:val="center"/>
              <w:rPr>
                <w:rFonts w:ascii="华文细黑" w:hAnsi="华文细黑" w:eastAsia="华文细黑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规则补充：</w:t>
      </w:r>
    </w:p>
    <w:p>
      <w:pPr>
        <w:pStyle w:val="67"/>
        <w:numPr>
          <w:ilvl w:val="0"/>
          <w:numId w:val="10"/>
        </w:numPr>
        <w:ind w:firstLineChars="0"/>
      </w:pPr>
      <w:r>
        <w:t>默认顺序：按照运营管理平台排好的顺序来</w:t>
      </w:r>
    </w:p>
    <w:p>
      <w:pPr>
        <w:pStyle w:val="67"/>
        <w:numPr>
          <w:ilvl w:val="0"/>
          <w:numId w:val="10"/>
        </w:numPr>
        <w:ind w:firstLineChars="0"/>
      </w:pPr>
      <w:r>
        <w:t>条件拼接规则：科室类别 &amp;&amp; 综合因子 &amp;&amp; 价格区间 &amp;&amp; 医生职称</w:t>
      </w:r>
    </w:p>
    <w:p>
      <w:pPr>
        <w:pStyle w:val="67"/>
        <w:numPr>
          <w:ilvl w:val="0"/>
          <w:numId w:val="10"/>
        </w:numPr>
        <w:ind w:firstLineChars="0"/>
      </w:pPr>
      <w:r>
        <w:t>只展示已上架的咨询医生。</w:t>
      </w:r>
    </w:p>
    <w:p>
      <w:r>
        <w:rPr>
          <w:rFonts w:hint="eastAsia"/>
        </w:rPr>
        <w:t>示意图：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2426970" cy="4311650"/>
            <wp:effectExtent l="0" t="0" r="11430" b="6350"/>
            <wp:docPr id="3" name="图片 1" descr="7155963891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71559638917_.pi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3"/>
          <w:numId w:val="0"/>
        </w:numPr>
        <w:ind w:leftChars="0"/>
      </w:pPr>
      <w:r>
        <w:rPr>
          <w:rFonts w:hint="default"/>
        </w:rPr>
        <w:t>4.1.1.3</w:t>
      </w:r>
      <w:r>
        <w:t>用户授权三方</w:t>
      </w:r>
    </w:p>
    <w:p>
      <w:pPr>
        <w:rPr>
          <w:rFonts w:hint="eastAsia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  <w:r>
        <w:rPr>
          <w:rFonts w:hint="default"/>
        </w:rPr>
        <w:t>首次登录健康导航App-专家咨询-点击咨询专家触发</w:t>
      </w:r>
    </w:p>
    <w:p>
      <w:pPr>
        <w:rPr>
          <w:rFonts w:hint="eastAsia"/>
        </w:rPr>
      </w:pPr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default"/>
          <w:b/>
        </w:rPr>
        <w:t>让</w:t>
      </w:r>
      <w:r>
        <w:rPr>
          <w:rFonts w:hint="default"/>
          <w:b w:val="0"/>
          <w:bCs/>
        </w:rPr>
        <w:t>第三方合作商获取客户端用户的信息，实现其内部登录。</w:t>
      </w:r>
    </w:p>
    <w:p/>
    <w:p>
      <w:r>
        <w:rPr>
          <w:rFonts w:hint="eastAsia"/>
        </w:rPr>
        <w:t>规则补充：</w:t>
      </w:r>
    </w:p>
    <w:p>
      <w:pPr>
        <w:pStyle w:val="67"/>
        <w:numPr>
          <w:ilvl w:val="0"/>
          <w:numId w:val="0"/>
        </w:numPr>
        <w:ind w:leftChars="0"/>
      </w:pPr>
      <w:r>
        <w:rPr>
          <w:rFonts w:hint="default"/>
        </w:rPr>
        <w:t xml:space="preserve">(1) </w:t>
      </w:r>
      <w:commentRangeStart w:id="4"/>
      <w:r>
        <w:rPr>
          <w:rFonts w:hint="eastAsia"/>
        </w:rPr>
        <w:t>点</w:t>
      </w:r>
      <w:r>
        <w:rPr>
          <w:rFonts w:hint="default"/>
        </w:rPr>
        <w:t>老平台规则：健康导航提供authCode给合作商，合作商依据authCode获取authToken, 再根据authToken获取用户信息。</w:t>
      </w:r>
      <w:commentRangeEnd w:id="4"/>
      <w:r>
        <w:commentReference w:id="4"/>
      </w:r>
    </w:p>
    <w:p>
      <w:r>
        <w:rPr>
          <w:rFonts w:hint="eastAsia"/>
        </w:rPr>
        <w:t>示意图:</w:t>
      </w:r>
    </w:p>
    <w:p>
      <w:r>
        <w:drawing>
          <wp:inline distT="0" distB="0" distL="114300" distR="114300">
            <wp:extent cx="2406650" cy="4145280"/>
            <wp:effectExtent l="0" t="0" r="6350" b="20320"/>
            <wp:docPr id="6" name="图片 5" descr="11155963892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11559638921_.pi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0"/>
        </w:numPr>
        <w:ind w:leftChars="0"/>
        <w:rPr>
          <w:rFonts w:hint="eastAsia" w:cs="Times New Roman"/>
          <w:b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1"/>
          <w:szCs w:val="28"/>
          <w:lang w:val="en-US" w:eastAsia="zh-CN" w:bidi="ar-SA"/>
        </w:rPr>
        <w:t>4.1.1.4咨询记录（订单）列表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  <w:r>
        <w:rPr>
          <w:rFonts w:hint="default"/>
        </w:rPr>
        <w:t>健康导航App</w:t>
      </w:r>
      <w:r>
        <w:rPr>
          <w:rFonts w:hint="eastAsia"/>
          <w:lang w:val="en-US" w:eastAsia="zh-CN"/>
        </w:rPr>
        <w:t>-我的-咨询记录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rPr>
          <w:rFonts w:hint="default" w:ascii="Arial" w:hAnsi="Arial" w:cs="Arial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shd w:val="clear" w:color="FFFFFF" w:fill="D9D9D9"/>
          <w:lang w:val="en-US" w:eastAsia="zh-CN"/>
        </w:rPr>
        <w:drawing>
          <wp:inline distT="0" distB="0" distL="114300" distR="114300">
            <wp:extent cx="2148840" cy="3822065"/>
            <wp:effectExtent l="0" t="0" r="3810" b="6985"/>
            <wp:docPr id="4" name="图片 1" descr="Screenshot_20190605-19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Screenshot_20190605-1903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</w:rPr>
        <w:t>列表字段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姓名 职称 医院名 </w:t>
      </w:r>
      <w:r>
        <w:rPr>
          <w:rFonts w:hint="default"/>
        </w:rPr>
        <w:t>国标</w:t>
      </w:r>
      <w:r>
        <w:rPr>
          <w:rFonts w:hint="eastAsia"/>
        </w:rPr>
        <w:t>科室名</w:t>
      </w:r>
      <w:r>
        <w:rPr>
          <w:rFonts w:hint="eastAsia"/>
          <w:lang w:val="en-US" w:eastAsia="zh-CN"/>
        </w:rPr>
        <w:t xml:space="preserve"> 咨询价格 咨询状态 咨询类型 咨询时间 </w:t>
      </w:r>
    </w:p>
    <w:p>
      <w:pPr>
        <w:rPr>
          <w:rFonts w:hint="eastAsia"/>
          <w:b/>
        </w:rPr>
      </w:pPr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</w:p>
    <w:p>
      <w:pPr>
        <w:rPr>
          <w:rFonts w:hint="default" w:ascii="Arial" w:hAnsi="Arial"/>
          <w:lang w:val="en-US" w:eastAsia="zh-CN"/>
        </w:rPr>
      </w:pPr>
      <w:commentRangeStart w:id="5"/>
      <w:r>
        <w:rPr>
          <w:rFonts w:hint="eastAsia" w:ascii="Arial" w:hAnsi="Arial"/>
          <w:lang w:val="en-US" w:eastAsia="zh-CN"/>
        </w:rPr>
        <w:t>将</w:t>
      </w:r>
      <w:r>
        <w:rPr>
          <w:rFonts w:hint="default"/>
          <w:lang w:eastAsia="zh-CN"/>
        </w:rPr>
        <w:t>该用户的</w:t>
      </w:r>
      <w:r>
        <w:rPr>
          <w:rFonts w:hint="eastAsia" w:ascii="Arial" w:hAnsi="Arial"/>
          <w:lang w:val="en-US" w:eastAsia="zh-CN"/>
        </w:rPr>
        <w:t>咨询记录全部展示</w:t>
      </w:r>
      <w:commentRangeEnd w:id="5"/>
      <w:r>
        <w:commentReference w:id="5"/>
      </w:r>
    </w:p>
    <w:p>
      <w:pPr>
        <w:pStyle w:val="5"/>
        <w:numPr>
          <w:ilvl w:val="3"/>
          <w:numId w:val="0"/>
        </w:numPr>
        <w:ind w:leftChars="0"/>
        <w:rPr>
          <w:rFonts w:hint="eastAsia" w:cs="Times New Roman"/>
          <w:b/>
          <w:bCs/>
          <w:kern w:val="2"/>
          <w:sz w:val="21"/>
          <w:szCs w:val="28"/>
          <w:lang w:val="en-US" w:eastAsia="zh-CN" w:bidi="ar-SA"/>
        </w:rPr>
      </w:pPr>
      <w:commentRangeStart w:id="6"/>
      <w:r>
        <w:rPr>
          <w:rFonts w:hint="eastAsia" w:cs="Times New Roman"/>
          <w:b/>
          <w:bCs/>
          <w:kern w:val="2"/>
          <w:sz w:val="21"/>
          <w:szCs w:val="28"/>
          <w:lang w:val="en-US" w:eastAsia="zh-CN" w:bidi="ar-SA"/>
        </w:rPr>
        <w:t>4.1.1.5咨询记录（订单）对话内容</w:t>
      </w:r>
      <w:commentRangeEnd w:id="6"/>
      <w:r>
        <w:commentReference w:id="6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  <w:r>
        <w:rPr>
          <w:rFonts w:hint="default"/>
        </w:rPr>
        <w:t>健康导航App</w:t>
      </w:r>
      <w:r>
        <w:rPr>
          <w:rFonts w:hint="eastAsia"/>
          <w:lang w:val="en-US" w:eastAsia="zh-CN"/>
        </w:rPr>
        <w:t>-我的-咨询记录-记录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医生首页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医院首页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专家咨询主入口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rPr>
          <w:rFonts w:hint="default" w:ascii="Arial" w:hAnsi="Arial" w:cs="Arial"/>
          <w:color w:val="333333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333333"/>
          <w:sz w:val="20"/>
          <w:szCs w:val="20"/>
          <w:shd w:val="clear" w:color="auto" w:fill="FFFFFF"/>
          <w:lang w:val="en-US" w:eastAsia="zh-CN"/>
        </w:rPr>
        <w:drawing>
          <wp:inline distT="0" distB="0" distL="114300" distR="114300">
            <wp:extent cx="2258695" cy="4018280"/>
            <wp:effectExtent l="0" t="0" r="8255" b="1270"/>
            <wp:docPr id="7" name="图片 2" descr="Screenshot_20190606-14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Screenshot_20190606-1416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b w:val="0"/>
          <w:bCs/>
          <w:lang w:val="en-US" w:eastAsia="zh-CN"/>
        </w:rPr>
      </w:pPr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eastAsia" w:ascii="Arial" w:hAnsi="Arial"/>
          <w:b w:val="0"/>
          <w:bCs/>
          <w:lang w:eastAsia="zh-CN"/>
        </w:rPr>
        <w:t>显示问诊对话内容</w:t>
      </w:r>
    </w:p>
    <w:p>
      <w:pPr>
        <w:rPr>
          <w:rFonts w:hint="default" w:ascii="Arial" w:hAnsi="Arial" w:cs="Arial"/>
          <w:color w:val="333333"/>
          <w:sz w:val="20"/>
          <w:szCs w:val="20"/>
          <w:shd w:val="clear" w:color="auto" w:fill="FFFFFF"/>
          <w:lang w:val="en-US" w:eastAsia="zh-CN"/>
        </w:rPr>
      </w:pPr>
    </w:p>
    <w:p>
      <w:pPr>
        <w:rPr>
          <w:rFonts w:hint="default" w:ascii="Arial" w:hAnsi="Arial" w:cs="Arial"/>
          <w:color w:val="333333"/>
          <w:sz w:val="20"/>
          <w:szCs w:val="20"/>
          <w:shd w:val="clear" w:color="auto" w:fill="FFFFFF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 w:cs="Times New Roman"/>
          <w:b/>
          <w:bCs/>
          <w:kern w:val="2"/>
          <w:sz w:val="21"/>
          <w:szCs w:val="28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1"/>
          <w:szCs w:val="28"/>
          <w:lang w:val="en-US" w:eastAsia="zh-CN" w:bidi="ar-SA"/>
        </w:rPr>
        <w:t>4.1.1.6 跳转快速咨询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  <w:r>
        <w:rPr>
          <w:rFonts w:hint="default"/>
        </w:rPr>
        <w:t>健康导航App</w:t>
      </w:r>
      <w:r>
        <w:rPr>
          <w:rFonts w:hint="eastAsia"/>
          <w:lang w:val="en-US" w:eastAsia="zh-CN"/>
        </w:rPr>
        <w:t>-快速咨询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</w:pPr>
      <w:r>
        <w:t>4.2.1.1接口服务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default"/>
        </w:rPr>
        <w:t>4.2.1.1同步咨询医生</w:t>
      </w:r>
    </w:p>
    <w:p>
      <w:pPr>
        <w:rPr>
          <w:rFonts w:hint="eastAsia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</w:p>
    <w:p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default"/>
          <w:b w:val="0"/>
          <w:bCs/>
        </w:rPr>
        <w:t>供第三方调用，批量同步咨询医生信息</w:t>
      </w:r>
    </w:p>
    <w:p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</w:p>
    <w:p>
      <w:pPr>
        <w:pStyle w:val="67"/>
        <w:numPr>
          <w:ilvl w:val="0"/>
          <w:numId w:val="11"/>
        </w:numPr>
        <w:ind w:leftChars="0"/>
        <w:rPr>
          <w:rFonts w:hint="default"/>
        </w:rPr>
      </w:pPr>
      <w:r>
        <w:rPr>
          <w:rFonts w:hint="default"/>
        </w:rPr>
        <w:t>同步过来的咨询医生默认非上架状态-待运营平台审核上架。</w:t>
      </w:r>
    </w:p>
    <w:p>
      <w:pPr>
        <w:pStyle w:val="67"/>
        <w:numPr>
          <w:ilvl w:val="0"/>
          <w:numId w:val="0"/>
        </w:numPr>
        <w:ind w:leftChars="200"/>
        <w:rPr>
          <w:rFonts w:hint="default"/>
        </w:rPr>
      </w:pPr>
    </w:p>
    <w:p>
      <w:pPr>
        <w:pStyle w:val="5"/>
        <w:numPr>
          <w:ilvl w:val="3"/>
          <w:numId w:val="0"/>
        </w:numPr>
        <w:ind w:leftChars="0"/>
      </w:pPr>
      <w:r>
        <w:rPr>
          <w:rFonts w:hint="default"/>
        </w:rPr>
        <w:t>4.2.1.2同步咨询订单</w:t>
      </w:r>
    </w:p>
    <w:p>
      <w:pPr>
        <w:rPr>
          <w:rFonts w:hint="eastAsia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default"/>
          <w:b w:val="0"/>
          <w:bCs/>
        </w:rPr>
        <w:t>供第三方调用，同步咨询订单。</w:t>
      </w:r>
    </w:p>
    <w:p/>
    <w:p>
      <w:pPr>
        <w:rPr>
          <w:rFonts w:hint="eastAsia"/>
        </w:rPr>
      </w:pPr>
      <w:r>
        <w:rPr>
          <w:rFonts w:hint="eastAsia"/>
        </w:rPr>
        <w:t>规则：</w:t>
      </w:r>
    </w:p>
    <w:p>
      <w:commentRangeStart w:id="7"/>
      <w:r>
        <w:rPr>
          <w:rFonts w:hint="eastAsia"/>
        </w:rPr>
        <w:t>问题状态和订单状态</w:t>
      </w:r>
      <w:commentRangeEnd w:id="7"/>
      <w:r>
        <w:commentReference w:id="7"/>
      </w:r>
      <w:r>
        <w:rPr>
          <w:rFonts w:hint="eastAsia"/>
        </w:rPr>
        <w:t>发生变化都要推送记录信息</w:t>
      </w:r>
      <w:r>
        <w:rPr>
          <w:rFonts w:hint="default"/>
        </w:rPr>
        <w:t>(第三方同步咨询记录，app推送消息给用户)</w:t>
      </w:r>
      <w:r>
        <w:rPr>
          <w:rFonts w:hint="eastAsia"/>
        </w:rPr>
        <w:t>，有两种情况必须</w:t>
      </w:r>
      <w:r>
        <w:rPr>
          <w:rFonts w:hint="default"/>
        </w:rPr>
        <w:t>同步咨询订单</w:t>
      </w:r>
      <w:r>
        <w:rPr>
          <w:rFonts w:hint="eastAsia"/>
        </w:rPr>
        <w:t>：</w:t>
      </w:r>
    </w:p>
    <w:p>
      <w:r>
        <w:t xml:space="preserve">    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用户在第三方系统中</w:t>
      </w:r>
      <w:r>
        <w:rPr>
          <w:rFonts w:hint="default"/>
        </w:rPr>
        <w:t>已</w:t>
      </w:r>
      <w:r>
        <w:rPr>
          <w:rFonts w:hint="eastAsia"/>
        </w:rPr>
        <w:t>发起问诊</w:t>
      </w:r>
      <w:r>
        <w:rPr>
          <w:rFonts w:hint="default"/>
        </w:rPr>
        <w:t>。</w:t>
      </w:r>
      <w:r>
        <w:rPr>
          <w:rFonts w:hint="eastAsia"/>
        </w:rPr>
        <w:t>健康导航将要在咨询列表中展示这条订单记录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医生回复</w:t>
      </w:r>
      <w:r>
        <w:rPr>
          <w:rFonts w:hint="default"/>
        </w:rPr>
        <w:t>时。副作用：</w:t>
      </w:r>
      <w:commentRangeStart w:id="8"/>
      <w:r>
        <w:rPr>
          <w:rFonts w:hint="eastAsia"/>
        </w:rPr>
        <w:t>浙江导航负责推送消息提醒用户及时关注</w:t>
      </w:r>
      <w:commentRangeEnd w:id="8"/>
      <w:r>
        <w:commentReference w:id="8"/>
      </w:r>
    </w:p>
    <w:p>
      <w:commentRangeStart w:id="9"/>
      <w:r>
        <w:rPr>
          <w:rFonts w:hint="eastAsia"/>
          <w:lang w:eastAsia="zh-CN"/>
        </w:rPr>
        <w:t>注意点：</w:t>
      </w:r>
      <w:r>
        <w:rPr>
          <w:rFonts w:hint="eastAsia"/>
        </w:rPr>
        <w:t>一次最多同步10条问诊记录</w:t>
      </w:r>
      <w:commentRangeEnd w:id="9"/>
      <w:r>
        <w:commentReference w:id="9"/>
      </w:r>
    </w:p>
    <w:p/>
    <w:p>
      <w:pPr>
        <w:pStyle w:val="4"/>
        <w:numPr>
          <w:ilvl w:val="2"/>
          <w:numId w:val="0"/>
        </w:numPr>
        <w:ind w:leftChars="0"/>
      </w:pPr>
      <w:r>
        <w:t>4.3.1.1运营管理平台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default"/>
        </w:rPr>
        <w:t>4.3.1.1咨询医生管理</w:t>
      </w:r>
    </w:p>
    <w:p>
      <w:pPr>
        <w:rPr>
          <w:rFonts w:hint="eastAsia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default"/>
          <w:b w:val="0"/>
          <w:bCs/>
        </w:rPr>
        <w:t>查看咨询医生列表，查看咨询医生信息，</w:t>
      </w:r>
      <w:commentRangeStart w:id="10"/>
      <w:r>
        <w:rPr>
          <w:rFonts w:hint="default"/>
          <w:b w:val="0"/>
          <w:bCs/>
        </w:rPr>
        <w:t>修改</w:t>
      </w:r>
      <w:commentRangeEnd w:id="10"/>
      <w:r>
        <w:commentReference w:id="10"/>
      </w:r>
      <w:r>
        <w:rPr>
          <w:rFonts w:hint="default"/>
          <w:b w:val="0"/>
          <w:bCs/>
        </w:rPr>
        <w:t>，删除</w:t>
      </w:r>
      <w:r>
        <w:commentReference w:id="11"/>
      </w:r>
      <w:r>
        <w:t>，</w:t>
      </w:r>
      <w:r>
        <w:rPr>
          <w:rFonts w:hint="default"/>
          <w:b w:val="0"/>
          <w:bCs/>
        </w:rPr>
        <w:t>可以对</w:t>
      </w:r>
      <w:r>
        <w:rPr>
          <w:rFonts w:hint="default"/>
          <w:b w:val="0"/>
          <w:bCs/>
        </w:rPr>
        <w:t>已上架的</w:t>
      </w:r>
      <w:r>
        <w:rPr>
          <w:rFonts w:hint="default"/>
          <w:b w:val="0"/>
          <w:bCs/>
        </w:rPr>
        <w:t>咨询医生进行上下箭头排序，上下架，</w:t>
      </w:r>
      <w:commentRangeStart w:id="12"/>
      <w:r>
        <w:rPr>
          <w:rFonts w:hint="default"/>
          <w:b w:val="0"/>
          <w:bCs/>
          <w:lang w:eastAsia="zh-CN"/>
        </w:rPr>
        <w:t>excel导入咨询医生</w:t>
      </w:r>
      <w:commentRangeEnd w:id="12"/>
      <w:r>
        <w:commentReference w:id="12"/>
      </w:r>
    </w:p>
    <w:p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</w:p>
    <w:p>
      <w:pPr>
        <w:pStyle w:val="67"/>
        <w:numPr>
          <w:ilvl w:val="0"/>
          <w:numId w:val="12"/>
        </w:numPr>
        <w:ind w:leftChars="200"/>
        <w:rPr>
          <w:rFonts w:hint="default"/>
        </w:rPr>
      </w:pPr>
      <w:r>
        <w:rPr>
          <w:rFonts w:hint="default"/>
        </w:rPr>
        <w:t>上架的咨询医生列表展示在最上端，后面是未上架的咨询医生列表</w:t>
      </w:r>
    </w:p>
    <w:p>
      <w:pPr>
        <w:pStyle w:val="67"/>
        <w:numPr>
          <w:ilvl w:val="0"/>
          <w:numId w:val="12"/>
        </w:numPr>
        <w:ind w:leftChars="200"/>
        <w:rPr>
          <w:rFonts w:hint="default"/>
        </w:rPr>
      </w:pPr>
      <w:commentRangeStart w:id="13"/>
      <w:r>
        <w:rPr>
          <w:rFonts w:hint="default"/>
        </w:rPr>
        <w:t>上架的咨询医生列表排序，按照合作商权重，好评率，订单量等综合因子排序。客户端展示咨询医生列表，按照这个展示。</w:t>
      </w:r>
      <w:commentRangeEnd w:id="13"/>
      <w:r>
        <w:commentReference w:id="13"/>
      </w:r>
    </w:p>
    <w:p>
      <w:pPr>
        <w:pStyle w:val="67"/>
        <w:numPr>
          <w:ilvl w:val="0"/>
          <w:numId w:val="12"/>
        </w:numPr>
        <w:ind w:leftChars="200"/>
        <w:rPr>
          <w:rFonts w:hint="default"/>
        </w:rPr>
      </w:pPr>
      <w:r>
        <w:rPr>
          <w:rFonts w:hint="default"/>
        </w:rPr>
        <w:t>上架列表首条无上箭头，若存在当前页末位上架记录则无下箭头。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default"/>
        </w:rPr>
        <w:t>4.3.1.2咨询订单管理</w:t>
      </w:r>
    </w:p>
    <w:p>
      <w:pPr>
        <w:rPr>
          <w:rFonts w:hint="eastAsia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</w:p>
    <w:p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default"/>
          <w:b w:val="0"/>
          <w:bCs/>
        </w:rPr>
        <w:t>查看咨询订单列表，查看详情</w:t>
      </w:r>
    </w:p>
    <w:p>
      <w:pPr>
        <w:rPr>
          <w:rFonts w:hint="eastAsia"/>
        </w:rPr>
      </w:pPr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可以根据订单号、用户名、手机号、订单状态查询订单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可以根据订单起始与终止日期查询订单记录</w:t>
      </w:r>
    </w:p>
    <w:p>
      <w:pPr>
        <w:pStyle w:val="67"/>
        <w:numPr>
          <w:ilvl w:val="0"/>
          <w:numId w:val="0"/>
        </w:numPr>
        <w:ind w:leftChars="200"/>
        <w:rPr>
          <w:rFonts w:hint="default"/>
        </w:rPr>
      </w:pPr>
    </w:p>
    <w:p>
      <w:pPr>
        <w:pStyle w:val="5"/>
        <w:numPr>
          <w:ilvl w:val="3"/>
          <w:numId w:val="0"/>
        </w:numPr>
        <w:ind w:leftChars="0"/>
      </w:pPr>
      <w:r>
        <w:rPr>
          <w:rFonts w:hint="default"/>
        </w:rPr>
        <w:t>4.3.1.3咨询订单统计报表展示</w:t>
      </w:r>
    </w:p>
    <w:p>
      <w:pPr>
        <w:rPr>
          <w:rFonts w:hint="eastAsia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</w:p>
    <w:p>
      <w:pPr>
        <w:rPr>
          <w:rFonts w:hint="eastAsia"/>
          <w:b/>
        </w:rPr>
      </w:pPr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default"/>
          <w:b w:val="0"/>
          <w:bCs/>
        </w:rPr>
        <w:t>根据合作商、客户端类别(app,微信)和功能入口</w:t>
      </w:r>
      <w:r>
        <w:rPr>
          <w:b w:val="0"/>
          <w:bCs/>
        </w:rPr>
        <w:commentReference w:id="14"/>
      </w:r>
      <w:r>
        <w:rPr>
          <w:rFonts w:hint="default"/>
          <w:b w:val="0"/>
          <w:bCs/>
        </w:rPr>
        <w:t>等运维角度查看咨询订单统计报表。饼图？柱状图？</w:t>
      </w:r>
    </w:p>
    <w:p>
      <w:pPr>
        <w:rPr>
          <w:rFonts w:hint="eastAsia"/>
        </w:rPr>
      </w:pPr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default"/>
        </w:rPr>
        <w:t xml:space="preserve"> (1) ?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default"/>
        </w:rPr>
        <w:t>4.3.1.4合作商权重设置</w:t>
      </w:r>
    </w:p>
    <w:p>
      <w:pPr>
        <w:rPr>
          <w:rFonts w:hint="eastAsia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</w:p>
    <w:p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default"/>
          <w:b w:val="0"/>
          <w:bCs/>
        </w:rPr>
        <w:t>配置与各合作商的分润权重</w:t>
      </w:r>
    </w:p>
    <w:p>
      <w:pPr>
        <w:rPr>
          <w:rFonts w:hint="default"/>
        </w:rPr>
      </w:pPr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default"/>
        </w:rPr>
        <w:t>4.3.1.5快速咨询合作商设置</w:t>
      </w:r>
    </w:p>
    <w:p>
      <w:pPr>
        <w:rPr>
          <w:rFonts w:hint="eastAsia"/>
        </w:rPr>
      </w:pPr>
      <w:r>
        <w:rPr>
          <w:rFonts w:hint="eastAsia"/>
          <w:b/>
          <w:bCs/>
        </w:rPr>
        <w:t>入口</w:t>
      </w:r>
      <w:r>
        <w:rPr>
          <w:rFonts w:hint="eastAsia"/>
        </w:rPr>
        <w:t>：</w:t>
      </w:r>
    </w:p>
    <w:p>
      <w:pPr>
        <w:rPr>
          <w:rFonts w:hint="eastAsia"/>
          <w:b/>
        </w:rPr>
      </w:pPr>
      <w:r>
        <w:rPr>
          <w:rFonts w:hint="default"/>
          <w:b/>
        </w:rPr>
        <w:t>效果描述</w:t>
      </w:r>
      <w:r>
        <w:rPr>
          <w:rFonts w:hint="eastAsia"/>
          <w:b/>
        </w:rPr>
        <w:t>：</w:t>
      </w:r>
      <w:r>
        <w:rPr>
          <w:rFonts w:hint="default"/>
          <w:b w:val="0"/>
          <w:bCs/>
        </w:rPr>
        <w:t>设置用户点击客户端快速咨询入口时，展示哪个第三方平台</w:t>
      </w:r>
    </w:p>
    <w:p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</w:p>
    <w:p>
      <w:pPr>
        <w:pStyle w:val="4"/>
        <w:numPr>
          <w:ilvl w:val="2"/>
          <w:numId w:val="0"/>
        </w:numPr>
        <w:ind w:leftChars="0"/>
      </w:pPr>
      <w:r>
        <w:t>4.4.1.1合作商管理平台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4"/>
        </w:numPr>
        <w:spacing w:before="312" w:beforeLines="100" w:after="156" w:afterLines="50"/>
        <w:rPr>
          <w:rFonts w:ascii="微软雅黑" w:hAnsi="微软雅黑" w:eastAsia="微软雅黑"/>
          <w:sz w:val="32"/>
          <w:szCs w:val="32"/>
        </w:rPr>
      </w:pPr>
      <w:bookmarkStart w:id="17" w:name="_Toc424715242"/>
      <w:r>
        <w:rPr>
          <w:rFonts w:hint="eastAsia" w:ascii="微软雅黑" w:hAnsi="微软雅黑" w:eastAsia="微软雅黑"/>
          <w:sz w:val="32"/>
          <w:szCs w:val="32"/>
        </w:rPr>
        <w:t>非功能性需求</w:t>
      </w:r>
      <w:bookmarkEnd w:id="17"/>
    </w:p>
    <w:p>
      <w:pPr>
        <w:pStyle w:val="67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>
      <w:pPr>
        <w:pStyle w:val="3"/>
      </w:pPr>
      <w:bookmarkStart w:id="18" w:name="_Toc424715243"/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bookmarkEnd w:id="18"/>
    </w:p>
    <w:p>
      <w:r>
        <w:rPr>
          <w:rFonts w:hint="eastAsia" w:ascii="华文细黑" w:hAnsi="华文细黑" w:eastAsia="华文细黑"/>
          <w:i/>
          <w:color w:val="7F7F7F" w:themeColor="background1" w:themeShade="80"/>
          <w:szCs w:val="24"/>
        </w:rPr>
        <w:t>阐述界面设计需要遵循的原则与规范。</w:t>
      </w:r>
    </w:p>
    <w:p>
      <w:pPr>
        <w:pStyle w:val="3"/>
      </w:pPr>
      <w:bookmarkStart w:id="19" w:name="_Toc424715244"/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bookmarkEnd w:id="19"/>
    </w:p>
    <w:p>
      <w:r>
        <w:rPr>
          <w:rFonts w:hint="eastAsia" w:ascii="华文细黑" w:hAnsi="华文细黑" w:eastAsia="华文细黑"/>
          <w:i/>
          <w:color w:val="7F7F7F" w:themeColor="background1" w:themeShade="80"/>
          <w:szCs w:val="24"/>
        </w:rPr>
        <w:t>阐述本系统建设应遵循的原则以及安全性、并发性、存储等要求。</w:t>
      </w:r>
    </w:p>
    <w:p/>
    <w:p>
      <w:pPr>
        <w:spacing w:line="440" w:lineRule="exact"/>
        <w:ind w:firstLine="480" w:firstLineChars="200"/>
        <w:rPr>
          <w:rFonts w:ascii="华文仿宋" w:hAnsi="华文仿宋" w:eastAsia="华文仿宋"/>
        </w:rPr>
      </w:pPr>
    </w:p>
    <w:sectPr>
      <w:footerReference r:id="rId9" w:type="default"/>
      <w:type w:val="continuous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r.Panda" w:date="2019-06-11T15:33:47Z" w:initials="">
    <w:p w14:paraId="35EEAF75">
      <w:pPr>
        <w:pStyle w:val="12"/>
      </w:pPr>
      <w:r>
        <w:t>感觉没必要</w:t>
      </w:r>
    </w:p>
  </w:comment>
  <w:comment w:id="1" w:author="Mr.Panda" w:date="2019-06-13T10:03:14Z" w:initials="">
    <w:p w14:paraId="FDFF3D07">
      <w:pPr>
        <w:pStyle w:val="12"/>
      </w:pPr>
      <w:r>
        <w:t>搜索的咨询医生列表排序规则？</w:t>
      </w:r>
    </w:p>
  </w:comment>
  <w:comment w:id="2" w:author="Mr.Panda" w:date="2019-06-11T15:04:28Z" w:initials="">
    <w:p w14:paraId="7F1F720F">
      <w:pPr>
        <w:pStyle w:val="12"/>
      </w:pPr>
      <w:r>
        <w:t>咨询医生 哪里体现好评？</w:t>
      </w:r>
    </w:p>
  </w:comment>
  <w:comment w:id="3" w:author="Mr.Panda" w:date="2019-06-11T15:00:13Z" w:initials="">
    <w:p w14:paraId="FD73DA37">
      <w:pPr>
        <w:pStyle w:val="12"/>
      </w:pPr>
      <w:r>
        <w:t>具体什么规则？</w:t>
      </w:r>
    </w:p>
  </w:comment>
  <w:comment w:id="4" w:author="Mr.Panda" w:date="2019-06-11T15:19:21Z" w:initials="">
    <w:p w14:paraId="BEFD3BBC">
      <w:pPr>
        <w:pStyle w:val="12"/>
      </w:pPr>
      <w:r>
        <w:t>新平台auth方式是否修改？</w:t>
      </w:r>
    </w:p>
  </w:comment>
  <w:comment w:id="5" w:author="Mr.Panda" w:date="2019-06-12T15:42:27Z" w:initials="">
    <w:p w14:paraId="F9D9FB04">
      <w:pPr>
        <w:pStyle w:val="12"/>
      </w:pPr>
      <w:r>
        <w:t>咨</w:t>
      </w:r>
      <w:r>
        <w:t xml:space="preserve"> </w:t>
      </w:r>
      <w:r>
        <w:t>询订单 专家问诊和快速问诊是一样的？</w:t>
      </w:r>
    </w:p>
  </w:comment>
  <w:comment w:id="6" w:author="Mr.Panda" w:date="2019-06-12T15:43:50Z" w:initials="">
    <w:p w14:paraId="FAF7DFB4">
      <w:pPr>
        <w:pStyle w:val="12"/>
      </w:pPr>
      <w:r>
        <w:t>这个功能是合作商H5里已提供的，我们不需要做</w:t>
      </w:r>
      <w:r>
        <w:t>？</w:t>
      </w:r>
    </w:p>
  </w:comment>
  <w:comment w:id="7" w:author="Mr.Panda" w:date="2019-06-13T10:26:19Z" w:initials="">
    <w:p w14:paraId="EFDFE69D">
      <w:pPr>
        <w:pStyle w:val="12"/>
      </w:pPr>
      <w:r>
        <w:t>不同合作商是否统一状态规范</w:t>
      </w:r>
    </w:p>
  </w:comment>
  <w:comment w:id="8" w:author="Mr.Panda" w:date="2019-06-12T15:52:25Z" w:initials="">
    <w:p w14:paraId="97F6FF91">
      <w:pPr>
        <w:pStyle w:val="12"/>
      </w:pPr>
      <w:r>
        <w:t>健康导航和第三方都会推送消息提醒客户吗？</w:t>
      </w:r>
    </w:p>
  </w:comment>
  <w:comment w:id="9" w:author="Mr.Panda" w:date="2019-06-13T10:28:47Z" w:initials="">
    <w:p w14:paraId="3B93889D">
      <w:pPr>
        <w:pStyle w:val="12"/>
      </w:pPr>
      <w:r>
        <w:t>不同合作商是否一样</w:t>
      </w:r>
    </w:p>
  </w:comment>
  <w:comment w:id="10" w:author="Mr.Panda" w:date="2019-06-13T10:30:25Z" w:initials="">
    <w:p w14:paraId="3DDD7406">
      <w:pPr>
        <w:pStyle w:val="12"/>
      </w:pPr>
      <w:r>
        <w:t>可修改哪些字段</w:t>
      </w:r>
    </w:p>
  </w:comment>
  <w:comment w:id="11" w:author="Mr.Panda" w:date="2019-06-11T16:05:25Z" w:initials="">
    <w:p w14:paraId="A5CBA28C">
      <w:pPr>
        <w:pStyle w:val="12"/>
      </w:pPr>
      <w:r>
        <w:t>无增加咨询医生的必要性</w:t>
      </w:r>
    </w:p>
  </w:comment>
  <w:comment w:id="12" w:author="Mr.Panda" w:date="2019-06-13T10:35:44Z" w:initials="">
    <w:p w14:paraId="7FBE90F9">
      <w:pPr>
        <w:pStyle w:val="12"/>
      </w:pPr>
      <w:r>
        <w:t>是否需要该功能？直接用在线同步</w:t>
      </w:r>
    </w:p>
  </w:comment>
  <w:comment w:id="13" w:author="Mr.Panda" w:date="2019-06-12T15:54:42Z" w:initials="">
    <w:p w14:paraId="6FF1E94A">
      <w:pPr>
        <w:pStyle w:val="12"/>
      </w:pPr>
      <w:r>
        <w:t>建议手动箭头排序，决定客户端默认展示的顺序</w:t>
      </w:r>
    </w:p>
  </w:comment>
  <w:comment w:id="14" w:author="Mr.Panda" w:date="2019-06-11T16:37:55Z" w:initials="">
    <w:p w14:paraId="E7FF0824">
      <w:pPr>
        <w:pStyle w:val="12"/>
      </w:pPr>
      <w:r>
        <w:t>功能入口应该是静态的，后期不会变的。后期微信增加了在线问诊功能的话，如何解决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EEAF75" w15:done="0"/>
  <w15:commentEx w15:paraId="FDFF3D07" w15:done="0"/>
  <w15:commentEx w15:paraId="7F1F720F" w15:done="0"/>
  <w15:commentEx w15:paraId="FD73DA37" w15:done="0"/>
  <w15:commentEx w15:paraId="BEFD3BBC" w15:done="0"/>
  <w15:commentEx w15:paraId="F9D9FB04" w15:done="0"/>
  <w15:commentEx w15:paraId="FAF7DFB4" w15:done="0"/>
  <w15:commentEx w15:paraId="EFDFE69D" w15:done="0"/>
  <w15:commentEx w15:paraId="97F6FF91" w15:done="0"/>
  <w15:commentEx w15:paraId="3B93889D" w15:done="0"/>
  <w15:commentEx w15:paraId="3DDD7406" w15:done="0"/>
  <w15:commentEx w15:paraId="A5CBA28C" w15:done="0"/>
  <w15:commentEx w15:paraId="7FBE90F9" w15:done="0"/>
  <w15:commentEx w15:paraId="6FF1E94A" w15:done="0"/>
  <w15:commentEx w15:paraId="E7FF08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ˎ̥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altName w:val="汉仪楷体KW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akuyoxingshu7000">
    <w:altName w:val="华文黑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1"/>
      <w:tblW w:w="852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82"/>
      <w:gridCol w:w="4246"/>
    </w:tblGrid>
    <w:tr>
      <w:tblPrEx>
        <w:tblLayout w:type="fixed"/>
      </w:tblPrEx>
      <w:tc>
        <w:tcPr>
          <w:tcW w:w="4282" w:type="dxa"/>
        </w:tcPr>
        <w:p>
          <w:pPr>
            <w:pStyle w:val="24"/>
          </w:pPr>
          <w:r>
            <w:rPr/>
            <w:sym w:font="Symbol" w:char="F0D3"/>
          </w:r>
          <w:r>
            <w:rPr>
              <w:rFonts w:hint="eastAsia"/>
            </w:rPr>
            <w:t xml:space="preserve"> 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>
          <w:pPr>
            <w:pStyle w:val="24"/>
            <w:jc w:val="right"/>
          </w:pPr>
        </w:p>
      </w:tc>
    </w:tr>
  </w:tbl>
  <w:p>
    <w:pPr>
      <w:tabs>
        <w:tab w:val="left" w:pos="5145"/>
      </w:tabs>
      <w:spacing w:line="300" w:lineRule="auto"/>
      <w:ind w:right="-62" w:rightChars="-26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145"/>
      </w:tabs>
      <w:spacing w:line="300" w:lineRule="auto"/>
      <w:ind w:right="-62" w:rightChars="-26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1"/>
      <w:tblW w:w="8528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78"/>
      <w:gridCol w:w="4250"/>
    </w:tblGrid>
    <w:tr>
      <w:tblPrEx>
        <w:tblLayout w:type="fixed"/>
      </w:tblPrEx>
      <w:tc>
        <w:tcPr>
          <w:tcW w:w="4278" w:type="dxa"/>
        </w:tcPr>
        <w:p>
          <w:pPr>
            <w:pStyle w:val="24"/>
          </w:pPr>
          <w:r>
            <w:rPr/>
            <w:sym w:font="Symbol" w:char="F0D3"/>
          </w:r>
          <w:r>
            <w:rPr>
              <w:rFonts w:hint="eastAsia"/>
            </w:rPr>
            <w:t xml:space="preserve"> 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>
          <w:pPr>
            <w:pStyle w:val="24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37"/>
            </w:rPr>
            <w:fldChar w:fldCharType="begin"/>
          </w:r>
          <w:r>
            <w:rPr>
              <w:rStyle w:val="37"/>
            </w:rPr>
            <w:instrText xml:space="preserve"> PAGE </w:instrText>
          </w:r>
          <w:r>
            <w:rPr>
              <w:rStyle w:val="37"/>
            </w:rPr>
            <w:fldChar w:fldCharType="separate"/>
          </w:r>
          <w:r>
            <w:rPr>
              <w:rStyle w:val="37"/>
            </w:rPr>
            <w:t>8</w:t>
          </w:r>
          <w:r>
            <w:rPr>
              <w:rStyle w:val="37"/>
            </w:rPr>
            <w:fldChar w:fldCharType="end"/>
          </w:r>
          <w:r>
            <w:rPr>
              <w:rStyle w:val="37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37"/>
            </w:rPr>
            <w:fldChar w:fldCharType="begin"/>
          </w:r>
          <w:r>
            <w:rPr>
              <w:rStyle w:val="37"/>
            </w:rPr>
            <w:instrText xml:space="preserve"> NUMPAGES </w:instrText>
          </w:r>
          <w:r>
            <w:rPr>
              <w:rStyle w:val="37"/>
            </w:rPr>
            <w:fldChar w:fldCharType="separate"/>
          </w:r>
          <w:r>
            <w:rPr>
              <w:rStyle w:val="37"/>
            </w:rPr>
            <w:t>10</w:t>
          </w:r>
          <w:r>
            <w:rPr>
              <w:rStyle w:val="37"/>
            </w:rPr>
            <w:fldChar w:fldCharType="end"/>
          </w:r>
          <w:r>
            <w:rPr>
              <w:rStyle w:val="37"/>
              <w:rFonts w:hint="eastAsia"/>
            </w:rPr>
            <w:t>页</w:t>
          </w:r>
        </w:p>
      </w:tc>
    </w:tr>
  </w:tbl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single" w:color="auto" w:sz="4" w:space="1"/>
      </w:pBdr>
      <w:spacing w:line="300" w:lineRule="auto"/>
      <w:jc w:val="both"/>
      <w:rPr>
        <w:rFonts w:asciiTheme="minorEastAsia" w:hAnsiTheme="minorEastAsia" w:eastAsiaTheme="minorEastAsia"/>
      </w:rPr>
    </w:pPr>
    <w:r>
      <w:rPr>
        <w:u w:val="single"/>
      </w:rPr>
      <w:pict>
        <v:rect id="Rectangle 3" o:spid="_x0000_s4097" o:spt="1" style="position:absolute;left:0pt;margin-left:28.15pt;margin-top:70.9pt;height:697.9pt;width:46.85pt;mso-position-horizontal-relative:page;mso-position-vertical-relative:page;z-index:251659264;v-text-anchor:middle;mso-width-relative:margin;mso-height-relative:margin;mso-width-percent:500;mso-height-percent:1000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>
          <v:path/>
          <v:fill on="f" focussize="0,0"/>
          <v:stroke on="f"/>
          <v:imagedata o:title=""/>
          <o:lock v:ext="edit"/>
          <v:textbox inset="2.54mm,1.27mm,3.048mm,3.81mm" style="layout-flow:vertical;mso-layout-flow-alt:bottom-to-top;">
            <w:txbxContent>
              <w:p>
                <w:pPr>
                  <w:pStyle w:val="77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hint="eastAsia" w:ascii="宋体" w:hAnsi="宋体"/>
                    <w:sz w:val="18"/>
                    <w:szCs w:val="18"/>
                    <w:lang w:eastAsia="zh-CN"/>
                  </w:rPr>
                  <w:t>需求规格说明书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>
                  <w:rPr>
                    <w:rFonts w:hint="eastAsia" w:ascii="宋体" w:hAnsi="宋体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</v:rect>
      </w:pict>
    </w:r>
    <w:bookmarkStart w:id="20" w:name="OLE_LINK8"/>
    <w:bookmarkStart w:id="21" w:name="OLE_LINK7"/>
    <w:r>
      <w:rPr>
        <w:rFonts w:hint="eastAsia"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需求规格说明书  </w:t>
    </w:r>
    <w:bookmarkEnd w:id="20"/>
    <w:bookmarkEnd w:id="21"/>
    <w:r>
      <w:rPr>
        <w:rFonts w:hint="eastAsia"/>
      </w:rPr>
      <w:t xml:space="preserve">                                              </w:t>
    </w:r>
    <w:r>
      <w:rPr>
        <w:rFonts w:hint="eastAsia" w:asciiTheme="minorEastAsia" w:hAnsiTheme="minorEastAsia" w:eastAsiaTheme="minorEastAsia"/>
      </w:rPr>
      <w:t>【产品、项目名称】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835D70"/>
    <w:multiLevelType w:val="singleLevel"/>
    <w:tmpl w:val="D6835D7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0EDB2900"/>
    <w:multiLevelType w:val="multilevel"/>
    <w:tmpl w:val="0EDB2900"/>
    <w:lvl w:ilvl="0" w:tentative="0">
      <w:start w:val="1"/>
      <w:numFmt w:val="bullet"/>
      <w:pStyle w:val="86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3">
    <w:nsid w:val="1FB939A5"/>
    <w:multiLevelType w:val="multilevel"/>
    <w:tmpl w:val="1FB939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C7DBA"/>
    <w:multiLevelType w:val="multilevel"/>
    <w:tmpl w:val="2CFC7DB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Arial" w:hAnsi="Arial" w:cs="Arial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Arial" w:hAnsi="Arial" w:cs="Arial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Arial" w:hAnsi="Arial" w:cs="Arial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 w:cs="Times New Roman"/>
      </w:rPr>
    </w:lvl>
  </w:abstractNum>
  <w:abstractNum w:abstractNumId="5">
    <w:nsid w:val="319441C6"/>
    <w:multiLevelType w:val="multilevel"/>
    <w:tmpl w:val="319441C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B35EF3"/>
    <w:multiLevelType w:val="multilevel"/>
    <w:tmpl w:val="40B35EF3"/>
    <w:lvl w:ilvl="0" w:tentative="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39006C"/>
    <w:multiLevelType w:val="multilevel"/>
    <w:tmpl w:val="4B39006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A7088C"/>
    <w:multiLevelType w:val="multilevel"/>
    <w:tmpl w:val="56A7088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FF6104"/>
    <w:multiLevelType w:val="singleLevel"/>
    <w:tmpl w:val="5CFF6104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5CFF678E"/>
    <w:multiLevelType w:val="singleLevel"/>
    <w:tmpl w:val="5CFF678E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606D0E07"/>
    <w:multiLevelType w:val="multilevel"/>
    <w:tmpl w:val="606D0E0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B57BE2"/>
    <w:multiLevelType w:val="multilevel"/>
    <w:tmpl w:val="66B57BE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CD4D24"/>
    <w:multiLevelType w:val="multilevel"/>
    <w:tmpl w:val="7BCD4D24"/>
    <w:lvl w:ilvl="0" w:tentative="0">
      <w:start w:val="1"/>
      <w:numFmt w:val="bullet"/>
      <w:pStyle w:val="7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2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  <w:num w:numId="13">
    <w:abstractNumId w:val="0"/>
  </w:num>
  <w:num w:numId="14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r.Panda">
    <w15:presenceInfo w15:providerId="WPS Office" w15:userId="35664798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3904"/>
    <w:rsid w:val="00001AE9"/>
    <w:rsid w:val="000024E8"/>
    <w:rsid w:val="000030B5"/>
    <w:rsid w:val="00004244"/>
    <w:rsid w:val="00004374"/>
    <w:rsid w:val="000043D7"/>
    <w:rsid w:val="0000489A"/>
    <w:rsid w:val="00004D6E"/>
    <w:rsid w:val="000052B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8ED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56F3"/>
    <w:rsid w:val="00026275"/>
    <w:rsid w:val="000262FD"/>
    <w:rsid w:val="00026E5D"/>
    <w:rsid w:val="00026ECB"/>
    <w:rsid w:val="000270CF"/>
    <w:rsid w:val="00030009"/>
    <w:rsid w:val="000308E2"/>
    <w:rsid w:val="000309E5"/>
    <w:rsid w:val="00030F67"/>
    <w:rsid w:val="00030F91"/>
    <w:rsid w:val="00031050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B5A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3521"/>
    <w:rsid w:val="00053592"/>
    <w:rsid w:val="00053CA0"/>
    <w:rsid w:val="00053F96"/>
    <w:rsid w:val="00054224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68"/>
    <w:rsid w:val="00075A24"/>
    <w:rsid w:val="00075D88"/>
    <w:rsid w:val="00075EB2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87831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B67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5F8E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921"/>
    <w:rsid w:val="000C2945"/>
    <w:rsid w:val="000C2A02"/>
    <w:rsid w:val="000C32E0"/>
    <w:rsid w:val="000C3BC1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F00E5"/>
    <w:rsid w:val="000F0206"/>
    <w:rsid w:val="000F0BCA"/>
    <w:rsid w:val="000F0C0B"/>
    <w:rsid w:val="000F0D97"/>
    <w:rsid w:val="000F1CFE"/>
    <w:rsid w:val="000F2B0C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6EE"/>
    <w:rsid w:val="000F4D88"/>
    <w:rsid w:val="000F4F89"/>
    <w:rsid w:val="000F53E0"/>
    <w:rsid w:val="000F564C"/>
    <w:rsid w:val="000F61D2"/>
    <w:rsid w:val="000F6820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2D8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0AE"/>
    <w:rsid w:val="0012527E"/>
    <w:rsid w:val="001260B2"/>
    <w:rsid w:val="001265EC"/>
    <w:rsid w:val="00126749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A5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3511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7A2"/>
    <w:rsid w:val="001D69FD"/>
    <w:rsid w:val="001D6AC3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76D"/>
    <w:rsid w:val="001E5E11"/>
    <w:rsid w:val="001E6BF3"/>
    <w:rsid w:val="001E7BF1"/>
    <w:rsid w:val="001E7C99"/>
    <w:rsid w:val="001E7ED2"/>
    <w:rsid w:val="001E7F8F"/>
    <w:rsid w:val="001F078D"/>
    <w:rsid w:val="001F09B7"/>
    <w:rsid w:val="001F0D6F"/>
    <w:rsid w:val="001F0FEB"/>
    <w:rsid w:val="001F114A"/>
    <w:rsid w:val="001F1CA8"/>
    <w:rsid w:val="001F215B"/>
    <w:rsid w:val="001F26C0"/>
    <w:rsid w:val="001F2EBC"/>
    <w:rsid w:val="001F364F"/>
    <w:rsid w:val="001F457D"/>
    <w:rsid w:val="001F50E8"/>
    <w:rsid w:val="001F589C"/>
    <w:rsid w:val="001F5FE4"/>
    <w:rsid w:val="001F6233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6750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405"/>
    <w:rsid w:val="00227986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37BFA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B6A"/>
    <w:rsid w:val="002525D6"/>
    <w:rsid w:val="002527B0"/>
    <w:rsid w:val="002528BF"/>
    <w:rsid w:val="002532D4"/>
    <w:rsid w:val="00253571"/>
    <w:rsid w:val="00253645"/>
    <w:rsid w:val="00253945"/>
    <w:rsid w:val="00253994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5F9"/>
    <w:rsid w:val="002706BC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37F"/>
    <w:rsid w:val="00293612"/>
    <w:rsid w:val="0029375C"/>
    <w:rsid w:val="002939D0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20F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C715A"/>
    <w:rsid w:val="002D0B5A"/>
    <w:rsid w:val="002D0C78"/>
    <w:rsid w:val="002D0D5F"/>
    <w:rsid w:val="002D1067"/>
    <w:rsid w:val="002D268F"/>
    <w:rsid w:val="002D2ED4"/>
    <w:rsid w:val="002D309E"/>
    <w:rsid w:val="002D33F1"/>
    <w:rsid w:val="002D375C"/>
    <w:rsid w:val="002D388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6E2C"/>
    <w:rsid w:val="002D79D5"/>
    <w:rsid w:val="002E03D5"/>
    <w:rsid w:val="002E0C17"/>
    <w:rsid w:val="002E0E4C"/>
    <w:rsid w:val="002E0F04"/>
    <w:rsid w:val="002E13AF"/>
    <w:rsid w:val="002E2490"/>
    <w:rsid w:val="002E2B0F"/>
    <w:rsid w:val="002E2E43"/>
    <w:rsid w:val="002E303D"/>
    <w:rsid w:val="002E3627"/>
    <w:rsid w:val="002E3B3A"/>
    <w:rsid w:val="002E3BED"/>
    <w:rsid w:val="002E3FE0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4CF0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0B12"/>
    <w:rsid w:val="00331743"/>
    <w:rsid w:val="0033264C"/>
    <w:rsid w:val="0033313F"/>
    <w:rsid w:val="00333204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2DA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4ED6"/>
    <w:rsid w:val="0039575C"/>
    <w:rsid w:val="003962E3"/>
    <w:rsid w:val="00396B40"/>
    <w:rsid w:val="00397DFC"/>
    <w:rsid w:val="003A09A4"/>
    <w:rsid w:val="003A13A7"/>
    <w:rsid w:val="003A18B5"/>
    <w:rsid w:val="003A1D6B"/>
    <w:rsid w:val="003A24F7"/>
    <w:rsid w:val="003A2852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4F88"/>
    <w:rsid w:val="003B525C"/>
    <w:rsid w:val="003B53AC"/>
    <w:rsid w:val="003B556F"/>
    <w:rsid w:val="003B5ADF"/>
    <w:rsid w:val="003B6A1E"/>
    <w:rsid w:val="003B6BF7"/>
    <w:rsid w:val="003B736E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70D"/>
    <w:rsid w:val="003E37DA"/>
    <w:rsid w:val="003E385E"/>
    <w:rsid w:val="003E3D75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425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269C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71CE"/>
    <w:rsid w:val="004775B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7B8"/>
    <w:rsid w:val="00481A5C"/>
    <w:rsid w:val="004823A1"/>
    <w:rsid w:val="00482639"/>
    <w:rsid w:val="00482AB3"/>
    <w:rsid w:val="0048375E"/>
    <w:rsid w:val="00484849"/>
    <w:rsid w:val="00485502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20B8"/>
    <w:rsid w:val="00492159"/>
    <w:rsid w:val="004925A6"/>
    <w:rsid w:val="0049276A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F93"/>
    <w:rsid w:val="004E01A6"/>
    <w:rsid w:val="004E06EF"/>
    <w:rsid w:val="004E0865"/>
    <w:rsid w:val="004E0914"/>
    <w:rsid w:val="004E09A5"/>
    <w:rsid w:val="004E0AEF"/>
    <w:rsid w:val="004E0FEA"/>
    <w:rsid w:val="004E13B5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307"/>
    <w:rsid w:val="004E6B66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6649"/>
    <w:rsid w:val="00506BF2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912"/>
    <w:rsid w:val="0051498A"/>
    <w:rsid w:val="00514ADF"/>
    <w:rsid w:val="00515049"/>
    <w:rsid w:val="005150C8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4F91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2F55"/>
    <w:rsid w:val="005832BA"/>
    <w:rsid w:val="00583489"/>
    <w:rsid w:val="00583C13"/>
    <w:rsid w:val="0058423B"/>
    <w:rsid w:val="005848E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2B25"/>
    <w:rsid w:val="005B2BBB"/>
    <w:rsid w:val="005B2E44"/>
    <w:rsid w:val="005B4A55"/>
    <w:rsid w:val="005B4E08"/>
    <w:rsid w:val="005B51C4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B1B"/>
    <w:rsid w:val="005C0D05"/>
    <w:rsid w:val="005C0E0B"/>
    <w:rsid w:val="005C0EA5"/>
    <w:rsid w:val="005C0FB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2BBC"/>
    <w:rsid w:val="005D461A"/>
    <w:rsid w:val="005D462C"/>
    <w:rsid w:val="005D4778"/>
    <w:rsid w:val="005D4BE6"/>
    <w:rsid w:val="005D4D48"/>
    <w:rsid w:val="005D65BF"/>
    <w:rsid w:val="005D673A"/>
    <w:rsid w:val="005D6FC8"/>
    <w:rsid w:val="005D78E1"/>
    <w:rsid w:val="005D7C41"/>
    <w:rsid w:val="005D7D71"/>
    <w:rsid w:val="005D7FC0"/>
    <w:rsid w:val="005E0544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5E8B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1447"/>
    <w:rsid w:val="006018A0"/>
    <w:rsid w:val="0060193A"/>
    <w:rsid w:val="00601CF0"/>
    <w:rsid w:val="00601FF4"/>
    <w:rsid w:val="00602A92"/>
    <w:rsid w:val="00602C7B"/>
    <w:rsid w:val="00602E26"/>
    <w:rsid w:val="00603E8C"/>
    <w:rsid w:val="00603EF1"/>
    <w:rsid w:val="00604032"/>
    <w:rsid w:val="006045C9"/>
    <w:rsid w:val="00604A26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BF3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B05"/>
    <w:rsid w:val="00616064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2A"/>
    <w:rsid w:val="006327A4"/>
    <w:rsid w:val="006328ED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4C2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89F"/>
    <w:rsid w:val="00644CC9"/>
    <w:rsid w:val="00645903"/>
    <w:rsid w:val="0064598D"/>
    <w:rsid w:val="00645F87"/>
    <w:rsid w:val="00646504"/>
    <w:rsid w:val="0064672E"/>
    <w:rsid w:val="00646C6B"/>
    <w:rsid w:val="00646D40"/>
    <w:rsid w:val="0064777C"/>
    <w:rsid w:val="00647D11"/>
    <w:rsid w:val="006506DC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6D29"/>
    <w:rsid w:val="00677061"/>
    <w:rsid w:val="00677186"/>
    <w:rsid w:val="006775FE"/>
    <w:rsid w:val="006803CB"/>
    <w:rsid w:val="006805FC"/>
    <w:rsid w:val="00680D4E"/>
    <w:rsid w:val="00680E62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EFE"/>
    <w:rsid w:val="00685F2A"/>
    <w:rsid w:val="0068664F"/>
    <w:rsid w:val="006866DF"/>
    <w:rsid w:val="006868A0"/>
    <w:rsid w:val="00686900"/>
    <w:rsid w:val="00686BE3"/>
    <w:rsid w:val="006871B6"/>
    <w:rsid w:val="0068729A"/>
    <w:rsid w:val="00687485"/>
    <w:rsid w:val="00687CAC"/>
    <w:rsid w:val="00687E0D"/>
    <w:rsid w:val="00687E68"/>
    <w:rsid w:val="006912B4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DBA"/>
    <w:rsid w:val="006D1E65"/>
    <w:rsid w:val="006D1F9A"/>
    <w:rsid w:val="006D2268"/>
    <w:rsid w:val="006D2E8F"/>
    <w:rsid w:val="006D3979"/>
    <w:rsid w:val="006D42E1"/>
    <w:rsid w:val="006D45FC"/>
    <w:rsid w:val="006D4B0F"/>
    <w:rsid w:val="006D4C38"/>
    <w:rsid w:val="006D4CB0"/>
    <w:rsid w:val="006D5E1F"/>
    <w:rsid w:val="006D657E"/>
    <w:rsid w:val="006D6E94"/>
    <w:rsid w:val="006D7AA1"/>
    <w:rsid w:val="006D7D25"/>
    <w:rsid w:val="006E0A24"/>
    <w:rsid w:val="006E13FC"/>
    <w:rsid w:val="006E1403"/>
    <w:rsid w:val="006E16BE"/>
    <w:rsid w:val="006E19CA"/>
    <w:rsid w:val="006E1AEB"/>
    <w:rsid w:val="006E1C5B"/>
    <w:rsid w:val="006E1CEE"/>
    <w:rsid w:val="006E2428"/>
    <w:rsid w:val="006E34E4"/>
    <w:rsid w:val="006E35D8"/>
    <w:rsid w:val="006E3F6B"/>
    <w:rsid w:val="006E4F9C"/>
    <w:rsid w:val="006E5B10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86B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26"/>
    <w:rsid w:val="0073364A"/>
    <w:rsid w:val="007341D4"/>
    <w:rsid w:val="007343BE"/>
    <w:rsid w:val="00734466"/>
    <w:rsid w:val="0073451C"/>
    <w:rsid w:val="00734B7B"/>
    <w:rsid w:val="00734E13"/>
    <w:rsid w:val="0073531F"/>
    <w:rsid w:val="00735546"/>
    <w:rsid w:val="0073554B"/>
    <w:rsid w:val="00735A91"/>
    <w:rsid w:val="00735CBC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2560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881"/>
    <w:rsid w:val="00760B06"/>
    <w:rsid w:val="00760D69"/>
    <w:rsid w:val="00760F1A"/>
    <w:rsid w:val="00761657"/>
    <w:rsid w:val="00761949"/>
    <w:rsid w:val="007626A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4D7"/>
    <w:rsid w:val="00783DC6"/>
    <w:rsid w:val="007845F3"/>
    <w:rsid w:val="00785987"/>
    <w:rsid w:val="00785A3B"/>
    <w:rsid w:val="00785A66"/>
    <w:rsid w:val="007863D6"/>
    <w:rsid w:val="0078652B"/>
    <w:rsid w:val="00786848"/>
    <w:rsid w:val="00786C86"/>
    <w:rsid w:val="00786CDF"/>
    <w:rsid w:val="00786E8C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70F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87C"/>
    <w:rsid w:val="007C7F84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780"/>
    <w:rsid w:val="007D7A95"/>
    <w:rsid w:val="007D7E76"/>
    <w:rsid w:val="007D7ED8"/>
    <w:rsid w:val="007E0208"/>
    <w:rsid w:val="007E039F"/>
    <w:rsid w:val="007E1097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6B1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DF1"/>
    <w:rsid w:val="007F6167"/>
    <w:rsid w:val="007F61F9"/>
    <w:rsid w:val="007F633D"/>
    <w:rsid w:val="007F773C"/>
    <w:rsid w:val="007F78A5"/>
    <w:rsid w:val="00800D4F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FE"/>
    <w:rsid w:val="00823707"/>
    <w:rsid w:val="00823F5F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267"/>
    <w:rsid w:val="00841AFB"/>
    <w:rsid w:val="0084291C"/>
    <w:rsid w:val="00842936"/>
    <w:rsid w:val="00842B35"/>
    <w:rsid w:val="008431F3"/>
    <w:rsid w:val="00843C29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FAA"/>
    <w:rsid w:val="0085095B"/>
    <w:rsid w:val="00850E21"/>
    <w:rsid w:val="008519D5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77E"/>
    <w:rsid w:val="008768EF"/>
    <w:rsid w:val="00876D78"/>
    <w:rsid w:val="00877482"/>
    <w:rsid w:val="00877CFA"/>
    <w:rsid w:val="00880AFA"/>
    <w:rsid w:val="00880DDC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5C29"/>
    <w:rsid w:val="008A6524"/>
    <w:rsid w:val="008A6B89"/>
    <w:rsid w:val="008A76F6"/>
    <w:rsid w:val="008A7D92"/>
    <w:rsid w:val="008A7DFE"/>
    <w:rsid w:val="008A7E0E"/>
    <w:rsid w:val="008B0185"/>
    <w:rsid w:val="008B01E9"/>
    <w:rsid w:val="008B04A9"/>
    <w:rsid w:val="008B10D8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C92"/>
    <w:rsid w:val="008B5E2B"/>
    <w:rsid w:val="008B6146"/>
    <w:rsid w:val="008B67F5"/>
    <w:rsid w:val="008B6F87"/>
    <w:rsid w:val="008B77AD"/>
    <w:rsid w:val="008B7E30"/>
    <w:rsid w:val="008C0227"/>
    <w:rsid w:val="008C0AC4"/>
    <w:rsid w:val="008C0FC6"/>
    <w:rsid w:val="008C1278"/>
    <w:rsid w:val="008C12E3"/>
    <w:rsid w:val="008C1F4D"/>
    <w:rsid w:val="008C2059"/>
    <w:rsid w:val="008C253B"/>
    <w:rsid w:val="008C2555"/>
    <w:rsid w:val="008C2F24"/>
    <w:rsid w:val="008C30A1"/>
    <w:rsid w:val="008C31C5"/>
    <w:rsid w:val="008C327C"/>
    <w:rsid w:val="008C3448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5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10111"/>
    <w:rsid w:val="0091063A"/>
    <w:rsid w:val="00910D2B"/>
    <w:rsid w:val="00910D7A"/>
    <w:rsid w:val="00911036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87F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711F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844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977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0FF1"/>
    <w:rsid w:val="00991938"/>
    <w:rsid w:val="009919B5"/>
    <w:rsid w:val="00991A47"/>
    <w:rsid w:val="00991FEC"/>
    <w:rsid w:val="00993430"/>
    <w:rsid w:val="00993EEB"/>
    <w:rsid w:val="0099534C"/>
    <w:rsid w:val="009956EF"/>
    <w:rsid w:val="009972CB"/>
    <w:rsid w:val="009972EB"/>
    <w:rsid w:val="00997A5A"/>
    <w:rsid w:val="009A1D4D"/>
    <w:rsid w:val="009A3133"/>
    <w:rsid w:val="009A3C23"/>
    <w:rsid w:val="009A3D98"/>
    <w:rsid w:val="009A3DA0"/>
    <w:rsid w:val="009A3DCE"/>
    <w:rsid w:val="009A47E2"/>
    <w:rsid w:val="009A4F9B"/>
    <w:rsid w:val="009A54C5"/>
    <w:rsid w:val="009A579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21CF"/>
    <w:rsid w:val="009C2898"/>
    <w:rsid w:val="009C2902"/>
    <w:rsid w:val="009C2C12"/>
    <w:rsid w:val="009C2D8D"/>
    <w:rsid w:val="009C36AF"/>
    <w:rsid w:val="009C6883"/>
    <w:rsid w:val="009C6D95"/>
    <w:rsid w:val="009C7186"/>
    <w:rsid w:val="009C723D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B91"/>
    <w:rsid w:val="009F2DFF"/>
    <w:rsid w:val="009F2E39"/>
    <w:rsid w:val="009F32DB"/>
    <w:rsid w:val="009F3734"/>
    <w:rsid w:val="009F391B"/>
    <w:rsid w:val="009F3E38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B9B"/>
    <w:rsid w:val="009F75D6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BF9"/>
    <w:rsid w:val="00A136E7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630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BA8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737"/>
    <w:rsid w:val="00A40951"/>
    <w:rsid w:val="00A40FED"/>
    <w:rsid w:val="00A414F8"/>
    <w:rsid w:val="00A41CE6"/>
    <w:rsid w:val="00A41E0F"/>
    <w:rsid w:val="00A424C9"/>
    <w:rsid w:val="00A42757"/>
    <w:rsid w:val="00A42CF0"/>
    <w:rsid w:val="00A43AE8"/>
    <w:rsid w:val="00A43E97"/>
    <w:rsid w:val="00A4445C"/>
    <w:rsid w:val="00A44671"/>
    <w:rsid w:val="00A453F7"/>
    <w:rsid w:val="00A45BB6"/>
    <w:rsid w:val="00A46134"/>
    <w:rsid w:val="00A46272"/>
    <w:rsid w:val="00A4662C"/>
    <w:rsid w:val="00A467EB"/>
    <w:rsid w:val="00A46850"/>
    <w:rsid w:val="00A469B4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CA"/>
    <w:rsid w:val="00A823F3"/>
    <w:rsid w:val="00A828F9"/>
    <w:rsid w:val="00A82A81"/>
    <w:rsid w:val="00A82BC5"/>
    <w:rsid w:val="00A833CB"/>
    <w:rsid w:val="00A833CD"/>
    <w:rsid w:val="00A83534"/>
    <w:rsid w:val="00A83EF8"/>
    <w:rsid w:val="00A84F84"/>
    <w:rsid w:val="00A853B7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21E4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33E"/>
    <w:rsid w:val="00A9686C"/>
    <w:rsid w:val="00A96922"/>
    <w:rsid w:val="00A97207"/>
    <w:rsid w:val="00A976B1"/>
    <w:rsid w:val="00A97B22"/>
    <w:rsid w:val="00A97E57"/>
    <w:rsid w:val="00AA0A81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75F"/>
    <w:rsid w:val="00AC3B2F"/>
    <w:rsid w:val="00AC48DE"/>
    <w:rsid w:val="00AC4A6E"/>
    <w:rsid w:val="00AC4D10"/>
    <w:rsid w:val="00AC50C5"/>
    <w:rsid w:val="00AC5202"/>
    <w:rsid w:val="00AC5C0E"/>
    <w:rsid w:val="00AC5CDF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96C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5F99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A39"/>
    <w:rsid w:val="00B24FA9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C53"/>
    <w:rsid w:val="00B4341F"/>
    <w:rsid w:val="00B43472"/>
    <w:rsid w:val="00B43840"/>
    <w:rsid w:val="00B43F32"/>
    <w:rsid w:val="00B450E7"/>
    <w:rsid w:val="00B45708"/>
    <w:rsid w:val="00B46A63"/>
    <w:rsid w:val="00B50190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753"/>
    <w:rsid w:val="00B567F0"/>
    <w:rsid w:val="00B5688D"/>
    <w:rsid w:val="00B56E03"/>
    <w:rsid w:val="00B575FE"/>
    <w:rsid w:val="00B6050E"/>
    <w:rsid w:val="00B606EE"/>
    <w:rsid w:val="00B60771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4D9"/>
    <w:rsid w:val="00B946C1"/>
    <w:rsid w:val="00B9471B"/>
    <w:rsid w:val="00B9484E"/>
    <w:rsid w:val="00B94EAB"/>
    <w:rsid w:val="00B950CE"/>
    <w:rsid w:val="00B95DAE"/>
    <w:rsid w:val="00B9672C"/>
    <w:rsid w:val="00B97F4B"/>
    <w:rsid w:val="00BA0199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A67"/>
    <w:rsid w:val="00BA6CB3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3F8B"/>
    <w:rsid w:val="00BC41DF"/>
    <w:rsid w:val="00BC4233"/>
    <w:rsid w:val="00BC4D75"/>
    <w:rsid w:val="00BC4DB7"/>
    <w:rsid w:val="00BC4FFC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220"/>
    <w:rsid w:val="00BE4233"/>
    <w:rsid w:val="00BE438E"/>
    <w:rsid w:val="00BE473E"/>
    <w:rsid w:val="00BE4CE5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1029"/>
    <w:rsid w:val="00C01306"/>
    <w:rsid w:val="00C017EF"/>
    <w:rsid w:val="00C02519"/>
    <w:rsid w:val="00C025B2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74C"/>
    <w:rsid w:val="00C36F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5251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342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C72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A9"/>
    <w:rsid w:val="00CF718A"/>
    <w:rsid w:val="00CF7305"/>
    <w:rsid w:val="00CF7676"/>
    <w:rsid w:val="00D005F7"/>
    <w:rsid w:val="00D0164A"/>
    <w:rsid w:val="00D021EB"/>
    <w:rsid w:val="00D0250A"/>
    <w:rsid w:val="00D0361A"/>
    <w:rsid w:val="00D0456B"/>
    <w:rsid w:val="00D0578F"/>
    <w:rsid w:val="00D0587A"/>
    <w:rsid w:val="00D06236"/>
    <w:rsid w:val="00D06F77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621D"/>
    <w:rsid w:val="00D46872"/>
    <w:rsid w:val="00D473A0"/>
    <w:rsid w:val="00D477A4"/>
    <w:rsid w:val="00D50A8E"/>
    <w:rsid w:val="00D50B67"/>
    <w:rsid w:val="00D50D3E"/>
    <w:rsid w:val="00D5163E"/>
    <w:rsid w:val="00D51ADA"/>
    <w:rsid w:val="00D51EFC"/>
    <w:rsid w:val="00D51F16"/>
    <w:rsid w:val="00D51FE0"/>
    <w:rsid w:val="00D5230B"/>
    <w:rsid w:val="00D52AEB"/>
    <w:rsid w:val="00D533C4"/>
    <w:rsid w:val="00D538FD"/>
    <w:rsid w:val="00D54E71"/>
    <w:rsid w:val="00D5514A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4B33"/>
    <w:rsid w:val="00DB531B"/>
    <w:rsid w:val="00DB549B"/>
    <w:rsid w:val="00DB5F54"/>
    <w:rsid w:val="00DB5F9A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91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411"/>
    <w:rsid w:val="00DF4992"/>
    <w:rsid w:val="00DF4C07"/>
    <w:rsid w:val="00DF4FEE"/>
    <w:rsid w:val="00DF6062"/>
    <w:rsid w:val="00DF643E"/>
    <w:rsid w:val="00DF67AA"/>
    <w:rsid w:val="00DF6989"/>
    <w:rsid w:val="00DF6EBE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1817"/>
    <w:rsid w:val="00E21A94"/>
    <w:rsid w:val="00E22239"/>
    <w:rsid w:val="00E225D8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74E"/>
    <w:rsid w:val="00E47A49"/>
    <w:rsid w:val="00E47D6D"/>
    <w:rsid w:val="00E50081"/>
    <w:rsid w:val="00E50A8A"/>
    <w:rsid w:val="00E50AB5"/>
    <w:rsid w:val="00E51908"/>
    <w:rsid w:val="00E521F0"/>
    <w:rsid w:val="00E52268"/>
    <w:rsid w:val="00E532D5"/>
    <w:rsid w:val="00E53336"/>
    <w:rsid w:val="00E5362A"/>
    <w:rsid w:val="00E53CC2"/>
    <w:rsid w:val="00E53E3F"/>
    <w:rsid w:val="00E54507"/>
    <w:rsid w:val="00E54F8B"/>
    <w:rsid w:val="00E55179"/>
    <w:rsid w:val="00E55BBF"/>
    <w:rsid w:val="00E55E44"/>
    <w:rsid w:val="00E5611A"/>
    <w:rsid w:val="00E56150"/>
    <w:rsid w:val="00E56543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602E"/>
    <w:rsid w:val="00E9631C"/>
    <w:rsid w:val="00E96789"/>
    <w:rsid w:val="00E96A64"/>
    <w:rsid w:val="00E96DFF"/>
    <w:rsid w:val="00E9703F"/>
    <w:rsid w:val="00EA022C"/>
    <w:rsid w:val="00EA0F98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4CE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C77E0"/>
    <w:rsid w:val="00ED0023"/>
    <w:rsid w:val="00ED0402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927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A17"/>
    <w:rsid w:val="00EE1B8E"/>
    <w:rsid w:val="00EE253C"/>
    <w:rsid w:val="00EE3F8A"/>
    <w:rsid w:val="00EE4733"/>
    <w:rsid w:val="00EE4962"/>
    <w:rsid w:val="00EE4B74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B8B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61D7"/>
    <w:rsid w:val="00F16476"/>
    <w:rsid w:val="00F167B3"/>
    <w:rsid w:val="00F16BAA"/>
    <w:rsid w:val="00F16C64"/>
    <w:rsid w:val="00F177BD"/>
    <w:rsid w:val="00F177C5"/>
    <w:rsid w:val="00F20028"/>
    <w:rsid w:val="00F20120"/>
    <w:rsid w:val="00F2065F"/>
    <w:rsid w:val="00F206D9"/>
    <w:rsid w:val="00F20C1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D66"/>
    <w:rsid w:val="00F42E40"/>
    <w:rsid w:val="00F433EE"/>
    <w:rsid w:val="00F4340F"/>
    <w:rsid w:val="00F43E49"/>
    <w:rsid w:val="00F446D2"/>
    <w:rsid w:val="00F46058"/>
    <w:rsid w:val="00F46279"/>
    <w:rsid w:val="00F462A1"/>
    <w:rsid w:val="00F4738E"/>
    <w:rsid w:val="00F47678"/>
    <w:rsid w:val="00F47B33"/>
    <w:rsid w:val="00F5010C"/>
    <w:rsid w:val="00F512A4"/>
    <w:rsid w:val="00F523CE"/>
    <w:rsid w:val="00F52B7D"/>
    <w:rsid w:val="00F52CE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306D"/>
    <w:rsid w:val="00F838D3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1D3C"/>
    <w:rsid w:val="00FC267A"/>
    <w:rsid w:val="00FC280A"/>
    <w:rsid w:val="00FC2C57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DBA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  <w:rsid w:val="0EFF297A"/>
    <w:rsid w:val="19B462D7"/>
    <w:rsid w:val="1DFEBE2F"/>
    <w:rsid w:val="2DAFB869"/>
    <w:rsid w:val="3170240D"/>
    <w:rsid w:val="3BEF8169"/>
    <w:rsid w:val="3DBF8BA1"/>
    <w:rsid w:val="3EBEDE20"/>
    <w:rsid w:val="3F5F3DB1"/>
    <w:rsid w:val="3F7B7167"/>
    <w:rsid w:val="3FE7F4C6"/>
    <w:rsid w:val="3FFBC965"/>
    <w:rsid w:val="43FE8E39"/>
    <w:rsid w:val="4BFED0DC"/>
    <w:rsid w:val="4DCD9030"/>
    <w:rsid w:val="4F4202AC"/>
    <w:rsid w:val="5B32E740"/>
    <w:rsid w:val="5BFF8AFE"/>
    <w:rsid w:val="5D674C29"/>
    <w:rsid w:val="5EFFD092"/>
    <w:rsid w:val="5FEF4372"/>
    <w:rsid w:val="6537B82A"/>
    <w:rsid w:val="6551FB81"/>
    <w:rsid w:val="675555DE"/>
    <w:rsid w:val="6B3BBCF4"/>
    <w:rsid w:val="6BFFF7CE"/>
    <w:rsid w:val="717AAB02"/>
    <w:rsid w:val="769D5CC7"/>
    <w:rsid w:val="7DEF3E88"/>
    <w:rsid w:val="7DFD6E25"/>
    <w:rsid w:val="7FDBDB54"/>
    <w:rsid w:val="7FEFC55D"/>
    <w:rsid w:val="7FF34A85"/>
    <w:rsid w:val="974F136A"/>
    <w:rsid w:val="9FBE334B"/>
    <w:rsid w:val="ABFBDEE9"/>
    <w:rsid w:val="ADFFDCA8"/>
    <w:rsid w:val="B5FEE7BB"/>
    <w:rsid w:val="BF7B9E39"/>
    <w:rsid w:val="D6740C7F"/>
    <w:rsid w:val="D76E9746"/>
    <w:rsid w:val="DAB7CADA"/>
    <w:rsid w:val="DB66B109"/>
    <w:rsid w:val="DE9F7EE8"/>
    <w:rsid w:val="DF77DC46"/>
    <w:rsid w:val="DFB756D9"/>
    <w:rsid w:val="DFBD917C"/>
    <w:rsid w:val="DFDF7D66"/>
    <w:rsid w:val="DFFFB39C"/>
    <w:rsid w:val="DFFFCB17"/>
    <w:rsid w:val="EF7334AA"/>
    <w:rsid w:val="EF7FD259"/>
    <w:rsid w:val="EFB353A1"/>
    <w:rsid w:val="FB7CD395"/>
    <w:rsid w:val="FBFFE540"/>
    <w:rsid w:val="FEFD7DE3"/>
    <w:rsid w:val="FF7A7B16"/>
    <w:rsid w:val="FFFDD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 w:locked="1"/>
    <w:lsdException w:uiPriority="0" w:name="footnote text" w:locked="1"/>
    <w:lsdException w:qFormat="1" w:unhideWhenUsed="0" w:uiPriority="0" w:semiHidden="0" w:name="annotation text" w:locked="1"/>
    <w:lsdException w:qFormat="1" w:unhideWhenUsed="0" w:uiPriority="99" w:semiHidden="0" w:name="header"/>
    <w:lsdException w:qFormat="1" w:unhideWhenUsed="0" w:uiPriority="0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qFormat="1" w:unhideWhenUsed="0" w:uiPriority="0" w:semiHidden="0" w:name="annotation reference" w:locked="1"/>
    <w:lsdException w:uiPriority="0" w:name="line number" w:locked="1"/>
    <w:lsdException w:qFormat="1" w:unhideWhenUsed="0" w:uiPriority="0" w:semiHidden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qFormat="1" w:unhideWhenUsed="0" w:uiPriority="0" w:semiHidden="0" w:name="List" w:locked="1"/>
    <w:lsdException w:uiPriority="0" w:name="List Bullet" w:locked="1"/>
    <w:lsdException w:qFormat="1" w:unhideWhenUsed="0" w:uiPriority="0" w:semiHidden="0" w:name="List Number" w:locked="1"/>
    <w:lsdException w:uiPriority="0" w:name="List 2" w:locked="1"/>
    <w:lsdException w:uiPriority="0" w:name="List 3" w:locked="1"/>
    <w:lsdException w:unhideWhenUsed="0" w:uiPriority="0" w:semiHidden="0" w:name="List 4" w:locked="1"/>
    <w:lsdException w:unhideWhenUsed="0" w:uiPriority="0" w:semiHidden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iPriority="1" w:semiHidden="0" w:name="Default Paragraph Font"/>
    <w:lsdException w:qFormat="1" w:unhideWhenUsed="0" w:uiPriority="0" w:name="Body Text"/>
    <w:lsdException w:qFormat="1" w:unhideWhenUsed="0" w:uiPriority="0" w:semiHidden="0" w:name="Body Text Indent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iPriority="99" w:semiHidden="0" w:name="Hyperlink" w:locked="1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 w:locked="1"/>
    <w:lsdException w:uiPriority="0" w:name="E-mail Signature" w:locked="1"/>
    <w:lsdException w:qFormat="1"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iPriority="99" w:semiHidden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99" w:semiHidden="0" w:name="Normal Table"/>
    <w:lsdException w:qFormat="1" w:unhideWhenUsed="0" w:uiPriority="0" w:semiHidden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qFormat="1" w:unhideWhenUsed="0" w:uiPriority="0" w:semiHidden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nhideWhenUsed="0" w:uiPriority="0" w:name="Balloon Text"/>
    <w:lsdException w:qFormat="1" w:unhideWhenUsed="0" w:uiPriority="0" w:semiHidden="0" w:name="Table Grid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Arial" w:hAnsi="Arial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45"/>
    <w:qFormat/>
    <w:uiPriority w:val="0"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4">
    <w:name w:val="heading 3"/>
    <w:basedOn w:val="1"/>
    <w:next w:val="1"/>
    <w:link w:val="46"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7"/>
    <w:qFormat/>
    <w:uiPriority w:val="0"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6">
    <w:name w:val="heading 5"/>
    <w:basedOn w:val="1"/>
    <w:next w:val="1"/>
    <w:link w:val="4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8">
    <w:name w:val="heading 7"/>
    <w:basedOn w:val="1"/>
    <w:next w:val="1"/>
    <w:link w:val="5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5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10">
    <w:name w:val="heading 9"/>
    <w:basedOn w:val="1"/>
    <w:next w:val="1"/>
    <w:link w:val="5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35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5"/>
    <w:qFormat/>
    <w:locked/>
    <w:uiPriority w:val="0"/>
    <w:rPr>
      <w:b/>
      <w:bCs/>
    </w:rPr>
  </w:style>
  <w:style w:type="paragraph" w:styleId="12">
    <w:name w:val="annotation text"/>
    <w:basedOn w:val="1"/>
    <w:link w:val="74"/>
    <w:qFormat/>
    <w:locked/>
    <w:uiPriority w:val="0"/>
    <w:pPr>
      <w:jc w:val="left"/>
    </w:pPr>
  </w:style>
  <w:style w:type="paragraph" w:styleId="13">
    <w:name w:val="toc 7"/>
    <w:basedOn w:val="1"/>
    <w:next w:val="1"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4">
    <w:name w:val="Body Text First Indent"/>
    <w:basedOn w:val="1"/>
    <w:link w:val="65"/>
    <w:uiPriority w:val="0"/>
    <w:pPr>
      <w:ind w:firstLine="200" w:firstLineChars="200"/>
    </w:pPr>
    <w:rPr>
      <w:rFonts w:ascii="Times New Roman" w:hAnsi="Times New Roman"/>
      <w:color w:val="000000"/>
      <w:szCs w:val="20"/>
    </w:rPr>
  </w:style>
  <w:style w:type="paragraph" w:styleId="15">
    <w:name w:val="List Number"/>
    <w:basedOn w:val="1"/>
    <w:qFormat/>
    <w:locked/>
    <w:uiPriority w:val="0"/>
    <w:pPr>
      <w:widowControl/>
      <w:numPr>
        <w:ilvl w:val="0"/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paragraph" w:styleId="16">
    <w:name w:val="Normal Indent"/>
    <w:basedOn w:val="1"/>
    <w:link w:val="81"/>
    <w:qFormat/>
    <w:locked/>
    <w:uiPriority w:val="0"/>
    <w:pPr>
      <w:ind w:firstLine="420"/>
    </w:pPr>
    <w:rPr>
      <w:rFonts w:cs="Arial"/>
      <w:szCs w:val="19"/>
    </w:rPr>
  </w:style>
  <w:style w:type="paragraph" w:styleId="17">
    <w:name w:val="Document Map"/>
    <w:basedOn w:val="1"/>
    <w:link w:val="59"/>
    <w:semiHidden/>
    <w:qFormat/>
    <w:uiPriority w:val="0"/>
    <w:rPr>
      <w:rFonts w:ascii="宋体"/>
      <w:sz w:val="18"/>
      <w:szCs w:val="18"/>
    </w:rPr>
  </w:style>
  <w:style w:type="paragraph" w:styleId="18">
    <w:name w:val="Body Text"/>
    <w:basedOn w:val="1"/>
    <w:link w:val="64"/>
    <w:semiHidden/>
    <w:qFormat/>
    <w:uiPriority w:val="0"/>
    <w:pPr>
      <w:spacing w:after="120"/>
    </w:pPr>
  </w:style>
  <w:style w:type="paragraph" w:styleId="19">
    <w:name w:val="Body Text Indent"/>
    <w:basedOn w:val="1"/>
    <w:link w:val="63"/>
    <w:qFormat/>
    <w:uiPriority w:val="0"/>
    <w:pPr>
      <w:ind w:firstLine="480" w:firstLineChars="200"/>
    </w:pPr>
    <w:rPr>
      <w:rFonts w:ascii="Times New Roman" w:hAnsi="Times New Roman"/>
      <w:szCs w:val="24"/>
    </w:rPr>
  </w:style>
  <w:style w:type="paragraph" w:styleId="20">
    <w:name w:val="toc 5"/>
    <w:basedOn w:val="1"/>
    <w:next w:val="1"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toc 3"/>
    <w:basedOn w:val="1"/>
    <w:next w:val="1"/>
    <w:uiPriority w:val="39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22">
    <w:name w:val="toc 8"/>
    <w:basedOn w:val="1"/>
    <w:next w:val="1"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3">
    <w:name w:val="Balloon Text"/>
    <w:basedOn w:val="1"/>
    <w:link w:val="57"/>
    <w:semiHidden/>
    <w:uiPriority w:val="0"/>
    <w:rPr>
      <w:sz w:val="18"/>
      <w:szCs w:val="18"/>
    </w:rPr>
  </w:style>
  <w:style w:type="paragraph" w:styleId="24">
    <w:name w:val="footer"/>
    <w:basedOn w:val="1"/>
    <w:link w:val="5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53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7">
    <w:name w:val="toc 4"/>
    <w:basedOn w:val="1"/>
    <w:next w:val="1"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8">
    <w:name w:val="List"/>
    <w:basedOn w:val="1"/>
    <w:qFormat/>
    <w:locked/>
    <w:uiPriority w:val="0"/>
    <w:pPr>
      <w:ind w:left="200" w:hanging="200" w:hangingChars="200"/>
      <w:contextualSpacing/>
    </w:pPr>
  </w:style>
  <w:style w:type="paragraph" w:styleId="29">
    <w:name w:val="toc 6"/>
    <w:basedOn w:val="1"/>
    <w:next w:val="1"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30">
    <w:name w:val="toc 2"/>
    <w:basedOn w:val="1"/>
    <w:next w:val="1"/>
    <w:qFormat/>
    <w:uiPriority w:val="39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9"/>
    <w:basedOn w:val="1"/>
    <w:next w:val="1"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32">
    <w:name w:val="HTML Preformatted"/>
    <w:basedOn w:val="1"/>
    <w:link w:val="83"/>
    <w:unhideWhenUsed/>
    <w:qFormat/>
    <w:lock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paragraph" w:styleId="3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34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qFormat/>
    <w:locked/>
    <w:uiPriority w:val="0"/>
  </w:style>
  <w:style w:type="character" w:styleId="38">
    <w:name w:val="FollowedHyperlink"/>
    <w:basedOn w:val="35"/>
    <w:qFormat/>
    <w:locked/>
    <w:uiPriority w:val="0"/>
    <w:rPr>
      <w:color w:val="800080" w:themeColor="followedHyperlink"/>
      <w:u w:val="single"/>
    </w:rPr>
  </w:style>
  <w:style w:type="character" w:styleId="39">
    <w:name w:val="Hyperlink"/>
    <w:basedOn w:val="35"/>
    <w:unhideWhenUsed/>
    <w:qFormat/>
    <w:locked/>
    <w:uiPriority w:val="99"/>
    <w:rPr>
      <w:color w:val="3366CC"/>
      <w:u w:val="single"/>
    </w:rPr>
  </w:style>
  <w:style w:type="character" w:styleId="40">
    <w:name w:val="annotation reference"/>
    <w:basedOn w:val="35"/>
    <w:qFormat/>
    <w:locked/>
    <w:uiPriority w:val="0"/>
    <w:rPr>
      <w:sz w:val="21"/>
      <w:szCs w:val="21"/>
    </w:rPr>
  </w:style>
  <w:style w:type="table" w:styleId="42">
    <w:name w:val="Table Grid"/>
    <w:basedOn w:val="4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43">
    <w:name w:val="Table Classic 1"/>
    <w:basedOn w:val="41"/>
    <w:qFormat/>
    <w:locked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character" w:customStyle="1" w:styleId="44">
    <w:name w:val="标题 1 字符"/>
    <w:basedOn w:val="35"/>
    <w:link w:val="2"/>
    <w:qFormat/>
    <w:locked/>
    <w:uiPriority w:val="0"/>
    <w:rPr>
      <w:rFonts w:eastAsia="宋体"/>
      <w:b/>
      <w:bCs/>
      <w:kern w:val="44"/>
      <w:sz w:val="30"/>
      <w:szCs w:val="44"/>
    </w:rPr>
  </w:style>
  <w:style w:type="character" w:customStyle="1" w:styleId="45">
    <w:name w:val="标题 2 字符"/>
    <w:basedOn w:val="35"/>
    <w:link w:val="3"/>
    <w:qFormat/>
    <w:locked/>
    <w:uiPriority w:val="0"/>
    <w:rPr>
      <w:rFonts w:ascii="Franklin Gothic Book" w:hAnsi="Franklin Gothic Book" w:eastAsia="宋体"/>
      <w:b/>
      <w:bCs/>
      <w:kern w:val="2"/>
      <w:sz w:val="28"/>
      <w:szCs w:val="32"/>
    </w:rPr>
  </w:style>
  <w:style w:type="character" w:customStyle="1" w:styleId="46">
    <w:name w:val="标题 3 字符"/>
    <w:basedOn w:val="35"/>
    <w:link w:val="4"/>
    <w:qFormat/>
    <w:locked/>
    <w:uiPriority w:val="0"/>
    <w:rPr>
      <w:rFonts w:eastAsia="宋体"/>
      <w:b/>
      <w:bCs/>
      <w:kern w:val="2"/>
      <w:sz w:val="24"/>
      <w:szCs w:val="32"/>
    </w:rPr>
  </w:style>
  <w:style w:type="character" w:customStyle="1" w:styleId="47">
    <w:name w:val="标题 4 字符"/>
    <w:basedOn w:val="35"/>
    <w:link w:val="5"/>
    <w:qFormat/>
    <w:locked/>
    <w:uiPriority w:val="0"/>
    <w:rPr>
      <w:rFonts w:ascii="Franklin Gothic Book" w:hAnsi="Franklin Gothic Book" w:eastAsia="宋体"/>
      <w:b/>
      <w:bCs/>
      <w:kern w:val="2"/>
      <w:sz w:val="21"/>
      <w:szCs w:val="28"/>
    </w:rPr>
  </w:style>
  <w:style w:type="character" w:customStyle="1" w:styleId="48">
    <w:name w:val="标题 5 字符"/>
    <w:basedOn w:val="35"/>
    <w:link w:val="6"/>
    <w:qFormat/>
    <w:locked/>
    <w:uiPriority w:val="0"/>
    <w:rPr>
      <w:rFonts w:eastAsia="宋体"/>
      <w:b/>
      <w:bCs/>
      <w:kern w:val="2"/>
      <w:sz w:val="28"/>
      <w:szCs w:val="28"/>
    </w:rPr>
  </w:style>
  <w:style w:type="character" w:customStyle="1" w:styleId="49">
    <w:name w:val="标题 6 字符"/>
    <w:basedOn w:val="35"/>
    <w:link w:val="7"/>
    <w:qFormat/>
    <w:locked/>
    <w:uiPriority w:val="0"/>
    <w:rPr>
      <w:rFonts w:ascii="Franklin Gothic Book" w:hAnsi="Franklin Gothic Book" w:eastAsia="宋体"/>
      <w:b/>
      <w:bCs/>
      <w:kern w:val="2"/>
      <w:sz w:val="24"/>
      <w:szCs w:val="24"/>
    </w:rPr>
  </w:style>
  <w:style w:type="character" w:customStyle="1" w:styleId="50">
    <w:name w:val="标题 7 字符"/>
    <w:basedOn w:val="35"/>
    <w:link w:val="8"/>
    <w:qFormat/>
    <w:locked/>
    <w:uiPriority w:val="0"/>
    <w:rPr>
      <w:rFonts w:eastAsia="宋体"/>
      <w:b/>
      <w:bCs/>
      <w:kern w:val="2"/>
      <w:sz w:val="24"/>
      <w:szCs w:val="24"/>
    </w:rPr>
  </w:style>
  <w:style w:type="character" w:customStyle="1" w:styleId="51">
    <w:name w:val="标题 8 字符"/>
    <w:basedOn w:val="35"/>
    <w:link w:val="9"/>
    <w:qFormat/>
    <w:locked/>
    <w:uiPriority w:val="0"/>
    <w:rPr>
      <w:rFonts w:ascii="Franklin Gothic Book" w:hAnsi="Franklin Gothic Book" w:eastAsia="宋体"/>
      <w:kern w:val="2"/>
      <w:sz w:val="24"/>
      <w:szCs w:val="24"/>
    </w:rPr>
  </w:style>
  <w:style w:type="character" w:customStyle="1" w:styleId="52">
    <w:name w:val="标题 9 字符"/>
    <w:basedOn w:val="35"/>
    <w:link w:val="10"/>
    <w:qFormat/>
    <w:locked/>
    <w:uiPriority w:val="0"/>
    <w:rPr>
      <w:rFonts w:ascii="Franklin Gothic Book" w:hAnsi="Franklin Gothic Book" w:eastAsia="宋体"/>
      <w:kern w:val="2"/>
      <w:sz w:val="24"/>
      <w:szCs w:val="21"/>
    </w:rPr>
  </w:style>
  <w:style w:type="character" w:customStyle="1" w:styleId="53">
    <w:name w:val="页眉 字符"/>
    <w:basedOn w:val="35"/>
    <w:link w:val="25"/>
    <w:qFormat/>
    <w:locked/>
    <w:uiPriority w:val="99"/>
    <w:rPr>
      <w:kern w:val="2"/>
      <w:sz w:val="18"/>
      <w:szCs w:val="18"/>
    </w:rPr>
  </w:style>
  <w:style w:type="character" w:customStyle="1" w:styleId="54">
    <w:name w:val="页脚 字符"/>
    <w:basedOn w:val="35"/>
    <w:link w:val="24"/>
    <w:qFormat/>
    <w:locked/>
    <w:uiPriority w:val="99"/>
    <w:rPr>
      <w:rFonts w:cs="Times New Roman"/>
      <w:sz w:val="18"/>
      <w:szCs w:val="18"/>
    </w:rPr>
  </w:style>
  <w:style w:type="paragraph" w:customStyle="1" w:styleId="55">
    <w:name w:val="无间隔1"/>
    <w:link w:val="56"/>
    <w:qFormat/>
    <w:uiPriority w:val="0"/>
    <w:rPr>
      <w:rFonts w:ascii="Arial" w:hAnsi="Arial" w:eastAsia="黑体" w:cs="Times New Roman"/>
      <w:sz w:val="22"/>
      <w:szCs w:val="22"/>
      <w:lang w:val="en-US" w:eastAsia="zh-CN" w:bidi="ar-SA"/>
    </w:rPr>
  </w:style>
  <w:style w:type="character" w:customStyle="1" w:styleId="56">
    <w:name w:val="No Spacing Char"/>
    <w:basedOn w:val="35"/>
    <w:link w:val="55"/>
    <w:qFormat/>
    <w:locked/>
    <w:uiPriority w:val="0"/>
    <w:rPr>
      <w:sz w:val="22"/>
      <w:szCs w:val="22"/>
      <w:lang w:val="en-US" w:eastAsia="zh-CN" w:bidi="ar-SA"/>
    </w:rPr>
  </w:style>
  <w:style w:type="character" w:customStyle="1" w:styleId="57">
    <w:name w:val="批注框文本 字符"/>
    <w:basedOn w:val="35"/>
    <w:link w:val="23"/>
    <w:semiHidden/>
    <w:qFormat/>
    <w:locked/>
    <w:uiPriority w:val="0"/>
    <w:rPr>
      <w:rFonts w:cs="Times New Roman"/>
      <w:sz w:val="18"/>
      <w:szCs w:val="18"/>
    </w:rPr>
  </w:style>
  <w:style w:type="paragraph" w:customStyle="1" w:styleId="58">
    <w:name w:val="abstract"/>
    <w:basedOn w:val="1"/>
    <w:next w:val="1"/>
    <w:qFormat/>
    <w:uiPriority w:val="0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character" w:customStyle="1" w:styleId="59">
    <w:name w:val="文档结构图 字符"/>
    <w:basedOn w:val="35"/>
    <w:link w:val="17"/>
    <w:semiHidden/>
    <w:qFormat/>
    <w:locked/>
    <w:uiPriority w:val="0"/>
    <w:rPr>
      <w:rFonts w:ascii="宋体" w:eastAsia="宋体" w:cs="Times New Roman"/>
      <w:sz w:val="18"/>
      <w:szCs w:val="18"/>
    </w:rPr>
  </w:style>
  <w:style w:type="paragraph" w:customStyle="1" w:styleId="60">
    <w:name w:val="列出段落1"/>
    <w:basedOn w:val="1"/>
    <w:qFormat/>
    <w:uiPriority w:val="0"/>
    <w:pPr>
      <w:ind w:firstLine="420" w:firstLineChars="200"/>
    </w:pPr>
  </w:style>
  <w:style w:type="character" w:customStyle="1" w:styleId="61">
    <w:name w:val="Body Indent 1st Char"/>
    <w:basedOn w:val="35"/>
    <w:link w:val="62"/>
    <w:qFormat/>
    <w:locked/>
    <w:uiPriority w:val="0"/>
    <w:rPr>
      <w:rFonts w:ascii="Arial" w:hAnsi="Arial" w:eastAsia="宋体" w:cs="Times New Roman"/>
      <w:sz w:val="24"/>
    </w:rPr>
  </w:style>
  <w:style w:type="paragraph" w:customStyle="1" w:styleId="62">
    <w:name w:val="Body Indent 1st"/>
    <w:basedOn w:val="1"/>
    <w:link w:val="61"/>
    <w:qFormat/>
    <w:uiPriority w:val="0"/>
    <w:pPr>
      <w:widowControl/>
      <w:spacing w:before="180" w:after="60"/>
      <w:ind w:firstLine="576"/>
    </w:pPr>
  </w:style>
  <w:style w:type="character" w:customStyle="1" w:styleId="63">
    <w:name w:val="正文文本缩进 字符"/>
    <w:basedOn w:val="35"/>
    <w:link w:val="19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4">
    <w:name w:val="正文文本 字符"/>
    <w:basedOn w:val="35"/>
    <w:link w:val="18"/>
    <w:semiHidden/>
    <w:qFormat/>
    <w:locked/>
    <w:uiPriority w:val="0"/>
    <w:rPr>
      <w:rFonts w:cs="Times New Roman"/>
    </w:rPr>
  </w:style>
  <w:style w:type="character" w:customStyle="1" w:styleId="65">
    <w:name w:val="正文首行缩进 字符"/>
    <w:basedOn w:val="64"/>
    <w:link w:val="14"/>
    <w:qFormat/>
    <w:locked/>
    <w:uiPriority w:val="0"/>
    <w:rPr>
      <w:rFonts w:ascii="Times New Roman" w:hAnsi="Times New Roman" w:eastAsia="宋体" w:cs="Times New Roman"/>
      <w:color w:val="000000"/>
      <w:kern w:val="2"/>
      <w:sz w:val="24"/>
    </w:rPr>
  </w:style>
  <w:style w:type="paragraph" w:customStyle="1" w:styleId="66">
    <w:name w:val="p0"/>
    <w:basedOn w:val="1"/>
    <w:qFormat/>
    <w:uiPriority w:val="0"/>
    <w:pPr>
      <w:widowControl/>
    </w:pPr>
    <w:rPr>
      <w:rFonts w:ascii="Calibri" w:hAnsi="Calibri" w:cs="宋体"/>
      <w:kern w:val="0"/>
      <w:szCs w:val="24"/>
    </w:rPr>
  </w:style>
  <w:style w:type="paragraph" w:customStyle="1" w:styleId="67">
    <w:name w:val="List Paragraph"/>
    <w:basedOn w:val="1"/>
    <w:qFormat/>
    <w:uiPriority w:val="34"/>
    <w:pPr>
      <w:ind w:firstLine="420" w:firstLineChars="200"/>
    </w:pPr>
  </w:style>
  <w:style w:type="paragraph" w:customStyle="1" w:styleId="68">
    <w:name w:val="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69">
    <w:name w:val="Char1"/>
    <w:basedOn w:val="1"/>
    <w:qFormat/>
    <w:uiPriority w:val="0"/>
    <w:rPr>
      <w:rFonts w:ascii="Times New Roman" w:hAnsi="Times New Roman"/>
      <w:szCs w:val="24"/>
    </w:rPr>
  </w:style>
  <w:style w:type="paragraph" w:customStyle="1" w:styleId="70">
    <w:name w:val="Char"/>
    <w:basedOn w:val="1"/>
    <w:qFormat/>
    <w:uiPriority w:val="0"/>
    <w:rPr>
      <w:rFonts w:ascii="Times New Roman" w:hAnsi="Times New Roman"/>
      <w:szCs w:val="24"/>
    </w:rPr>
  </w:style>
  <w:style w:type="paragraph" w:customStyle="1" w:styleId="71">
    <w:name w:val="Char Char Char Char1 Char Char Char Char Char Char Char Char"/>
    <w:basedOn w:val="1"/>
    <w:qFormat/>
    <w:uiPriority w:val="0"/>
    <w:pPr>
      <w:ind w:firstLine="200" w:firstLineChars="200"/>
    </w:pPr>
    <w:rPr>
      <w:rFonts w:ascii="Times New Roman" w:hAnsi="Times New Roman"/>
      <w:szCs w:val="24"/>
    </w:rPr>
  </w:style>
  <w:style w:type="paragraph" w:customStyle="1" w:styleId="72">
    <w:name w:val="List Bullet Indent"/>
    <w:basedOn w:val="1"/>
    <w:next w:val="1"/>
    <w:link w:val="73"/>
    <w:qFormat/>
    <w:uiPriority w:val="0"/>
    <w:pPr>
      <w:widowControl/>
      <w:numPr>
        <w:ilvl w:val="0"/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73">
    <w:name w:val="List Bullet Indent Char Char"/>
    <w:basedOn w:val="35"/>
    <w:link w:val="72"/>
    <w:qFormat/>
    <w:uiPriority w:val="0"/>
    <w:rPr>
      <w:rFonts w:eastAsia="宋体" w:cs="Arial"/>
      <w:sz w:val="24"/>
    </w:rPr>
  </w:style>
  <w:style w:type="character" w:customStyle="1" w:styleId="74">
    <w:name w:val="批注文字 字符"/>
    <w:basedOn w:val="35"/>
    <w:link w:val="12"/>
    <w:qFormat/>
    <w:uiPriority w:val="0"/>
    <w:rPr>
      <w:kern w:val="2"/>
      <w:sz w:val="21"/>
      <w:szCs w:val="22"/>
    </w:rPr>
  </w:style>
  <w:style w:type="character" w:customStyle="1" w:styleId="75">
    <w:name w:val="批注主题 字符"/>
    <w:basedOn w:val="74"/>
    <w:link w:val="11"/>
    <w:qFormat/>
    <w:uiPriority w:val="0"/>
    <w:rPr>
      <w:b/>
      <w:bCs/>
      <w:kern w:val="2"/>
      <w:sz w:val="21"/>
      <w:szCs w:val="22"/>
    </w:rPr>
  </w:style>
  <w:style w:type="paragraph" w:customStyle="1" w:styleId="76">
    <w:name w:val="Char Char Char1"/>
    <w:basedOn w:val="1"/>
    <w:qFormat/>
    <w:uiPriority w:val="0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77">
    <w:name w:val="No Spacing"/>
    <w:basedOn w:val="1"/>
    <w:link w:val="78"/>
    <w:qFormat/>
    <w:uiPriority w:val="1"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78">
    <w:name w:val="无间隔 字符"/>
    <w:basedOn w:val="35"/>
    <w:link w:val="77"/>
    <w:qFormat/>
    <w:locked/>
    <w:uiPriority w:val="99"/>
    <w:rPr>
      <w:rFonts w:ascii="Cambria" w:hAnsi="Cambria" w:eastAsia="宋体"/>
      <w:sz w:val="22"/>
      <w:szCs w:val="22"/>
      <w:lang w:eastAsia="en-US"/>
    </w:rPr>
  </w:style>
  <w:style w:type="character" w:customStyle="1" w:styleId="79">
    <w:name w:val="apple-style-span"/>
    <w:basedOn w:val="35"/>
    <w:qFormat/>
    <w:uiPriority w:val="0"/>
  </w:style>
  <w:style w:type="character" w:customStyle="1" w:styleId="80">
    <w:name w:val="hg1"/>
    <w:basedOn w:val="35"/>
    <w:qFormat/>
    <w:uiPriority w:val="0"/>
    <w:rPr>
      <w:rFonts w:hint="default" w:ascii="ˎ̥" w:hAnsi="ˎ̥"/>
      <w:color w:val="6D6D6D"/>
      <w:sz w:val="18"/>
      <w:szCs w:val="18"/>
      <w:u w:val="none"/>
    </w:rPr>
  </w:style>
  <w:style w:type="character" w:customStyle="1" w:styleId="81">
    <w:name w:val="正文缩进 字符"/>
    <w:basedOn w:val="35"/>
    <w:link w:val="16"/>
    <w:qFormat/>
    <w:uiPriority w:val="0"/>
    <w:rPr>
      <w:rFonts w:eastAsia="宋体" w:cs="Arial"/>
      <w:kern w:val="2"/>
      <w:sz w:val="24"/>
      <w:szCs w:val="19"/>
    </w:rPr>
  </w:style>
  <w:style w:type="paragraph" w:customStyle="1" w:styleId="82">
    <w:name w:val="方案正文"/>
    <w:basedOn w:val="28"/>
    <w:qFormat/>
    <w:uiPriority w:val="0"/>
    <w:pPr>
      <w:spacing w:before="100" w:beforeAutospacing="1" w:after="100" w:afterAutospacing="1"/>
      <w:ind w:left="0" w:firstLine="480" w:firstLineChars="200"/>
      <w:contextualSpacing w:val="0"/>
    </w:pPr>
    <w:rPr>
      <w:rFonts w:ascii="宋体" w:hAnsi="宋体" w:cs="Arial"/>
      <w:szCs w:val="20"/>
    </w:rPr>
  </w:style>
  <w:style w:type="character" w:customStyle="1" w:styleId="83">
    <w:name w:val="HTML 预设格式 字符"/>
    <w:basedOn w:val="35"/>
    <w:link w:val="32"/>
    <w:qFormat/>
    <w:uiPriority w:val="99"/>
    <w:rPr>
      <w:rFonts w:eastAsia="宋体" w:cs="Arial"/>
      <w:sz w:val="24"/>
      <w:szCs w:val="24"/>
    </w:rPr>
  </w:style>
  <w:style w:type="paragraph" w:customStyle="1" w:styleId="84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" w:hAnsi="楷体" w:eastAsia="黑体" w:cs="楷体"/>
      <w:color w:val="000000"/>
      <w:sz w:val="24"/>
      <w:szCs w:val="24"/>
      <w:lang w:val="en-US" w:eastAsia="zh-CN" w:bidi="ar-SA"/>
    </w:rPr>
  </w:style>
  <w:style w:type="character" w:customStyle="1" w:styleId="85">
    <w:name w:val="break_word1"/>
    <w:basedOn w:val="35"/>
    <w:qFormat/>
    <w:uiPriority w:val="0"/>
  </w:style>
  <w:style w:type="paragraph" w:customStyle="1" w:styleId="86">
    <w:name w:val="Sub Item List"/>
    <w:basedOn w:val="1"/>
    <w:qFormat/>
    <w:uiPriority w:val="0"/>
    <w:pPr>
      <w:widowControl/>
      <w:numPr>
        <w:ilvl w:val="0"/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87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8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融创技术</Company>
  <Pages>10</Pages>
  <Words>473</Words>
  <Characters>2698</Characters>
  <Lines>22</Lines>
  <Paragraphs>6</Paragraphs>
  <ScaleCrop>false</ScaleCrop>
  <LinksUpToDate>false</LinksUpToDate>
  <CharactersWithSpaces>3165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2018-11-13T08:07:00Z</dcterms:created>
  <dc:creator>蒋振林/产品研发部/浙江融创公司/Zmcc</dc:creator>
  <cp:lastModifiedBy>panda</cp:lastModifiedBy>
  <cp:lastPrinted>2015-02-17T01:30:00Z</cp:lastPrinted>
  <dcterms:modified xsi:type="dcterms:W3CDTF">2019-06-13T10:54:03Z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