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s3fkens87r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Appendix_I_Preflight_V19.md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題名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：L2 公理 Preflight（前置審查）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任務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：在「引擎展開推理」之前，把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不可能／自相矛盾／單位錯配／紅線風險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先擋下。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dz6oajk1k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I.1 資料入口與正規化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入口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Logic_Axioms/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（自然語言公理）、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（候選事實）、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Maybe_right/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（評論）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管線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：去噪 → 分句 → 模板映射（HORN/EQ/Constraint/Temporal） → 型別/單位抽取 → 形式化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禁止硬刪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：不通過者進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needs_revision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佇列（60 天未動自清）；時間性覆蓋走 SUPERSEDE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toymr9758z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I.2 形式化模板（精簡集）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等式邏輯（EQ）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a=c ∧ b=c → a=b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同餘閉包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維護等價類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命題/Horn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p(X) ∧ q(X,Y) → r(Y)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；用 SAT/ASP 做互斥檢查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約束（Constraint）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：單位與量綱一致、溫壓界、地理層級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時間（Temporal）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t_cause &lt; t_effect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、時間粒度一致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rmeapmx7p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I.3 檢查器實作（輕量）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：Pint（量綱與換算）；同欄位需同量綱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dateutil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自訂粒度欄位（year/month/day…）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：鄰接關係表（城市→州/縣→國）；不可跨國雙歸屬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因果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：簡單 DAG 方向檢查；倒置即否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紅線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：SafetyAxiom（Neo4j 類型：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:SafetyAxiom {id, rule, scope}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）先行否決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等式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：Union-Find + Congruence Closure（小型）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k2zwctr7y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I.4 回報結構（JSON）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"ok": false,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"violations": [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"rule_id": "AX_EQ_001",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"logic|unit|time|geo|redline",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"span_or_fact_id": "f12345",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"reason": "Equality contradiction via c",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"minimal_counterexample": ["a=c","b=c","¬(a=b)"]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"advice": "請將 km 與 m 統一為 m"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8whxsmq3q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I.5 與 ERR／版本化的銜接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：DUPLICATE → 合併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source/alias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（不增節點）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互斥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：新=高權重（E1/E2）→ 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RETRACTED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新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effective_at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較新者 → 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SUPERSEDED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審計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：作者/時間/hash/回歸結果必記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el0o8arce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I.6 性能／資源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主跑 CPU；以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(context_hash,candidate_hash,ruleset_version)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作快取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超時降級：只跑「單位＋時間＋等式」三件最要緊的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y2z5imy9vx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I.7 驗收卡（最小）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：100 條自然語言公理→可正規化入庫（含 form/vars/type_sig）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：km 與 m 混算被攔下並建議轉換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：因果倒置能被事後驗證抓回、進仲裁佇列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：紅線 SafetyAxiom 能否決危險輸出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：ERR 橋接：新舊互斥→舊轉向或撤回；重複→合併 alias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kzlfbu77c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備註（對工程）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模板與檢查器都以「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可替換開源實作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」為原則；你只要封裝統一接口：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normalize_rule(text) -&gt; {form, vars, ...}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preflight(candidate, context) -&gt; {ok, violations[]}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任何拒絕必附「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最小反例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」以便你快速修文或裁示。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