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51A" w:rsidRDefault="002357B5">
      <w:r>
        <w:rPr>
          <w:noProof/>
          <w:lang w:val="en-US" w:eastAsia="en-US"/>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0B97" w:rsidRDefault="007B0B97">
      <w:r>
        <w:rPr>
          <w:noProof/>
          <w:lang w:val="en-US" w:eastAsia="en-US"/>
        </w:rPr>
        <w:drawing>
          <wp:inline distT="0" distB="0" distL="0" distR="0" wp14:anchorId="73074978" wp14:editId="799A6F69">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4C51" w:rsidRPr="005849FD" w:rsidRDefault="00F84C51" w:rsidP="003837B3">
      <w:pPr>
        <w:pStyle w:val="ListParagraph"/>
        <w:numPr>
          <w:ilvl w:val="0"/>
          <w:numId w:val="2"/>
        </w:numPr>
        <w:autoSpaceDE w:val="0"/>
        <w:autoSpaceDN w:val="0"/>
        <w:adjustRightInd w:val="0"/>
        <w:spacing w:after="0" w:line="240" w:lineRule="auto"/>
        <w:rPr>
          <w:rFonts w:ascii="Arial" w:hAnsi="Arial" w:cs="Arial"/>
          <w:sz w:val="20"/>
          <w:szCs w:val="20"/>
        </w:rPr>
      </w:pPr>
      <w:r w:rsidRPr="005849FD">
        <w:rPr>
          <w:rFonts w:ascii="Arial" w:hAnsi="Arial" w:cs="Arial"/>
          <w:sz w:val="20"/>
          <w:szCs w:val="20"/>
        </w:rPr>
        <w:t>Analyze/Interpret any “interesting” trends that you notice in the behaviour of the LRU, LFU, and</w:t>
      </w:r>
      <w:r w:rsidRPr="005849FD">
        <w:rPr>
          <w:rFonts w:ascii="Arial" w:hAnsi="Arial" w:cs="Arial" w:hint="eastAsia"/>
          <w:sz w:val="20"/>
          <w:szCs w:val="20"/>
        </w:rPr>
        <w:t xml:space="preserve"> </w:t>
      </w:r>
      <w:r w:rsidRPr="005849FD">
        <w:rPr>
          <w:rFonts w:ascii="Arial" w:hAnsi="Arial" w:cs="Arial"/>
          <w:sz w:val="20"/>
          <w:szCs w:val="20"/>
        </w:rPr>
        <w:t>MRU replacement policies. You have to explain when and why one policy is better than the other.</w:t>
      </w:r>
    </w:p>
    <w:p w:rsidR="003C55CA" w:rsidRDefault="003C55CA" w:rsidP="00FF12BF">
      <w:pPr>
        <w:autoSpaceDE w:val="0"/>
        <w:autoSpaceDN w:val="0"/>
        <w:adjustRightInd w:val="0"/>
        <w:spacing w:after="0" w:line="240" w:lineRule="auto"/>
        <w:ind w:left="720"/>
      </w:pPr>
    </w:p>
    <w:p w:rsidR="00FF12BF" w:rsidRDefault="00FF12BF" w:rsidP="00FF12BF">
      <w:pPr>
        <w:autoSpaceDE w:val="0"/>
        <w:autoSpaceDN w:val="0"/>
        <w:adjustRightInd w:val="0"/>
        <w:spacing w:after="0" w:line="240" w:lineRule="auto"/>
        <w:ind w:left="720"/>
      </w:pPr>
      <w:r>
        <w:t>Answer: Interesting trends we notice is that, for sequential scan and index scan respectfully, the average buffer hit rates of LRU, LFU and MRU are all the same when the buffer cache size is large enough (about 100 or 120</w:t>
      </w:r>
      <w:r w:rsidR="00A80F64">
        <w:t>)</w:t>
      </w:r>
      <w:bookmarkStart w:id="0" w:name="_GoBack"/>
      <w:bookmarkEnd w:id="0"/>
      <w:r>
        <w:t xml:space="preserve"> </w:t>
      </w:r>
    </w:p>
    <w:p w:rsidR="009F7794" w:rsidRDefault="009F7794" w:rsidP="00F84C51">
      <w:pPr>
        <w:autoSpaceDE w:val="0"/>
        <w:autoSpaceDN w:val="0"/>
        <w:adjustRightInd w:val="0"/>
        <w:spacing w:after="0" w:line="240" w:lineRule="auto"/>
      </w:pPr>
    </w:p>
    <w:p w:rsidR="00BD16AF" w:rsidRDefault="00BD16AF" w:rsidP="00F84C51">
      <w:pPr>
        <w:autoSpaceDE w:val="0"/>
        <w:autoSpaceDN w:val="0"/>
        <w:adjustRightInd w:val="0"/>
        <w:spacing w:after="0" w:line="240" w:lineRule="auto"/>
      </w:pPr>
    </w:p>
    <w:p w:rsidR="00BD16AF" w:rsidRDefault="00BD16AF" w:rsidP="00F84C51">
      <w:pPr>
        <w:autoSpaceDE w:val="0"/>
        <w:autoSpaceDN w:val="0"/>
        <w:adjustRightInd w:val="0"/>
        <w:spacing w:after="0" w:line="240" w:lineRule="auto"/>
      </w:pPr>
    </w:p>
    <w:p w:rsidR="00BD16AF" w:rsidRDefault="00BD16AF" w:rsidP="00F84C51">
      <w:pPr>
        <w:autoSpaceDE w:val="0"/>
        <w:autoSpaceDN w:val="0"/>
        <w:adjustRightInd w:val="0"/>
        <w:spacing w:after="0" w:line="240" w:lineRule="auto"/>
      </w:pPr>
    </w:p>
    <w:p w:rsidR="009B23A5" w:rsidRPr="009B23A5" w:rsidRDefault="0037375E" w:rsidP="009B23A5">
      <w:pPr>
        <w:pStyle w:val="ListParagraph"/>
        <w:numPr>
          <w:ilvl w:val="0"/>
          <w:numId w:val="2"/>
        </w:numPr>
        <w:autoSpaceDE w:val="0"/>
        <w:autoSpaceDN w:val="0"/>
        <w:adjustRightInd w:val="0"/>
        <w:spacing w:after="0" w:line="240" w:lineRule="auto"/>
        <w:rPr>
          <w:rFonts w:ascii="Arial" w:hAnsi="Arial" w:cs="Arial"/>
          <w:sz w:val="20"/>
          <w:szCs w:val="20"/>
        </w:rPr>
      </w:pPr>
      <w:r w:rsidRPr="005849FD">
        <w:rPr>
          <w:rFonts w:ascii="Arial" w:hAnsi="Arial" w:cs="Arial"/>
          <w:sz w:val="20"/>
          <w:szCs w:val="20"/>
        </w:rPr>
        <w:t>Try to estimate the size of your table Data in number of blocks, based on the buffer cache hit rates, with increasing size of the table.</w:t>
      </w:r>
    </w:p>
    <w:p w:rsidR="00E962E8" w:rsidRDefault="00E962E8" w:rsidP="00867ABC">
      <w:pPr>
        <w:pStyle w:val="ListParagraph"/>
        <w:autoSpaceDE w:val="0"/>
        <w:autoSpaceDN w:val="0"/>
        <w:adjustRightInd w:val="0"/>
        <w:spacing w:after="0" w:line="240" w:lineRule="auto"/>
        <w:rPr>
          <w:rFonts w:ascii="Arial" w:hAnsi="Arial" w:cs="Arial"/>
          <w:sz w:val="20"/>
          <w:szCs w:val="20"/>
        </w:rPr>
      </w:pPr>
    </w:p>
    <w:p w:rsidR="008B4C6D" w:rsidRDefault="00867ABC" w:rsidP="00867ABC">
      <w:pPr>
        <w:pStyle w:val="ListParagraph"/>
        <w:autoSpaceDE w:val="0"/>
        <w:autoSpaceDN w:val="0"/>
        <w:adjustRightInd w:val="0"/>
        <w:spacing w:after="0" w:line="240" w:lineRule="auto"/>
        <w:rPr>
          <w:rFonts w:ascii="Arial" w:hAnsi="Arial" w:cs="Arial"/>
          <w:sz w:val="20"/>
          <w:szCs w:val="20"/>
        </w:rPr>
      </w:pPr>
      <w:r>
        <w:rPr>
          <w:rFonts w:ascii="Arial" w:hAnsi="Arial" w:cs="Arial" w:hint="eastAsia"/>
          <w:sz w:val="20"/>
          <w:szCs w:val="20"/>
        </w:rPr>
        <w:t xml:space="preserve">Answer: The size of the table Data is roughly 30 blocks. </w:t>
      </w:r>
    </w:p>
    <w:p w:rsidR="00867ABC" w:rsidRDefault="008C6AFB" w:rsidP="00867ABC">
      <w:pPr>
        <w:pStyle w:val="ListParagraph"/>
        <w:autoSpaceDE w:val="0"/>
        <w:autoSpaceDN w:val="0"/>
        <w:adjustRightInd w:val="0"/>
        <w:spacing w:after="0" w:line="240" w:lineRule="auto"/>
        <w:rPr>
          <w:rFonts w:ascii="Arial" w:hAnsi="Arial" w:cs="Arial"/>
          <w:sz w:val="20"/>
          <w:szCs w:val="20"/>
        </w:rPr>
      </w:pPr>
      <w:r>
        <w:rPr>
          <w:rFonts w:ascii="Arial" w:hAnsi="Arial" w:cs="Arial" w:hint="eastAsia"/>
          <w:sz w:val="20"/>
          <w:szCs w:val="20"/>
        </w:rPr>
        <w:t>I call the following command to do the analysis.</w:t>
      </w:r>
    </w:p>
    <w:p w:rsidR="008D17F8" w:rsidRPr="008D17F8" w:rsidRDefault="008C6AFB" w:rsidP="008D17F8">
      <w:pPr>
        <w:pStyle w:val="ListParagraph"/>
        <w:autoSpaceDE w:val="0"/>
        <w:autoSpaceDN w:val="0"/>
        <w:adjustRightInd w:val="0"/>
        <w:spacing w:after="0" w:line="240" w:lineRule="auto"/>
        <w:ind w:firstLine="720"/>
        <w:rPr>
          <w:rFonts w:ascii="Arial" w:hAnsi="Arial" w:cs="Arial"/>
          <w:sz w:val="20"/>
          <w:szCs w:val="20"/>
        </w:rPr>
      </w:pPr>
      <w:r w:rsidRPr="008C6AFB">
        <w:rPr>
          <w:rFonts w:ascii="Arial" w:hAnsi="Arial" w:cs="Arial"/>
          <w:sz w:val="20"/>
          <w:szCs w:val="20"/>
        </w:rPr>
        <w:t>cat ScanQueries.sql | postgres -B 20 -D ~/data/ -d 1 -s mydatabase</w:t>
      </w:r>
      <w:r w:rsidR="00FF12BF">
        <w:rPr>
          <w:rFonts w:ascii="Arial" w:hAnsi="Arial" w:cs="Arial"/>
          <w:sz w:val="20"/>
          <w:szCs w:val="20"/>
        </w:rPr>
        <w:t xml:space="preserve"> 2&gt;&amp;1 | grep “Shared blocks”</w:t>
      </w:r>
    </w:p>
    <w:p w:rsidR="008D17F8" w:rsidRPr="008D17F8"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109 read,          0 written, buffer hit rate = 62.41%</w:t>
      </w:r>
    </w:p>
    <w:p w:rsidR="008D17F8" w:rsidRPr="008D17F8"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16 read,          0 written, buffer hit rate = 55.56%</w:t>
      </w:r>
    </w:p>
    <w:p w:rsidR="008D17F8" w:rsidRPr="008D17F8"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16 read,          0 written, buffer hit rate = 46.67%</w:t>
      </w:r>
    </w:p>
    <w:p w:rsidR="008D17F8" w:rsidRPr="008D17F8"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16 read,          0 written, buffer hit rate = 46.67%</w:t>
      </w:r>
    </w:p>
    <w:p w:rsidR="008D17F8" w:rsidRPr="008D17F8"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16 read,          0 written, buffer hit rate = 46.67%</w:t>
      </w:r>
    </w:p>
    <w:p w:rsidR="008D17F8" w:rsidRPr="008D17F8"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16 read,          0 written, buffer hit rate = 46.67%</w:t>
      </w:r>
    </w:p>
    <w:p w:rsidR="008D17F8" w:rsidRPr="008D17F8"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16 read,          0 written, buffer hit rate = 46.67%</w:t>
      </w:r>
    </w:p>
    <w:p w:rsidR="008D17F8" w:rsidRPr="008D17F8"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16 read,          0 written, buffer hit rate = 46.67%</w:t>
      </w:r>
    </w:p>
    <w:p w:rsidR="008D17F8" w:rsidRPr="008D17F8"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16 read,          0 written, buffer hit rate = 46.67%</w:t>
      </w:r>
    </w:p>
    <w:p w:rsidR="00D61C2D" w:rsidRDefault="008D17F8" w:rsidP="008D17F8">
      <w:pPr>
        <w:autoSpaceDE w:val="0"/>
        <w:autoSpaceDN w:val="0"/>
        <w:adjustRightInd w:val="0"/>
        <w:spacing w:after="0" w:line="240" w:lineRule="auto"/>
        <w:ind w:left="720"/>
        <w:rPr>
          <w:rFonts w:ascii="Arial" w:hAnsi="Arial" w:cs="Arial"/>
          <w:sz w:val="20"/>
          <w:szCs w:val="20"/>
        </w:rPr>
      </w:pPr>
      <w:r w:rsidRPr="008D17F8">
        <w:rPr>
          <w:rFonts w:ascii="Arial" w:hAnsi="Arial" w:cs="Arial"/>
          <w:sz w:val="20"/>
          <w:szCs w:val="20"/>
        </w:rPr>
        <w:t xml:space="preserve">        !       Shared blocks:         16 read,          0 written, buffer hit rate = 46.67%</w:t>
      </w:r>
    </w:p>
    <w:p w:rsidR="0088653E" w:rsidRPr="008C6AFB" w:rsidRDefault="008B4C6D" w:rsidP="007D7263">
      <w:pPr>
        <w:autoSpaceDE w:val="0"/>
        <w:autoSpaceDN w:val="0"/>
        <w:adjustRightInd w:val="0"/>
        <w:spacing w:after="0" w:line="240" w:lineRule="auto"/>
        <w:ind w:left="720"/>
        <w:rPr>
          <w:rFonts w:ascii="Arial" w:hAnsi="Arial" w:cs="Arial"/>
          <w:sz w:val="20"/>
          <w:szCs w:val="20"/>
        </w:rPr>
      </w:pPr>
      <w:r>
        <w:rPr>
          <w:rFonts w:ascii="Arial" w:hAnsi="Arial" w:cs="Arial" w:hint="eastAsia"/>
          <w:sz w:val="20"/>
          <w:szCs w:val="20"/>
        </w:rPr>
        <w:t>As we know, system blocks (catalog etc.) are loaded when the database starts, so the statistic of the 1</w:t>
      </w:r>
      <w:r w:rsidRPr="008B4C6D">
        <w:rPr>
          <w:rFonts w:ascii="Arial" w:hAnsi="Arial" w:cs="Arial" w:hint="eastAsia"/>
          <w:sz w:val="20"/>
          <w:szCs w:val="20"/>
          <w:vertAlign w:val="superscript"/>
        </w:rPr>
        <w:t>st</w:t>
      </w:r>
      <w:r>
        <w:rPr>
          <w:rFonts w:ascii="Arial" w:hAnsi="Arial" w:cs="Arial" w:hint="eastAsia"/>
          <w:sz w:val="20"/>
          <w:szCs w:val="20"/>
        </w:rPr>
        <w:t xml:space="preserve"> time read is not accurate. I will simply ignore it. For the rest data, we use the number of blocks it reads from the disk divided by (1 </w:t>
      </w:r>
      <w:r>
        <w:rPr>
          <w:rFonts w:ascii="Arial" w:hAnsi="Arial" w:cs="Arial"/>
          <w:sz w:val="20"/>
          <w:szCs w:val="20"/>
        </w:rPr>
        <w:t>–</w:t>
      </w:r>
      <w:r>
        <w:rPr>
          <w:rFonts w:ascii="Arial" w:hAnsi="Arial" w:cs="Arial" w:hint="eastAsia"/>
          <w:sz w:val="20"/>
          <w:szCs w:val="20"/>
        </w:rPr>
        <w:t xml:space="preserve"> buffer hit rate), then we can get the size of the table in terms of blocks.</w:t>
      </w:r>
      <w:r w:rsidR="0088653E">
        <w:rPr>
          <w:rFonts w:ascii="Arial" w:hAnsi="Arial" w:cs="Arial" w:hint="eastAsia"/>
          <w:sz w:val="20"/>
          <w:szCs w:val="20"/>
        </w:rPr>
        <w:t xml:space="preserve"> For example:</w:t>
      </w:r>
      <w:r w:rsidR="007D7263">
        <w:rPr>
          <w:rFonts w:ascii="Arial" w:hAnsi="Arial" w:cs="Arial" w:hint="eastAsia"/>
          <w:sz w:val="20"/>
          <w:szCs w:val="20"/>
        </w:rPr>
        <w:t xml:space="preserve"> </w:t>
      </w:r>
      <w:r w:rsidR="00F90DDA">
        <w:rPr>
          <w:rFonts w:ascii="Arial" w:hAnsi="Arial" w:cs="Arial" w:hint="eastAsia"/>
          <w:sz w:val="20"/>
          <w:szCs w:val="20"/>
        </w:rPr>
        <w:t>16</w:t>
      </w:r>
      <w:r w:rsidR="0088653E">
        <w:rPr>
          <w:rFonts w:ascii="Arial" w:hAnsi="Arial" w:cs="Arial" w:hint="eastAsia"/>
          <w:sz w:val="20"/>
          <w:szCs w:val="20"/>
        </w:rPr>
        <w:t xml:space="preserve"> / (1 </w:t>
      </w:r>
      <w:r w:rsidR="0088653E">
        <w:rPr>
          <w:rFonts w:ascii="Arial" w:hAnsi="Arial" w:cs="Arial"/>
          <w:sz w:val="20"/>
          <w:szCs w:val="20"/>
        </w:rPr>
        <w:t>–</w:t>
      </w:r>
      <w:r w:rsidR="00F90DDA">
        <w:rPr>
          <w:rFonts w:ascii="Arial" w:hAnsi="Arial" w:cs="Arial" w:hint="eastAsia"/>
          <w:sz w:val="20"/>
          <w:szCs w:val="20"/>
        </w:rPr>
        <w:t xml:space="preserve"> 46.67</w:t>
      </w:r>
      <w:r w:rsidR="0088653E">
        <w:rPr>
          <w:rFonts w:ascii="Arial" w:hAnsi="Arial" w:cs="Arial" w:hint="eastAsia"/>
          <w:sz w:val="20"/>
          <w:szCs w:val="20"/>
        </w:rPr>
        <w:t>%) = 30</w:t>
      </w:r>
      <w:r w:rsidR="008B222F">
        <w:rPr>
          <w:rFonts w:ascii="Arial" w:hAnsi="Arial" w:cs="Arial" w:hint="eastAsia"/>
          <w:sz w:val="20"/>
          <w:szCs w:val="20"/>
        </w:rPr>
        <w:t>. We definitely need to change the buffer cache size to verify the result.</w:t>
      </w:r>
    </w:p>
    <w:sectPr w:rsidR="0088653E" w:rsidRPr="008C6AFB">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D44" w:rsidRDefault="00B36D44" w:rsidP="004149BA">
      <w:pPr>
        <w:spacing w:after="0" w:line="240" w:lineRule="auto"/>
      </w:pPr>
      <w:r>
        <w:separator/>
      </w:r>
    </w:p>
  </w:endnote>
  <w:endnote w:type="continuationSeparator" w:id="0">
    <w:p w:rsidR="00B36D44" w:rsidRDefault="00B36D44" w:rsidP="0041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2D3" w:rsidRDefault="00D512D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hint="eastAsia"/>
      </w:rPr>
      <w:t>CSCD43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A80F64" w:rsidRPr="00A80F6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149BA" w:rsidRDefault="00414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D44" w:rsidRDefault="00B36D44" w:rsidP="004149BA">
      <w:pPr>
        <w:spacing w:after="0" w:line="240" w:lineRule="auto"/>
      </w:pPr>
      <w:r>
        <w:separator/>
      </w:r>
    </w:p>
  </w:footnote>
  <w:footnote w:type="continuationSeparator" w:id="0">
    <w:p w:rsidR="00B36D44" w:rsidRDefault="00B36D44" w:rsidP="00414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9BA" w:rsidRDefault="004149BA" w:rsidP="00FD2F6A">
    <w:pPr>
      <w:pStyle w:val="Header"/>
      <w:pBdr>
        <w:bottom w:val="thickThinSmallGap" w:sz="24" w:space="0" w:color="622423" w:themeColor="accent2" w:themeShade="7F"/>
      </w:pBdr>
      <w:tabs>
        <w:tab w:val="left" w:pos="7500"/>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placeholder>
          <w:docPart w:val="6FB81D770EB048C99463EA333569B481"/>
        </w:placeholder>
        <w:dataBinding w:prefixMappings="xmlns:ns0='http://schemas.openxmlformats.org/package/2006/metadata/core-properties' xmlns:ns1='http://purl.org/dc/elements/1.1/'" w:xpath="/ns0:coreProperties[1]/ns1:title[1]" w:storeItemID="{6C3C8BC8-F283-45AE-878A-BAB7291924A1}"/>
        <w:text/>
      </w:sdtPr>
      <w:sdtEndPr/>
      <w:sdtContent>
        <w:r w:rsidR="00F2133C">
          <w:rPr>
            <w:rFonts w:asciiTheme="majorHAnsi" w:eastAsiaTheme="majorEastAsia" w:hAnsiTheme="majorHAnsi" w:cstheme="majorBidi" w:hint="eastAsia"/>
            <w:sz w:val="32"/>
            <w:szCs w:val="32"/>
          </w:rPr>
          <w:t>CSCD43 Assignment 1</w:t>
        </w:r>
      </w:sdtContent>
    </w:sdt>
  </w:p>
  <w:p w:rsidR="004149BA" w:rsidRDefault="004149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12C7"/>
    <w:multiLevelType w:val="hybridMultilevel"/>
    <w:tmpl w:val="8004AF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30F7386"/>
    <w:multiLevelType w:val="hybridMultilevel"/>
    <w:tmpl w:val="96B290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ABA0405"/>
    <w:multiLevelType w:val="hybridMultilevel"/>
    <w:tmpl w:val="4CDA9E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C9F7F61"/>
    <w:multiLevelType w:val="hybridMultilevel"/>
    <w:tmpl w:val="4CDA9E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266F8C"/>
    <w:multiLevelType w:val="hybridMultilevel"/>
    <w:tmpl w:val="DD3A77A4"/>
    <w:lvl w:ilvl="0" w:tplc="21ECE2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C1"/>
    <w:rsid w:val="000801C1"/>
    <w:rsid w:val="000F0A2C"/>
    <w:rsid w:val="000F2919"/>
    <w:rsid w:val="00125A6C"/>
    <w:rsid w:val="001659B4"/>
    <w:rsid w:val="001E084A"/>
    <w:rsid w:val="002357B5"/>
    <w:rsid w:val="002A323F"/>
    <w:rsid w:val="0037375E"/>
    <w:rsid w:val="003837B3"/>
    <w:rsid w:val="003C55CA"/>
    <w:rsid w:val="004014E9"/>
    <w:rsid w:val="004149BA"/>
    <w:rsid w:val="00545F34"/>
    <w:rsid w:val="005849FD"/>
    <w:rsid w:val="005C5FA0"/>
    <w:rsid w:val="00600DBD"/>
    <w:rsid w:val="00604C19"/>
    <w:rsid w:val="00663D68"/>
    <w:rsid w:val="006E609B"/>
    <w:rsid w:val="00766665"/>
    <w:rsid w:val="007B0B97"/>
    <w:rsid w:val="007D7263"/>
    <w:rsid w:val="00832A5F"/>
    <w:rsid w:val="00867ABC"/>
    <w:rsid w:val="0087451A"/>
    <w:rsid w:val="0088653E"/>
    <w:rsid w:val="008B222F"/>
    <w:rsid w:val="008B4C6D"/>
    <w:rsid w:val="008C6AFB"/>
    <w:rsid w:val="008D17F8"/>
    <w:rsid w:val="009B23A5"/>
    <w:rsid w:val="009F7794"/>
    <w:rsid w:val="00A80F64"/>
    <w:rsid w:val="00AB1C43"/>
    <w:rsid w:val="00AE3D7E"/>
    <w:rsid w:val="00B36D44"/>
    <w:rsid w:val="00BD16AF"/>
    <w:rsid w:val="00C4111A"/>
    <w:rsid w:val="00D512D3"/>
    <w:rsid w:val="00D61C2D"/>
    <w:rsid w:val="00DE3E59"/>
    <w:rsid w:val="00E962E8"/>
    <w:rsid w:val="00F2133C"/>
    <w:rsid w:val="00F82BC9"/>
    <w:rsid w:val="00F84C51"/>
    <w:rsid w:val="00F90DDA"/>
    <w:rsid w:val="00FD2F6A"/>
    <w:rsid w:val="00FD62B6"/>
    <w:rsid w:val="00FF12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7E"/>
    <w:rPr>
      <w:rFonts w:ascii="Tahoma" w:hAnsi="Tahoma" w:cs="Tahoma"/>
      <w:sz w:val="16"/>
      <w:szCs w:val="16"/>
    </w:rPr>
  </w:style>
  <w:style w:type="paragraph" w:styleId="Header">
    <w:name w:val="header"/>
    <w:basedOn w:val="Normal"/>
    <w:link w:val="HeaderChar"/>
    <w:uiPriority w:val="99"/>
    <w:unhideWhenUsed/>
    <w:rsid w:val="004149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49BA"/>
  </w:style>
  <w:style w:type="paragraph" w:styleId="Footer">
    <w:name w:val="footer"/>
    <w:basedOn w:val="Normal"/>
    <w:link w:val="FooterChar"/>
    <w:uiPriority w:val="99"/>
    <w:unhideWhenUsed/>
    <w:rsid w:val="004149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49BA"/>
  </w:style>
  <w:style w:type="paragraph" w:styleId="ListParagraph">
    <w:name w:val="List Paragraph"/>
    <w:basedOn w:val="Normal"/>
    <w:uiPriority w:val="34"/>
    <w:qFormat/>
    <w:rsid w:val="007666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7E"/>
    <w:rPr>
      <w:rFonts w:ascii="Tahoma" w:hAnsi="Tahoma" w:cs="Tahoma"/>
      <w:sz w:val="16"/>
      <w:szCs w:val="16"/>
    </w:rPr>
  </w:style>
  <w:style w:type="paragraph" w:styleId="Header">
    <w:name w:val="header"/>
    <w:basedOn w:val="Normal"/>
    <w:link w:val="HeaderChar"/>
    <w:uiPriority w:val="99"/>
    <w:unhideWhenUsed/>
    <w:rsid w:val="004149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49BA"/>
  </w:style>
  <w:style w:type="paragraph" w:styleId="Footer">
    <w:name w:val="footer"/>
    <w:basedOn w:val="Normal"/>
    <w:link w:val="FooterChar"/>
    <w:uiPriority w:val="99"/>
    <w:unhideWhenUsed/>
    <w:rsid w:val="004149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49BA"/>
  </w:style>
  <w:style w:type="paragraph" w:styleId="ListParagraph">
    <w:name w:val="List Paragraph"/>
    <w:basedOn w:val="Normal"/>
    <w:uiPriority w:val="34"/>
    <w:qFormat/>
    <w:rsid w:val="00766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Buffer Hit Rate on Sequential</a:t>
            </a:r>
            <a:r>
              <a:rPr lang="en-CA" baseline="0"/>
              <a:t> Scan</a:t>
            </a:r>
            <a:endParaRPr lang="en-CA"/>
          </a:p>
        </c:rich>
      </c:tx>
      <c:overlay val="0"/>
    </c:title>
    <c:autoTitleDeleted val="0"/>
    <c:plotArea>
      <c:layout/>
      <c:lineChart>
        <c:grouping val="standard"/>
        <c:varyColors val="0"/>
        <c:ser>
          <c:idx val="0"/>
          <c:order val="0"/>
          <c:tx>
            <c:strRef>
              <c:f>Sheet1!$B$1</c:f>
              <c:strCache>
                <c:ptCount val="1"/>
                <c:pt idx="0">
                  <c:v>LRU</c:v>
                </c:pt>
              </c:strCache>
            </c:strRef>
          </c:tx>
          <c:cat>
            <c:numRef>
              <c:f>Sheet1!$A$2:$A$7</c:f>
              <c:numCache>
                <c:formatCode>General</c:formatCode>
                <c:ptCount val="6"/>
                <c:pt idx="0">
                  <c:v>20</c:v>
                </c:pt>
                <c:pt idx="1">
                  <c:v>40</c:v>
                </c:pt>
                <c:pt idx="2">
                  <c:v>60</c:v>
                </c:pt>
                <c:pt idx="3">
                  <c:v>80</c:v>
                </c:pt>
                <c:pt idx="4">
                  <c:v>100</c:v>
                </c:pt>
                <c:pt idx="5">
                  <c:v>120</c:v>
                </c:pt>
              </c:numCache>
            </c:numRef>
          </c:cat>
          <c:val>
            <c:numRef>
              <c:f>Sheet1!$B$2:$B$7</c:f>
              <c:numCache>
                <c:formatCode>General</c:formatCode>
                <c:ptCount val="6"/>
                <c:pt idx="0">
                  <c:v>4.1719999999999997</c:v>
                </c:pt>
                <c:pt idx="1">
                  <c:v>94.126000000000005</c:v>
                </c:pt>
                <c:pt idx="2">
                  <c:v>96.102999999999994</c:v>
                </c:pt>
                <c:pt idx="3">
                  <c:v>96.241</c:v>
                </c:pt>
                <c:pt idx="4">
                  <c:v>96.241</c:v>
                </c:pt>
                <c:pt idx="5">
                  <c:v>96.241</c:v>
                </c:pt>
              </c:numCache>
            </c:numRef>
          </c:val>
          <c:smooth val="0"/>
        </c:ser>
        <c:ser>
          <c:idx val="1"/>
          <c:order val="1"/>
          <c:tx>
            <c:strRef>
              <c:f>Sheet1!$C$1</c:f>
              <c:strCache>
                <c:ptCount val="1"/>
                <c:pt idx="0">
                  <c:v>LFU</c:v>
                </c:pt>
              </c:strCache>
            </c:strRef>
          </c:tx>
          <c:cat>
            <c:numRef>
              <c:f>Sheet1!$A$2:$A$7</c:f>
              <c:numCache>
                <c:formatCode>General</c:formatCode>
                <c:ptCount val="6"/>
                <c:pt idx="0">
                  <c:v>20</c:v>
                </c:pt>
                <c:pt idx="1">
                  <c:v>40</c:v>
                </c:pt>
                <c:pt idx="2">
                  <c:v>60</c:v>
                </c:pt>
                <c:pt idx="3">
                  <c:v>80</c:v>
                </c:pt>
                <c:pt idx="4">
                  <c:v>100</c:v>
                </c:pt>
                <c:pt idx="5">
                  <c:v>120</c:v>
                </c:pt>
              </c:numCache>
            </c:numRef>
          </c:cat>
          <c:val>
            <c:numRef>
              <c:f>Sheet1!$C$2:$C$7</c:f>
              <c:numCache>
                <c:formatCode>General</c:formatCode>
                <c:ptCount val="6"/>
                <c:pt idx="0">
                  <c:v>6.9470000000000001</c:v>
                </c:pt>
                <c:pt idx="1">
                  <c:v>8.8829999999999991</c:v>
                </c:pt>
                <c:pt idx="2">
                  <c:v>10.641999999999999</c:v>
                </c:pt>
                <c:pt idx="3">
                  <c:v>10.849</c:v>
                </c:pt>
                <c:pt idx="4">
                  <c:v>49.133000000000003</c:v>
                </c:pt>
                <c:pt idx="5">
                  <c:v>96.241</c:v>
                </c:pt>
              </c:numCache>
            </c:numRef>
          </c:val>
          <c:smooth val="0"/>
        </c:ser>
        <c:ser>
          <c:idx val="2"/>
          <c:order val="2"/>
          <c:tx>
            <c:strRef>
              <c:f>Sheet1!$D$1</c:f>
              <c:strCache>
                <c:ptCount val="1"/>
                <c:pt idx="0">
                  <c:v>MRU</c:v>
                </c:pt>
              </c:strCache>
            </c:strRef>
          </c:tx>
          <c:cat>
            <c:numRef>
              <c:f>Sheet1!$A$2:$A$7</c:f>
              <c:numCache>
                <c:formatCode>General</c:formatCode>
                <c:ptCount val="6"/>
                <c:pt idx="0">
                  <c:v>20</c:v>
                </c:pt>
                <c:pt idx="1">
                  <c:v>40</c:v>
                </c:pt>
                <c:pt idx="2">
                  <c:v>60</c:v>
                </c:pt>
                <c:pt idx="3">
                  <c:v>80</c:v>
                </c:pt>
                <c:pt idx="4">
                  <c:v>100</c:v>
                </c:pt>
                <c:pt idx="5">
                  <c:v>120</c:v>
                </c:pt>
              </c:numCache>
            </c:numRef>
          </c:cat>
          <c:val>
            <c:numRef>
              <c:f>Sheet1!$D$2:$D$7</c:f>
              <c:numCache>
                <c:formatCode>General</c:formatCode>
                <c:ptCount val="6"/>
                <c:pt idx="0">
                  <c:v>1.069</c:v>
                </c:pt>
                <c:pt idx="1">
                  <c:v>1.069</c:v>
                </c:pt>
                <c:pt idx="2">
                  <c:v>1.069</c:v>
                </c:pt>
                <c:pt idx="3">
                  <c:v>1.069</c:v>
                </c:pt>
                <c:pt idx="4">
                  <c:v>1.069</c:v>
                </c:pt>
                <c:pt idx="5">
                  <c:v>1.069</c:v>
                </c:pt>
              </c:numCache>
            </c:numRef>
          </c:val>
          <c:smooth val="0"/>
        </c:ser>
        <c:dLbls>
          <c:showLegendKey val="0"/>
          <c:showVal val="0"/>
          <c:showCatName val="0"/>
          <c:showSerName val="0"/>
          <c:showPercent val="0"/>
          <c:showBubbleSize val="0"/>
        </c:dLbls>
        <c:hiLowLines/>
        <c:marker val="1"/>
        <c:smooth val="0"/>
        <c:axId val="79103872"/>
        <c:axId val="80277888"/>
      </c:lineChart>
      <c:catAx>
        <c:axId val="79103872"/>
        <c:scaling>
          <c:orientation val="minMax"/>
        </c:scaling>
        <c:delete val="0"/>
        <c:axPos val="b"/>
        <c:title>
          <c:tx>
            <c:rich>
              <a:bodyPr/>
              <a:lstStyle/>
              <a:p>
                <a:pPr>
                  <a:defRPr/>
                </a:pPr>
                <a:r>
                  <a:rPr lang="en-CA"/>
                  <a:t>Buffer</a:t>
                </a:r>
                <a:r>
                  <a:rPr lang="en-CA" baseline="0"/>
                  <a:t> Cache Size</a:t>
                </a:r>
                <a:endParaRPr lang="en-CA"/>
              </a:p>
            </c:rich>
          </c:tx>
          <c:overlay val="0"/>
        </c:title>
        <c:numFmt formatCode="General" sourceLinked="1"/>
        <c:majorTickMark val="none"/>
        <c:minorTickMark val="none"/>
        <c:tickLblPos val="nextTo"/>
        <c:crossAx val="80277888"/>
        <c:crosses val="autoZero"/>
        <c:auto val="1"/>
        <c:lblAlgn val="ctr"/>
        <c:lblOffset val="100"/>
        <c:noMultiLvlLbl val="0"/>
      </c:catAx>
      <c:valAx>
        <c:axId val="80277888"/>
        <c:scaling>
          <c:orientation val="minMax"/>
        </c:scaling>
        <c:delete val="0"/>
        <c:axPos val="l"/>
        <c:majorGridlines/>
        <c:title>
          <c:tx>
            <c:rich>
              <a:bodyPr/>
              <a:lstStyle/>
              <a:p>
                <a:pPr>
                  <a:defRPr/>
                </a:pPr>
                <a:r>
                  <a:rPr lang="en-CA"/>
                  <a:t>Buffer</a:t>
                </a:r>
                <a:r>
                  <a:rPr lang="en-CA" baseline="0"/>
                  <a:t> Hit Rate</a:t>
                </a:r>
                <a:endParaRPr lang="en-CA"/>
              </a:p>
            </c:rich>
          </c:tx>
          <c:overlay val="0"/>
        </c:title>
        <c:numFmt formatCode="General" sourceLinked="1"/>
        <c:majorTickMark val="out"/>
        <c:minorTickMark val="none"/>
        <c:tickLblPos val="nextTo"/>
        <c:crossAx val="791038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Buffer Hit Rate on Index</a:t>
            </a:r>
            <a:r>
              <a:rPr lang="en-CA" baseline="0"/>
              <a:t> Scan</a:t>
            </a:r>
            <a:endParaRPr lang="en-CA"/>
          </a:p>
        </c:rich>
      </c:tx>
      <c:overlay val="0"/>
    </c:title>
    <c:autoTitleDeleted val="0"/>
    <c:plotArea>
      <c:layout/>
      <c:lineChart>
        <c:grouping val="standard"/>
        <c:varyColors val="0"/>
        <c:ser>
          <c:idx val="0"/>
          <c:order val="0"/>
          <c:tx>
            <c:strRef>
              <c:f>Sheet1!$B$1</c:f>
              <c:strCache>
                <c:ptCount val="1"/>
                <c:pt idx="0">
                  <c:v>LRU</c:v>
                </c:pt>
              </c:strCache>
            </c:strRef>
          </c:tx>
          <c:cat>
            <c:numRef>
              <c:f>Sheet1!$A$2:$A$7</c:f>
              <c:numCache>
                <c:formatCode>General</c:formatCode>
                <c:ptCount val="6"/>
                <c:pt idx="0">
                  <c:v>20</c:v>
                </c:pt>
                <c:pt idx="1">
                  <c:v>40</c:v>
                </c:pt>
                <c:pt idx="2">
                  <c:v>60</c:v>
                </c:pt>
                <c:pt idx="3">
                  <c:v>80</c:v>
                </c:pt>
                <c:pt idx="4">
                  <c:v>100</c:v>
                </c:pt>
                <c:pt idx="5">
                  <c:v>120</c:v>
                </c:pt>
              </c:numCache>
            </c:numRef>
          </c:cat>
          <c:val>
            <c:numRef>
              <c:f>Sheet1!$B$2:$B$7</c:f>
              <c:numCache>
                <c:formatCode>General</c:formatCode>
                <c:ptCount val="6"/>
                <c:pt idx="0">
                  <c:v>94.828000000000003</c:v>
                </c:pt>
                <c:pt idx="1">
                  <c:v>96.284000000000006</c:v>
                </c:pt>
                <c:pt idx="2">
                  <c:v>96.513000000000005</c:v>
                </c:pt>
                <c:pt idx="3">
                  <c:v>96.742999999999995</c:v>
                </c:pt>
                <c:pt idx="4">
                  <c:v>96.742999999999995</c:v>
                </c:pt>
                <c:pt idx="5">
                  <c:v>96.742999999999995</c:v>
                </c:pt>
              </c:numCache>
            </c:numRef>
          </c:val>
          <c:smooth val="0"/>
        </c:ser>
        <c:ser>
          <c:idx val="1"/>
          <c:order val="1"/>
          <c:tx>
            <c:strRef>
              <c:f>Sheet1!$C$1</c:f>
              <c:strCache>
                <c:ptCount val="1"/>
                <c:pt idx="0">
                  <c:v>LFU</c:v>
                </c:pt>
              </c:strCache>
            </c:strRef>
          </c:tx>
          <c:cat>
            <c:numRef>
              <c:f>Sheet1!$A$2:$A$7</c:f>
              <c:numCache>
                <c:formatCode>General</c:formatCode>
                <c:ptCount val="6"/>
                <c:pt idx="0">
                  <c:v>20</c:v>
                </c:pt>
                <c:pt idx="1">
                  <c:v>40</c:v>
                </c:pt>
                <c:pt idx="2">
                  <c:v>60</c:v>
                </c:pt>
                <c:pt idx="3">
                  <c:v>80</c:v>
                </c:pt>
                <c:pt idx="4">
                  <c:v>100</c:v>
                </c:pt>
                <c:pt idx="5">
                  <c:v>120</c:v>
                </c:pt>
              </c:numCache>
            </c:numRef>
          </c:cat>
          <c:val>
            <c:numRef>
              <c:f>Sheet1!$C$2:$C$7</c:f>
              <c:numCache>
                <c:formatCode>General</c:formatCode>
                <c:ptCount val="6"/>
                <c:pt idx="0">
                  <c:v>68.959999999999994</c:v>
                </c:pt>
                <c:pt idx="1">
                  <c:v>70.453999999999994</c:v>
                </c:pt>
                <c:pt idx="2">
                  <c:v>72.100999999999999</c:v>
                </c:pt>
                <c:pt idx="3">
                  <c:v>72.254999999999995</c:v>
                </c:pt>
                <c:pt idx="4">
                  <c:v>96.742999999999995</c:v>
                </c:pt>
                <c:pt idx="5">
                  <c:v>96.742999999999995</c:v>
                </c:pt>
              </c:numCache>
            </c:numRef>
          </c:val>
          <c:smooth val="0"/>
        </c:ser>
        <c:ser>
          <c:idx val="2"/>
          <c:order val="2"/>
          <c:tx>
            <c:strRef>
              <c:f>Sheet1!$D$1</c:f>
              <c:strCache>
                <c:ptCount val="1"/>
                <c:pt idx="0">
                  <c:v>MRU</c:v>
                </c:pt>
              </c:strCache>
            </c:strRef>
          </c:tx>
          <c:cat>
            <c:numRef>
              <c:f>Sheet1!$A$2:$A$7</c:f>
              <c:numCache>
                <c:formatCode>General</c:formatCode>
                <c:ptCount val="6"/>
                <c:pt idx="0">
                  <c:v>20</c:v>
                </c:pt>
                <c:pt idx="1">
                  <c:v>40</c:v>
                </c:pt>
                <c:pt idx="2">
                  <c:v>60</c:v>
                </c:pt>
                <c:pt idx="3">
                  <c:v>80</c:v>
                </c:pt>
                <c:pt idx="4">
                  <c:v>100</c:v>
                </c:pt>
                <c:pt idx="5">
                  <c:v>120</c:v>
                </c:pt>
              </c:numCache>
            </c:numRef>
          </c:cat>
          <c:val>
            <c:numRef>
              <c:f>Sheet1!$D$2:$D$7</c:f>
              <c:numCache>
                <c:formatCode>General</c:formatCode>
                <c:ptCount val="6"/>
                <c:pt idx="0">
                  <c:v>54.645000000000003</c:v>
                </c:pt>
                <c:pt idx="1">
                  <c:v>54.645000000000003</c:v>
                </c:pt>
                <c:pt idx="2">
                  <c:v>54.645000000000003</c:v>
                </c:pt>
                <c:pt idx="3">
                  <c:v>54.645000000000003</c:v>
                </c:pt>
                <c:pt idx="4">
                  <c:v>54.645000000000003</c:v>
                </c:pt>
                <c:pt idx="5">
                  <c:v>54.645000000000003</c:v>
                </c:pt>
              </c:numCache>
            </c:numRef>
          </c:val>
          <c:smooth val="0"/>
        </c:ser>
        <c:dLbls>
          <c:showLegendKey val="0"/>
          <c:showVal val="0"/>
          <c:showCatName val="0"/>
          <c:showSerName val="0"/>
          <c:showPercent val="0"/>
          <c:showBubbleSize val="0"/>
        </c:dLbls>
        <c:hiLowLines/>
        <c:marker val="1"/>
        <c:smooth val="0"/>
        <c:axId val="29435392"/>
        <c:axId val="29437312"/>
      </c:lineChart>
      <c:catAx>
        <c:axId val="29435392"/>
        <c:scaling>
          <c:orientation val="minMax"/>
        </c:scaling>
        <c:delete val="0"/>
        <c:axPos val="b"/>
        <c:title>
          <c:tx>
            <c:rich>
              <a:bodyPr/>
              <a:lstStyle/>
              <a:p>
                <a:pPr>
                  <a:defRPr/>
                </a:pPr>
                <a:r>
                  <a:rPr lang="en-CA"/>
                  <a:t>Buffer</a:t>
                </a:r>
                <a:r>
                  <a:rPr lang="en-CA" baseline="0"/>
                  <a:t> Cache Size</a:t>
                </a:r>
                <a:endParaRPr lang="en-CA"/>
              </a:p>
            </c:rich>
          </c:tx>
          <c:overlay val="0"/>
        </c:title>
        <c:numFmt formatCode="General" sourceLinked="1"/>
        <c:majorTickMark val="none"/>
        <c:minorTickMark val="none"/>
        <c:tickLblPos val="nextTo"/>
        <c:crossAx val="29437312"/>
        <c:crosses val="autoZero"/>
        <c:auto val="1"/>
        <c:lblAlgn val="ctr"/>
        <c:lblOffset val="100"/>
        <c:noMultiLvlLbl val="0"/>
      </c:catAx>
      <c:valAx>
        <c:axId val="29437312"/>
        <c:scaling>
          <c:orientation val="minMax"/>
        </c:scaling>
        <c:delete val="0"/>
        <c:axPos val="l"/>
        <c:majorGridlines/>
        <c:title>
          <c:tx>
            <c:rich>
              <a:bodyPr/>
              <a:lstStyle/>
              <a:p>
                <a:pPr>
                  <a:defRPr/>
                </a:pPr>
                <a:r>
                  <a:rPr lang="en-CA"/>
                  <a:t>Buffer</a:t>
                </a:r>
                <a:r>
                  <a:rPr lang="en-CA" baseline="0"/>
                  <a:t> Hit Rate</a:t>
                </a:r>
                <a:endParaRPr lang="en-CA"/>
              </a:p>
            </c:rich>
          </c:tx>
          <c:overlay val="0"/>
        </c:title>
        <c:numFmt formatCode="General" sourceLinked="1"/>
        <c:majorTickMark val="out"/>
        <c:minorTickMark val="none"/>
        <c:tickLblPos val="nextTo"/>
        <c:crossAx val="2943539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B81D770EB048C99463EA333569B481"/>
        <w:category>
          <w:name w:val="General"/>
          <w:gallery w:val="placeholder"/>
        </w:category>
        <w:types>
          <w:type w:val="bbPlcHdr"/>
        </w:types>
        <w:behaviors>
          <w:behavior w:val="content"/>
        </w:behaviors>
        <w:guid w:val="{397BE497-41F5-41DA-8F06-11B292380696}"/>
      </w:docPartPr>
      <w:docPartBody>
        <w:p w:rsidR="009629D6" w:rsidRDefault="00C822FA" w:rsidP="00C822FA">
          <w:pPr>
            <w:pStyle w:val="6FB81D770EB048C99463EA333569B48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FA"/>
    <w:rsid w:val="00353156"/>
    <w:rsid w:val="009043F8"/>
    <w:rsid w:val="009629D6"/>
    <w:rsid w:val="00C822FA"/>
    <w:rsid w:val="00CB59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1D770EB048C99463EA333569B481">
    <w:name w:val="6FB81D770EB048C99463EA333569B481"/>
    <w:rsid w:val="00C822FA"/>
  </w:style>
  <w:style w:type="paragraph" w:customStyle="1" w:styleId="03950A15641E4B4BA0ADED9CEA8E8C90">
    <w:name w:val="03950A15641E4B4BA0ADED9CEA8E8C90"/>
    <w:rsid w:val="00C822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1D770EB048C99463EA333569B481">
    <w:name w:val="6FB81D770EB048C99463EA333569B481"/>
    <w:rsid w:val="00C822FA"/>
  </w:style>
  <w:style w:type="paragraph" w:customStyle="1" w:styleId="03950A15641E4B4BA0ADED9CEA8E8C90">
    <w:name w:val="03950A15641E4B4BA0ADED9CEA8E8C90"/>
    <w:rsid w:val="00C82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CSCD43 Assignment 1</dc:title>
  <dc:subject/>
  <dc:creator>KOBE</dc:creator>
  <cp:keywords/>
  <dc:description/>
  <cp:lastModifiedBy>%username%</cp:lastModifiedBy>
  <cp:revision>44</cp:revision>
  <dcterms:created xsi:type="dcterms:W3CDTF">2011-10-02T00:42:00Z</dcterms:created>
  <dcterms:modified xsi:type="dcterms:W3CDTF">2011-10-03T22:58:00Z</dcterms:modified>
</cp:coreProperties>
</file>