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604" w14:textId="77777777" w:rsidR="004B479B" w:rsidRDefault="004B479B" w:rsidP="004B479B">
      <w:r>
        <w:t>Complete Exercises 11.3, 11.10, 11.11 (refer to Chapter 10 for evaluating Cohen’s d as a measure of effect size)</w:t>
      </w:r>
    </w:p>
    <w:p w14:paraId="5EC550B1" w14:textId="77777777" w:rsidR="004B479B" w:rsidRDefault="004B479B" w:rsidP="004B479B"/>
    <w:p w14:paraId="646990A9" w14:textId="178770A3" w:rsidR="009D5F15" w:rsidRDefault="004B479B" w:rsidP="004B479B">
      <w:r>
        <w:t>Hand in Exercises 11.3, 11.10, 11.11.</w:t>
      </w:r>
    </w:p>
    <w:p w14:paraId="41F8E871" w14:textId="04FA1EFB" w:rsidR="004B479B" w:rsidRDefault="004B479B" w:rsidP="004B479B"/>
    <w:p w14:paraId="0A833431" w14:textId="475D4BEA" w:rsidR="004B479B" w:rsidRDefault="004B479B" w:rsidP="004B479B">
      <w:r>
        <w:rPr>
          <w:rFonts w:hint="eastAsia"/>
        </w:rPr>
        <w:t>1</w:t>
      </w:r>
      <w:r>
        <w:t>1.3</w:t>
      </w:r>
    </w:p>
    <w:p w14:paraId="2AD20125" w14:textId="5582A907" w:rsidR="00860A3E" w:rsidRDefault="006C4298" w:rsidP="004B479B">
      <w:r>
        <w:rPr>
          <w:rFonts w:hint="eastAsia"/>
        </w:rPr>
        <w:t>(</w:t>
      </w:r>
      <w:r>
        <w:t xml:space="preserve">a) </w:t>
      </w:r>
    </w:p>
    <w:p w14:paraId="109B616A" w14:textId="74875D83" w:rsidR="00860A3E" w:rsidRPr="00860A3E" w:rsidRDefault="00860A3E" w:rsidP="00860A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0A3E">
        <w:rPr>
          <w:rFonts w:ascii="Consolas" w:eastAsia="宋体" w:hAnsi="Consolas" w:cs="宋体"/>
          <w:color w:val="569CD6"/>
          <w:kern w:val="0"/>
          <w:szCs w:val="21"/>
        </w:rPr>
        <w:t>ttest</w:t>
      </w:r>
      <w:r w:rsidRPr="00860A3E">
        <w:rPr>
          <w:rFonts w:ascii="Consolas" w:eastAsia="宋体" w:hAnsi="Consolas" w:cs="宋体"/>
          <w:color w:val="D4D4D4"/>
          <w:kern w:val="0"/>
          <w:szCs w:val="21"/>
        </w:rPr>
        <w:t xml:space="preserve"> BMI1==</w:t>
      </w:r>
      <w:r w:rsidRPr="00860A3E">
        <w:rPr>
          <w:rFonts w:ascii="Consolas" w:eastAsia="宋体" w:hAnsi="Consolas" w:cs="宋体"/>
          <w:color w:val="B5CEA8"/>
          <w:kern w:val="0"/>
          <w:szCs w:val="21"/>
        </w:rPr>
        <w:t>25</w:t>
      </w:r>
    </w:p>
    <w:p w14:paraId="6136220D" w14:textId="081B712A" w:rsidR="006C4298" w:rsidRDefault="00860A3E" w:rsidP="004B479B">
      <w:r w:rsidRPr="00860A3E">
        <w:rPr>
          <w:noProof/>
        </w:rPr>
        <w:drawing>
          <wp:inline distT="0" distB="0" distL="0" distR="0" wp14:anchorId="71688626" wp14:editId="6E36FE8D">
            <wp:extent cx="5274310" cy="1767205"/>
            <wp:effectExtent l="0" t="0" r="2540" b="4445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46D" w14:textId="65A88115" w:rsidR="00860A3E" w:rsidRDefault="00860A3E" w:rsidP="004B479B">
      <w:r>
        <w:t>Since the sample size = 400, it’s a large sample size, so the assumption</w:t>
      </w:r>
      <w:r w:rsidR="006679FA" w:rsidRPr="006679FA">
        <w:t xml:space="preserve"> </w:t>
      </w:r>
      <w:r w:rsidR="006679FA">
        <w:t>of normality</w:t>
      </w:r>
      <w:r>
        <w:t xml:space="preserve"> is not an issue for this analysis.</w:t>
      </w:r>
    </w:p>
    <w:p w14:paraId="09BD5E89" w14:textId="13E72B0D" w:rsidR="00860A3E" w:rsidRDefault="00860A3E" w:rsidP="004B479B">
      <w:r>
        <w:rPr>
          <w:rFonts w:hint="eastAsia"/>
        </w:rPr>
        <w:t>(</w:t>
      </w:r>
      <w:r>
        <w:t xml:space="preserve">b) </w:t>
      </w:r>
      <w:r w:rsidR="00D93CB6">
        <w:t xml:space="preserve">H0: </w:t>
      </w:r>
      <w:bookmarkStart w:id="0" w:name="_Hlk87311948"/>
      <w:r w:rsidR="00D93CB6" w:rsidRPr="00A4678F">
        <w:rPr>
          <w:rFonts w:cs="Times New Roman"/>
        </w:rPr>
        <w:t>μ = 25; H1: μ &gt; 25</w:t>
      </w:r>
      <w:bookmarkEnd w:id="0"/>
    </w:p>
    <w:p w14:paraId="319A0A9E" w14:textId="49D49285" w:rsidR="00D93CB6" w:rsidRDefault="00D93CB6" w:rsidP="004B479B">
      <w:r>
        <w:rPr>
          <w:rFonts w:hint="eastAsia"/>
        </w:rPr>
        <w:t>(</w:t>
      </w:r>
      <w:r>
        <w:t>c)</w:t>
      </w:r>
      <w:r w:rsidR="00982AC8">
        <w:t xml:space="preserve"> p &lt; 0.01, so we can say that </w:t>
      </w:r>
      <w:r w:rsidR="00A860BC">
        <w:t>the mean body mass index of the population of non-institutionalized adults has an extremely significant statistical difference than 25</w:t>
      </w:r>
      <w:r w:rsidR="00897F3D">
        <w:t xml:space="preserve">. </w:t>
      </w:r>
      <w:r w:rsidR="009528E3">
        <w:t>And since the test is one-tailed, so the mean body mass index of the population of non-institutionalized adults is greater than 25</w:t>
      </w:r>
    </w:p>
    <w:p w14:paraId="555EFDEE" w14:textId="40AF67BD" w:rsidR="009528E3" w:rsidRDefault="009528E3" w:rsidP="004B479B">
      <w:r>
        <w:t xml:space="preserve">(d) </w:t>
      </w:r>
      <w:r w:rsidR="00A4678F">
        <w:t>The Cohen’s d = (</w:t>
      </w:r>
      <w:r w:rsidR="00A4678F" w:rsidRPr="00A4678F">
        <w:t xml:space="preserve">25.74253 </w:t>
      </w:r>
      <w:r w:rsidR="00A4678F">
        <w:t xml:space="preserve">- </w:t>
      </w:r>
      <w:r w:rsidR="00A4678F">
        <w:rPr>
          <w:rFonts w:hint="eastAsia"/>
        </w:rPr>
        <w:t>2</w:t>
      </w:r>
      <w:r w:rsidR="00A4678F">
        <w:t>5)/</w:t>
      </w:r>
      <w:r w:rsidR="00A4678F" w:rsidRPr="00A4678F">
        <w:t xml:space="preserve"> 3.911743</w:t>
      </w:r>
      <w:r w:rsidR="00A4678F">
        <w:t xml:space="preserve"> = 0.1898</w:t>
      </w:r>
      <w:r w:rsidR="00BA503C">
        <w:t>. So, the effect size is small.</w:t>
      </w:r>
    </w:p>
    <w:p w14:paraId="6330A0E6" w14:textId="62E9C100" w:rsidR="003F6060" w:rsidRDefault="00260025" w:rsidP="004B479B">
      <w:r>
        <w:t xml:space="preserve">(e) </w:t>
      </w:r>
      <w:r w:rsidR="003F6060">
        <w:t xml:space="preserve">because the confidence interval requires the value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3F6060">
        <w:rPr>
          <w:rFonts w:hint="eastAsia"/>
        </w:rPr>
        <w:t xml:space="preserve"> </w:t>
      </w:r>
      <w:r w:rsidR="003E72C7">
        <w:t>in the calculation. In this question, the population standard deviation is not known, instead, it’s esti</w:t>
      </w:r>
      <w:r w:rsidR="003E72C7">
        <w:rPr>
          <w:rFonts w:hint="eastAsia"/>
        </w:rPr>
        <w:t>m</w:t>
      </w:r>
      <w:r w:rsidR="003E72C7">
        <w:t>ated. So, it is not a precise way to determine whether the mean body mass index of the population of non-institutionalized adults is greater than 25.</w:t>
      </w:r>
    </w:p>
    <w:p w14:paraId="3C9E1782" w14:textId="17F8AF65" w:rsidR="00264C49" w:rsidRDefault="00264C49" w:rsidP="004B479B"/>
    <w:p w14:paraId="3A6D6F03" w14:textId="0B263F86" w:rsidR="00264C49" w:rsidRDefault="00264C49" w:rsidP="004B479B">
      <w:r>
        <w:rPr>
          <w:rFonts w:hint="eastAsia"/>
        </w:rPr>
        <w:t>1</w:t>
      </w:r>
      <w:r>
        <w:t xml:space="preserve">1.10 </w:t>
      </w:r>
    </w:p>
    <w:p w14:paraId="555FBBA4" w14:textId="21F650F7" w:rsidR="006679FA" w:rsidRDefault="006679FA" w:rsidP="004B479B">
      <w:r w:rsidRPr="006679FA">
        <w:rPr>
          <w:noProof/>
        </w:rPr>
        <w:drawing>
          <wp:inline distT="0" distB="0" distL="0" distR="0" wp14:anchorId="1D105FCD" wp14:editId="24B72AEB">
            <wp:extent cx="5274310" cy="2021840"/>
            <wp:effectExtent l="0" t="0" r="254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8EE" w14:textId="77777777" w:rsidR="006679FA" w:rsidRPr="006679FA" w:rsidRDefault="006679FA" w:rsidP="00667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79FA">
        <w:rPr>
          <w:rFonts w:ascii="Consolas" w:eastAsia="宋体" w:hAnsi="Consolas" w:cs="宋体"/>
          <w:color w:val="569CD6"/>
          <w:kern w:val="0"/>
          <w:szCs w:val="21"/>
        </w:rPr>
        <w:t>ttest</w:t>
      </w:r>
      <w:r w:rsidRPr="006679FA">
        <w:rPr>
          <w:rFonts w:ascii="Consolas" w:eastAsia="宋体" w:hAnsi="Consolas" w:cs="宋体"/>
          <w:color w:val="D4D4D4"/>
          <w:kern w:val="0"/>
          <w:szCs w:val="21"/>
        </w:rPr>
        <w:t xml:space="preserve"> achsls12 == </w:t>
      </w:r>
      <w:r w:rsidRPr="006679FA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6679F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679F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679FA">
        <w:rPr>
          <w:rFonts w:ascii="Consolas" w:eastAsia="宋体" w:hAnsi="Consolas" w:cs="宋体"/>
          <w:color w:val="D4D4D4"/>
          <w:kern w:val="0"/>
          <w:szCs w:val="21"/>
        </w:rPr>
        <w:t xml:space="preserve"> hsprog == </w:t>
      </w:r>
      <w:r w:rsidRPr="006679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679FA">
        <w:rPr>
          <w:rFonts w:ascii="Consolas" w:eastAsia="宋体" w:hAnsi="Consolas" w:cs="宋体"/>
          <w:color w:val="6A9955"/>
          <w:kern w:val="0"/>
          <w:szCs w:val="21"/>
        </w:rPr>
        <w:t xml:space="preserve"> //11.10</w:t>
      </w:r>
    </w:p>
    <w:p w14:paraId="018CD42C" w14:textId="77777777" w:rsidR="006679FA" w:rsidRPr="003F6060" w:rsidRDefault="006679FA" w:rsidP="004B479B"/>
    <w:p w14:paraId="424823E7" w14:textId="164DE8CD" w:rsidR="003F6060" w:rsidRPr="006679FA" w:rsidRDefault="004F38CA" w:rsidP="004B479B">
      <w:r>
        <w:rPr>
          <w:rFonts w:hint="eastAsia"/>
        </w:rPr>
        <w:lastRenderedPageBreak/>
        <w:t>(</w:t>
      </w:r>
      <w:r>
        <w:t xml:space="preserve">a) </w:t>
      </w:r>
      <w:r w:rsidR="006679FA">
        <w:t>Since the sample size = 149, it’s a large sample size, so the assumption of normality is not an issue for this analysis.</w:t>
      </w:r>
    </w:p>
    <w:p w14:paraId="3D04FCEA" w14:textId="7ED0D6B8" w:rsidR="004F38CA" w:rsidRDefault="004F38CA" w:rsidP="004B479B">
      <w:r>
        <w:rPr>
          <w:rFonts w:hint="eastAsia"/>
        </w:rPr>
        <w:t>(</w:t>
      </w:r>
      <w:r>
        <w:t xml:space="preserve">b) </w:t>
      </w:r>
      <w:r w:rsidR="003067CD" w:rsidRPr="003067CD">
        <w:rPr>
          <w:rFonts w:cs="Times New Roman"/>
        </w:rPr>
        <w:t xml:space="preserve">H0: μ = </w:t>
      </w:r>
      <w:r w:rsidR="003067CD">
        <w:rPr>
          <w:rFonts w:cs="Times New Roman"/>
        </w:rPr>
        <w:t>55</w:t>
      </w:r>
      <w:r w:rsidR="003067CD" w:rsidRPr="003067CD">
        <w:rPr>
          <w:rFonts w:cs="Times New Roman"/>
        </w:rPr>
        <w:t xml:space="preserve">; H1: μ &gt; </w:t>
      </w:r>
      <w:r w:rsidR="003067CD">
        <w:rPr>
          <w:rFonts w:cs="Times New Roman"/>
        </w:rPr>
        <w:t>55</w:t>
      </w:r>
    </w:p>
    <w:p w14:paraId="2A9A7F61" w14:textId="7159A25C" w:rsidR="004F38CA" w:rsidRDefault="004F38CA" w:rsidP="004B479B">
      <w:r>
        <w:rPr>
          <w:rFonts w:hint="eastAsia"/>
        </w:rPr>
        <w:t>(</w:t>
      </w:r>
      <w:r>
        <w:t xml:space="preserve">c) </w:t>
      </w:r>
      <w:r w:rsidR="00F529EC">
        <w:t xml:space="preserve">The sample mean = 57.322 &gt; 55, so the alternative hypothesis is supported </w:t>
      </w:r>
    </w:p>
    <w:p w14:paraId="14421216" w14:textId="6A253C66" w:rsidR="004F38CA" w:rsidRDefault="004F38CA" w:rsidP="004B479B">
      <w:r>
        <w:rPr>
          <w:rFonts w:hint="eastAsia"/>
        </w:rPr>
        <w:t>(</w:t>
      </w:r>
      <w:r>
        <w:t xml:space="preserve">d) </w:t>
      </w:r>
      <w:r w:rsidR="00F529EC">
        <w:t>p = 0.0006</w:t>
      </w:r>
    </w:p>
    <w:p w14:paraId="448D558B" w14:textId="13BFC9B2" w:rsidR="004F38CA" w:rsidRDefault="004F38CA" w:rsidP="004B479B">
      <w:r>
        <w:rPr>
          <w:rFonts w:hint="eastAsia"/>
        </w:rPr>
        <w:t>(</w:t>
      </w:r>
      <w:r>
        <w:t>e)</w:t>
      </w:r>
      <w:r w:rsidR="006A63C8">
        <w:t xml:space="preserve"> yes, because p &lt; 0.01</w:t>
      </w:r>
    </w:p>
    <w:p w14:paraId="45262E3A" w14:textId="398AF7B2" w:rsidR="004F38CA" w:rsidRDefault="004F38CA" w:rsidP="004B479B">
      <w:r>
        <w:rPr>
          <w:rFonts w:hint="eastAsia"/>
        </w:rPr>
        <w:t>(</w:t>
      </w:r>
      <w:r>
        <w:t xml:space="preserve">f) </w:t>
      </w:r>
      <w:r w:rsidR="00E56FEE">
        <w:t xml:space="preserve">The mean of social studies achievement score </w:t>
      </w:r>
      <w:r w:rsidR="003E1586">
        <w:t>for</w:t>
      </w:r>
      <w:r w:rsidR="00E56FEE">
        <w:t xml:space="preserve"> those who attend rigorous academic schools</w:t>
      </w:r>
      <w:r w:rsidR="003E1586">
        <w:t xml:space="preserve"> (p** = 0.0006) is </w:t>
      </w:r>
      <w:r w:rsidR="003E1586" w:rsidRPr="003E1586">
        <w:t>significant</w:t>
      </w:r>
      <w:r w:rsidR="003E1586">
        <w:t>ly</w:t>
      </w:r>
      <w:r w:rsidR="003E1586" w:rsidRPr="003E1586">
        <w:t xml:space="preserve"> </w:t>
      </w:r>
      <w:r w:rsidR="003E1586">
        <w:t>larger</w:t>
      </w:r>
      <w:r w:rsidR="003E1586" w:rsidRPr="003E1586">
        <w:t xml:space="preserve"> than</w:t>
      </w:r>
      <w:r w:rsidR="003E1586">
        <w:t xml:space="preserve"> 55.</w:t>
      </w:r>
    </w:p>
    <w:p w14:paraId="201DF4CA" w14:textId="20AE65D8" w:rsidR="004F38CA" w:rsidRDefault="004F38CA" w:rsidP="004B479B">
      <w:r>
        <w:rPr>
          <w:rFonts w:hint="eastAsia"/>
        </w:rPr>
        <w:t>(</w:t>
      </w:r>
      <w:r>
        <w:t xml:space="preserve">g) </w:t>
      </w:r>
      <w:r w:rsidR="00DA103D">
        <w:t>Cohen’s d = (</w:t>
      </w:r>
      <w:r w:rsidR="00DA103D" w:rsidRPr="00DA103D">
        <w:t>57.32235</w:t>
      </w:r>
      <w:r w:rsidR="00DA103D">
        <w:t xml:space="preserve"> – 55)/</w:t>
      </w:r>
      <w:r w:rsidR="00DA103D" w:rsidRPr="00DA103D">
        <w:t xml:space="preserve"> 8.555241</w:t>
      </w:r>
      <w:r w:rsidR="00DA103D">
        <w:t xml:space="preserve"> = 0.27145, </w:t>
      </w:r>
      <w:r w:rsidR="00605F62">
        <w:rPr>
          <w:rFonts w:hint="eastAsia"/>
        </w:rPr>
        <w:t>s</w:t>
      </w:r>
      <w:r w:rsidR="00605F62">
        <w:t>o it is between a small and medium size.</w:t>
      </w:r>
    </w:p>
    <w:p w14:paraId="64473582" w14:textId="16E1276E" w:rsidR="003E2E09" w:rsidRDefault="003E2E09" w:rsidP="004B479B">
      <w:pPr>
        <w:rPr>
          <w:rFonts w:hint="eastAsia"/>
        </w:rPr>
      </w:pPr>
      <w:r>
        <w:rPr>
          <w:rFonts w:hint="eastAsia"/>
        </w:rPr>
        <w:t>(</w:t>
      </w:r>
      <w:r>
        <w:t xml:space="preserve">h) </w:t>
      </w:r>
      <w:r w:rsidR="00123763">
        <w:t>The standard deviation value o</w:t>
      </w:r>
      <w:r w:rsidR="00382034">
        <w:t xml:space="preserve">f 8.56 represents the </w:t>
      </w:r>
      <w:r w:rsidR="00EE004D">
        <w:t>estimate of the population standard deviation.</w:t>
      </w:r>
      <w:r w:rsidR="003C4B1E">
        <w:t xml:space="preserve"> The </w:t>
      </w:r>
      <w:r w:rsidR="00666765">
        <w:t xml:space="preserve">standard error of the mean value of 0.7 represents the </w:t>
      </w:r>
      <w:r w:rsidR="00666765" w:rsidRPr="00666765">
        <w:t>reliability</w:t>
      </w:r>
      <w:r w:rsidR="00666765">
        <w:t xml:space="preserve"> of mean, which indicates the spread of the mean of the sample size. </w:t>
      </w:r>
      <w:r w:rsidR="00F7384E">
        <w:t xml:space="preserve">This occurs because data points in the sample size is randomly selected from the population, and there will always be a sampling error during this process. </w:t>
      </w:r>
      <w:r w:rsidR="00F7384E" w:rsidRPr="00F7384E">
        <w:t xml:space="preserve">The standard error of the </w:t>
      </w:r>
      <w:r w:rsidR="00F7384E">
        <w:t xml:space="preserve">sample </w:t>
      </w:r>
      <w:r w:rsidR="00F7384E" w:rsidRPr="00F7384E">
        <w:t>mean value</w:t>
      </w:r>
      <w:r w:rsidR="00F7384E">
        <w:t xml:space="preserve"> is used to describe the </w:t>
      </w:r>
      <w:r w:rsidR="00F7384E">
        <w:rPr>
          <w:rFonts w:hint="eastAsia"/>
        </w:rPr>
        <w:t>size</w:t>
      </w:r>
      <w:r w:rsidR="00F7384E">
        <w:t xml:space="preserve"> of the sampling error.</w:t>
      </w:r>
    </w:p>
    <w:p w14:paraId="7D139351" w14:textId="56B271E3" w:rsidR="003261C5" w:rsidRDefault="004F38CA" w:rsidP="004B479B">
      <w:r>
        <w:rPr>
          <w:rFonts w:hint="eastAsia"/>
        </w:rPr>
        <w:t>(</w:t>
      </w:r>
      <w:r>
        <w:t xml:space="preserve">i) </w:t>
      </w:r>
      <w:r w:rsidR="003261C5">
        <w:t xml:space="preserve">the p-value will be larger.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den>
        </m:f>
      </m:oMath>
      <w:r w:rsidR="003261C5">
        <w:t xml:space="preserve">, Since the </w:t>
      </w:r>
      <w:r w:rsidR="00EB7887" w:rsidRPr="00EB7887">
        <w:t>denominator</w:t>
      </w:r>
      <w:r w:rsidR="00EB7887">
        <w:t xml:space="preserve"> of equation t becomes larger, t becomes smaller. As a result, p-value will become larger.</w:t>
      </w:r>
    </w:p>
    <w:p w14:paraId="16C803E2" w14:textId="1249B698" w:rsidR="00F7384E" w:rsidRDefault="00F7384E" w:rsidP="004B479B"/>
    <w:p w14:paraId="30EE8F41" w14:textId="2B17E1D8" w:rsidR="00F7384E" w:rsidRDefault="00F7384E" w:rsidP="004B479B">
      <w:r>
        <w:rPr>
          <w:rFonts w:hint="eastAsia"/>
        </w:rPr>
        <w:t>1</w:t>
      </w:r>
      <w:r>
        <w:t>1.11</w:t>
      </w:r>
    </w:p>
    <w:p w14:paraId="4E3FEFB0" w14:textId="3C3F6342" w:rsidR="00F7384E" w:rsidRDefault="00F7384E" w:rsidP="004B479B">
      <w:r>
        <w:rPr>
          <w:rFonts w:hint="eastAsia"/>
        </w:rPr>
        <w:t>(</w:t>
      </w:r>
      <w:r>
        <w:t xml:space="preserve">a) </w:t>
      </w:r>
      <w:r w:rsidR="00B84773">
        <w:t xml:space="preserve">The sample size is 26 (&lt;30), indicating a small sample size. So it is not robust to </w:t>
      </w:r>
      <w:r w:rsidR="00B80F6E">
        <w:t xml:space="preserve">meet the normality assumption. </w:t>
      </w:r>
      <w:r w:rsidR="004964DB">
        <w:t xml:space="preserve">But the result of normality = </w:t>
      </w:r>
      <w:r w:rsidR="009F7F8E">
        <w:t>-0</w:t>
      </w:r>
      <w:r w:rsidR="009F7F8E" w:rsidRPr="009F7F8E">
        <w:t>.696892</w:t>
      </w:r>
      <w:r w:rsidR="009F7F8E">
        <w:t>/0.45556 = -1.53</w:t>
      </w:r>
      <w:r w:rsidR="00BC5898">
        <w:t xml:space="preserve"> &lt; 2. So, the normality is tenable</w:t>
      </w:r>
    </w:p>
    <w:p w14:paraId="5B747928" w14:textId="192C4EE0" w:rsidR="00F7384E" w:rsidRPr="003261C5" w:rsidRDefault="00F7384E" w:rsidP="004B479B">
      <w:pPr>
        <w:rPr>
          <w:rFonts w:hint="eastAsia"/>
        </w:rPr>
      </w:pPr>
      <w:r>
        <w:rPr>
          <w:rFonts w:hint="eastAsia"/>
        </w:rPr>
        <w:t>(</w:t>
      </w:r>
      <w:r>
        <w:t xml:space="preserve">b) </w:t>
      </w:r>
      <w:r w:rsidR="00BC5898">
        <w:t>(27.72206,33.97024)</w:t>
      </w:r>
    </w:p>
    <w:sectPr w:rsidR="00F7384E" w:rsidRPr="0032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5FF2" w14:textId="77777777" w:rsidR="00BC788A" w:rsidRDefault="00BC788A" w:rsidP="00860A3E">
      <w:r>
        <w:separator/>
      </w:r>
    </w:p>
  </w:endnote>
  <w:endnote w:type="continuationSeparator" w:id="0">
    <w:p w14:paraId="3EB1F595" w14:textId="77777777" w:rsidR="00BC788A" w:rsidRDefault="00BC788A" w:rsidP="0086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9F7A" w14:textId="77777777" w:rsidR="00BC788A" w:rsidRDefault="00BC788A" w:rsidP="00860A3E">
      <w:r>
        <w:separator/>
      </w:r>
    </w:p>
  </w:footnote>
  <w:footnote w:type="continuationSeparator" w:id="0">
    <w:p w14:paraId="19373A31" w14:textId="77777777" w:rsidR="00BC788A" w:rsidRDefault="00BC788A" w:rsidP="00860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9B"/>
    <w:rsid w:val="000B6CAF"/>
    <w:rsid w:val="000D7A83"/>
    <w:rsid w:val="00123763"/>
    <w:rsid w:val="00153918"/>
    <w:rsid w:val="001C307C"/>
    <w:rsid w:val="00220C45"/>
    <w:rsid w:val="00232415"/>
    <w:rsid w:val="00260025"/>
    <w:rsid w:val="00264C49"/>
    <w:rsid w:val="003067CD"/>
    <w:rsid w:val="003261C5"/>
    <w:rsid w:val="00382034"/>
    <w:rsid w:val="003C4B1E"/>
    <w:rsid w:val="003E1586"/>
    <w:rsid w:val="003E2E09"/>
    <w:rsid w:val="003E72C7"/>
    <w:rsid w:val="003F6060"/>
    <w:rsid w:val="004964DB"/>
    <w:rsid w:val="004B479B"/>
    <w:rsid w:val="004F38CA"/>
    <w:rsid w:val="00573EC2"/>
    <w:rsid w:val="00605F62"/>
    <w:rsid w:val="00666765"/>
    <w:rsid w:val="006679FA"/>
    <w:rsid w:val="006A63C8"/>
    <w:rsid w:val="006C4298"/>
    <w:rsid w:val="007B0482"/>
    <w:rsid w:val="00860A3E"/>
    <w:rsid w:val="00897F3D"/>
    <w:rsid w:val="008C5158"/>
    <w:rsid w:val="008D49BA"/>
    <w:rsid w:val="009528E3"/>
    <w:rsid w:val="00982AC8"/>
    <w:rsid w:val="009D5F15"/>
    <w:rsid w:val="009F7F8E"/>
    <w:rsid w:val="00A42388"/>
    <w:rsid w:val="00A4678F"/>
    <w:rsid w:val="00A860BC"/>
    <w:rsid w:val="00B80F6E"/>
    <w:rsid w:val="00B84773"/>
    <w:rsid w:val="00BA503C"/>
    <w:rsid w:val="00BC5898"/>
    <w:rsid w:val="00BC788A"/>
    <w:rsid w:val="00C63452"/>
    <w:rsid w:val="00D93CB6"/>
    <w:rsid w:val="00DA103D"/>
    <w:rsid w:val="00DB5DE6"/>
    <w:rsid w:val="00E56FEE"/>
    <w:rsid w:val="00EB7887"/>
    <w:rsid w:val="00EC0615"/>
    <w:rsid w:val="00EE004D"/>
    <w:rsid w:val="00F529EC"/>
    <w:rsid w:val="00F7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6196E"/>
  <w15:chartTrackingRefBased/>
  <w15:docId w15:val="{FB913EFC-6F7D-4BF6-8F1B-17171B6B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A3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6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5CB8-5370-448D-B4DC-1490985E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77</cp:revision>
  <dcterms:created xsi:type="dcterms:W3CDTF">2021-11-09T03:39:00Z</dcterms:created>
  <dcterms:modified xsi:type="dcterms:W3CDTF">2021-11-09T19:33:00Z</dcterms:modified>
</cp:coreProperties>
</file>