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566A6" w14:textId="77777777" w:rsidR="008B2C1B" w:rsidRDefault="008B2C1B" w:rsidP="008B2C1B">
      <w:r>
        <w:t>Finish Reading Chapter 11, not including the section on The Bootstrap, if you have not already done so.</w:t>
      </w:r>
    </w:p>
    <w:p w14:paraId="63DFB20A" w14:textId="77777777" w:rsidR="008B2C1B" w:rsidRDefault="008B2C1B" w:rsidP="008B2C1B">
      <w:r>
        <w:t>Complete Exercises 11.37 through 11.43.</w:t>
      </w:r>
    </w:p>
    <w:p w14:paraId="17BE2243" w14:textId="77777777" w:rsidR="008B2C1B" w:rsidRPr="008B2C1B" w:rsidRDefault="008B2C1B" w:rsidP="008B2C1B">
      <w:pPr>
        <w:rPr>
          <w:b/>
          <w:bCs/>
        </w:rPr>
      </w:pPr>
      <w:r w:rsidRPr="008B2C1B">
        <w:rPr>
          <w:b/>
          <w:bCs/>
        </w:rPr>
        <w:t xml:space="preserve">Hand in Exercises 11.42 and 11.43 </w:t>
      </w:r>
    </w:p>
    <w:p w14:paraId="74351976" w14:textId="77777777" w:rsidR="008B2C1B" w:rsidRDefault="008B2C1B" w:rsidP="008B2C1B">
      <w:r>
        <w:t>Read Chapter 13, up to the section on Post-Hoc Tests (and not including the discussion on the bootstrap).</w:t>
      </w:r>
    </w:p>
    <w:p w14:paraId="341EBBC1" w14:textId="77777777" w:rsidR="008B2C1B" w:rsidRDefault="008B2C1B" w:rsidP="008B2C1B">
      <w:r>
        <w:t xml:space="preserve">Complete Exercises 13.1 (a through </w:t>
      </w:r>
      <w:proofErr w:type="spellStart"/>
      <w:r>
        <w:t>i</w:t>
      </w:r>
      <w:proofErr w:type="spellEnd"/>
      <w:r>
        <w:t>), 13.2 (a through e).</w:t>
      </w:r>
    </w:p>
    <w:p w14:paraId="049A245E" w14:textId="69D83D6F" w:rsidR="008B2C1B" w:rsidRDefault="008B2C1B" w:rsidP="008B2C1B">
      <w:pPr>
        <w:rPr>
          <w:b/>
          <w:bCs/>
        </w:rPr>
      </w:pPr>
      <w:r w:rsidRPr="008B2C1B">
        <w:rPr>
          <w:b/>
          <w:bCs/>
        </w:rPr>
        <w:t xml:space="preserve">Hand in Exercise 13.1 (a through </w:t>
      </w:r>
      <w:proofErr w:type="spellStart"/>
      <w:r w:rsidRPr="008B2C1B">
        <w:rPr>
          <w:b/>
          <w:bCs/>
        </w:rPr>
        <w:t>i</w:t>
      </w:r>
      <w:proofErr w:type="spellEnd"/>
      <w:r w:rsidRPr="008B2C1B">
        <w:rPr>
          <w:b/>
          <w:bCs/>
        </w:rPr>
        <w:t>), 13.2 (a through e).</w:t>
      </w:r>
    </w:p>
    <w:p w14:paraId="27B9AF0E" w14:textId="197D7CDC" w:rsidR="008B2C1B" w:rsidRDefault="008B2C1B" w:rsidP="008B2C1B">
      <w:pPr>
        <w:rPr>
          <w:b/>
          <w:bCs/>
        </w:rPr>
      </w:pPr>
    </w:p>
    <w:p w14:paraId="214C110C" w14:textId="77777777" w:rsidR="008B2C1B" w:rsidRPr="008B2C1B" w:rsidRDefault="008B2C1B" w:rsidP="008B2C1B">
      <w:r w:rsidRPr="008B2C1B">
        <w:t>11.42</w:t>
      </w:r>
    </w:p>
    <w:p w14:paraId="09809182" w14:textId="5DD4F14D" w:rsidR="008B2C1B" w:rsidRPr="008B2C1B" w:rsidRDefault="008B2C1B" w:rsidP="008B2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8B2C1B">
        <w:rPr>
          <w:rFonts w:ascii="Consolas" w:eastAsia="宋体" w:hAnsi="Consolas" w:cs="宋体"/>
          <w:color w:val="569CD6"/>
          <w:kern w:val="0"/>
          <w:szCs w:val="21"/>
        </w:rPr>
        <w:t>ttest</w:t>
      </w:r>
      <w:proofErr w:type="spellEnd"/>
      <w:r w:rsidRPr="008B2C1B">
        <w:rPr>
          <w:rFonts w:ascii="Consolas" w:eastAsia="宋体" w:hAnsi="Consolas" w:cs="宋体"/>
          <w:color w:val="D4D4D4"/>
          <w:kern w:val="0"/>
          <w:szCs w:val="21"/>
        </w:rPr>
        <w:t xml:space="preserve"> Before == After</w:t>
      </w:r>
      <w:r w:rsidRPr="008B2C1B">
        <w:rPr>
          <w:rFonts w:ascii="Consolas" w:eastAsia="宋体" w:hAnsi="Consolas" w:cs="宋体"/>
          <w:color w:val="6A9955"/>
          <w:kern w:val="0"/>
          <w:szCs w:val="21"/>
        </w:rPr>
        <w:t xml:space="preserve"> //11.42</w:t>
      </w:r>
    </w:p>
    <w:p w14:paraId="4D88B01B" w14:textId="354F6C7E" w:rsidR="008B2C1B" w:rsidRDefault="008B2C1B" w:rsidP="008B2C1B">
      <w:r w:rsidRPr="00214698">
        <w:rPr>
          <w:rFonts w:cs="Times New Roman"/>
          <w:noProof/>
          <w:szCs w:val="21"/>
        </w:rPr>
        <w:drawing>
          <wp:inline distT="0" distB="0" distL="0" distR="0" wp14:anchorId="4301FB36" wp14:editId="57D80296">
            <wp:extent cx="5274310" cy="2426335"/>
            <wp:effectExtent l="0" t="0" r="2540" b="0"/>
            <wp:docPr id="1" name="图片 1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上有字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BD66A" w14:textId="3EF3B301" w:rsidR="008B2C1B" w:rsidRDefault="008B2C1B" w:rsidP="008B2C1B">
      <w:r w:rsidRPr="008B2C1B">
        <w:t>The result of paired sample t-test indicates that there’s no statistically significant difference (t</w:t>
      </w:r>
      <w:r w:rsidR="00900312">
        <w:t>(11)</w:t>
      </w:r>
      <w:r w:rsidRPr="008B2C1B">
        <w:t>=1.2357, p&gt;0.05) between the score of patients’ mental alertness before and after they reserve the drug.</w:t>
      </w:r>
    </w:p>
    <w:p w14:paraId="24A8CDFE" w14:textId="7AF35C97" w:rsidR="008B2C1B" w:rsidRDefault="008B2C1B" w:rsidP="008B2C1B"/>
    <w:p w14:paraId="65340C75" w14:textId="60B79111" w:rsidR="008B2C1B" w:rsidRDefault="00392D9F" w:rsidP="008B2C1B">
      <w:r>
        <w:rPr>
          <w:rFonts w:hint="eastAsia"/>
        </w:rPr>
        <w:t>1</w:t>
      </w:r>
      <w:r>
        <w:t>1.43</w:t>
      </w:r>
    </w:p>
    <w:p w14:paraId="621790A5" w14:textId="77777777" w:rsidR="00785C93" w:rsidRPr="00785C93" w:rsidRDefault="00785C93" w:rsidP="00785C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85C93">
        <w:rPr>
          <w:rFonts w:ascii="Consolas" w:eastAsia="宋体" w:hAnsi="Consolas" w:cs="宋体"/>
          <w:color w:val="569CD6"/>
          <w:kern w:val="0"/>
          <w:szCs w:val="21"/>
        </w:rPr>
        <w:t>ttest</w:t>
      </w:r>
      <w:proofErr w:type="spellEnd"/>
      <w:r w:rsidRPr="00785C9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85C93">
        <w:rPr>
          <w:rFonts w:ascii="Consolas" w:eastAsia="宋体" w:hAnsi="Consolas" w:cs="宋体"/>
          <w:color w:val="569CD6"/>
          <w:kern w:val="0"/>
          <w:szCs w:val="21"/>
        </w:rPr>
        <w:t>score</w:t>
      </w:r>
      <w:r w:rsidRPr="00785C9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85C93">
        <w:rPr>
          <w:rFonts w:ascii="Consolas" w:eastAsia="宋体" w:hAnsi="Consolas" w:cs="宋体"/>
          <w:color w:val="C586C0"/>
          <w:kern w:val="0"/>
          <w:szCs w:val="21"/>
        </w:rPr>
        <w:t>by</w:t>
      </w:r>
      <w:r w:rsidRPr="00785C93">
        <w:rPr>
          <w:rFonts w:ascii="Consolas" w:eastAsia="宋体" w:hAnsi="Consolas" w:cs="宋体"/>
          <w:color w:val="D4D4D4"/>
          <w:kern w:val="0"/>
          <w:szCs w:val="21"/>
        </w:rPr>
        <w:t>(group)</w:t>
      </w:r>
      <w:r w:rsidRPr="00785C93">
        <w:rPr>
          <w:rFonts w:ascii="Consolas" w:eastAsia="宋体" w:hAnsi="Consolas" w:cs="宋体"/>
          <w:color w:val="6A9955"/>
          <w:kern w:val="0"/>
          <w:szCs w:val="21"/>
        </w:rPr>
        <w:t xml:space="preserve"> //11.43</w:t>
      </w:r>
    </w:p>
    <w:p w14:paraId="7D452B83" w14:textId="7FBD2DFD" w:rsidR="00785C93" w:rsidRDefault="00785C93" w:rsidP="008B2C1B">
      <w:r w:rsidRPr="00785C93">
        <w:rPr>
          <w:noProof/>
        </w:rPr>
        <w:drawing>
          <wp:inline distT="0" distB="0" distL="0" distR="0" wp14:anchorId="3A436426" wp14:editId="772FCC4A">
            <wp:extent cx="5274310" cy="2794635"/>
            <wp:effectExtent l="0" t="0" r="2540" b="5715"/>
            <wp:docPr id="2" name="图片 2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上有字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A2D89" w14:textId="64C0F605" w:rsidR="00785C93" w:rsidRDefault="007E42E2" w:rsidP="008B2C1B">
      <w:r>
        <w:lastRenderedPageBreak/>
        <w:t xml:space="preserve">The result of independent score t-test demonstrates that there’s </w:t>
      </w:r>
      <w:r w:rsidR="000F2042">
        <w:t xml:space="preserve">a </w:t>
      </w:r>
      <w:r>
        <w:t xml:space="preserve">statistically significant difference between </w:t>
      </w:r>
      <w:r w:rsidR="000F2042">
        <w:t>the score of one-year old and two-year old group (t(14)=-2.2692, p=0.0396&lt;0.05).</w:t>
      </w:r>
    </w:p>
    <w:p w14:paraId="59AB0524" w14:textId="10F1226D" w:rsidR="00B36678" w:rsidRDefault="00B36678" w:rsidP="008B2C1B"/>
    <w:p w14:paraId="0DC27C1A" w14:textId="38026241" w:rsidR="00B36678" w:rsidRDefault="00A81582" w:rsidP="008B2C1B">
      <w:r>
        <w:rPr>
          <w:rFonts w:hint="eastAsia"/>
        </w:rPr>
        <w:t>1</w:t>
      </w:r>
      <w:r>
        <w:t>3.1(a)</w:t>
      </w:r>
    </w:p>
    <w:p w14:paraId="4E801760" w14:textId="3A0387CA" w:rsidR="00252D32" w:rsidRDefault="00252D32" w:rsidP="008B2C1B">
      <w:r>
        <w:t xml:space="preserve">Because the variable of </w:t>
      </w:r>
      <w:proofErr w:type="spellStart"/>
      <w:r w:rsidR="005F741F">
        <w:t>hsprog</w:t>
      </w:r>
      <w:proofErr w:type="spellEnd"/>
      <w:r w:rsidR="005F741F">
        <w:t xml:space="preserve"> has four different groups. One-way ANOVA is suitable for test</w:t>
      </w:r>
      <w:r w:rsidR="00B15210">
        <w:rPr>
          <w:rFonts w:hint="eastAsia"/>
        </w:rPr>
        <w:t>ing</w:t>
      </w:r>
      <w:r w:rsidR="005F741F">
        <w:t xml:space="preserve"> the equality among two or more population</w:t>
      </w:r>
      <w:r w:rsidR="00B15210">
        <w:t>s</w:t>
      </w:r>
      <w:r w:rsidR="005F741F">
        <w:t xml:space="preserve"> means using independent groups</w:t>
      </w:r>
      <w:r w:rsidR="0005448D">
        <w:t xml:space="preserve"> while controlling the family-wise Type I error rate at the chosen level alpha regardless of the number of groups in the design</w:t>
      </w:r>
      <w:r w:rsidR="005F741F">
        <w:t>.</w:t>
      </w:r>
    </w:p>
    <w:p w14:paraId="55D171E5" w14:textId="68EE2F76" w:rsidR="00A81582" w:rsidRDefault="00A81582" w:rsidP="00A81582">
      <w:r>
        <w:rPr>
          <w:rFonts w:hint="eastAsia"/>
        </w:rPr>
        <w:t>1</w:t>
      </w:r>
      <w:r>
        <w:t>3.1(b)</w:t>
      </w:r>
    </w:p>
    <w:p w14:paraId="3793D791" w14:textId="71E22ED9" w:rsidR="006A1F5F" w:rsidRPr="006A1F5F" w:rsidRDefault="006A1F5F" w:rsidP="006A1F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1F5F">
        <w:rPr>
          <w:rFonts w:ascii="Consolas" w:eastAsia="宋体" w:hAnsi="Consolas" w:cs="宋体"/>
          <w:color w:val="569CD6"/>
          <w:kern w:val="0"/>
          <w:szCs w:val="21"/>
        </w:rPr>
        <w:t>graph</w:t>
      </w:r>
      <w:r w:rsidRPr="006A1F5F">
        <w:rPr>
          <w:rFonts w:ascii="Consolas" w:eastAsia="宋体" w:hAnsi="Consolas" w:cs="宋体"/>
          <w:color w:val="D4D4D4"/>
          <w:kern w:val="0"/>
          <w:szCs w:val="21"/>
        </w:rPr>
        <w:t xml:space="preserve"> box achmat08, over (</w:t>
      </w:r>
      <w:proofErr w:type="spellStart"/>
      <w:r w:rsidRPr="006A1F5F">
        <w:rPr>
          <w:rFonts w:ascii="Consolas" w:eastAsia="宋体" w:hAnsi="Consolas" w:cs="宋体"/>
          <w:color w:val="D4D4D4"/>
          <w:kern w:val="0"/>
          <w:szCs w:val="21"/>
        </w:rPr>
        <w:t>hsprog</w:t>
      </w:r>
      <w:proofErr w:type="spellEnd"/>
      <w:r w:rsidRPr="006A1F5F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6A1F5F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</w:p>
    <w:p w14:paraId="149FC3B9" w14:textId="432F781C" w:rsidR="005F741F" w:rsidRDefault="006A1F5F" w:rsidP="00A81582">
      <w:r w:rsidRPr="006A1F5F">
        <w:rPr>
          <w:noProof/>
        </w:rPr>
        <w:drawing>
          <wp:inline distT="0" distB="0" distL="0" distR="0" wp14:anchorId="50D61FA1" wp14:editId="23CF1D4F">
            <wp:extent cx="5029200" cy="3657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FB014" w14:textId="725F6612" w:rsidR="006A1F5F" w:rsidRPr="006A1F5F" w:rsidRDefault="00D27925" w:rsidP="00A81582">
      <w:r>
        <w:rPr>
          <w:rFonts w:hint="eastAsia"/>
        </w:rPr>
        <w:t>B</w:t>
      </w:r>
      <w:r>
        <w:t>ased on the boxplots, the normality assumption seems tenable since all distributions are approximately symmetric.</w:t>
      </w:r>
      <w:r w:rsidR="003359D8">
        <w:t xml:space="preserve"> The homogeneity of variance is also</w:t>
      </w:r>
      <w:r w:rsidR="00A1682C">
        <w:t xml:space="preserve"> tenable because the interquartile rangers </w:t>
      </w:r>
      <w:r w:rsidR="00B704CB">
        <w:t>have</w:t>
      </w:r>
      <w:r w:rsidR="00A1682C">
        <w:t xml:space="preserve"> </w:t>
      </w:r>
      <w:r w:rsidR="00B2319E">
        <w:t xml:space="preserve">a </w:t>
      </w:r>
      <w:r w:rsidR="00A1682C">
        <w:t>similar distribution.</w:t>
      </w:r>
      <w:r w:rsidR="00B704CB">
        <w:t xml:space="preserve"> </w:t>
      </w:r>
      <w:r w:rsidR="00F44F7D">
        <w:t>The results of one-way ANOVA</w:t>
      </w:r>
      <w:r w:rsidR="007B0E33">
        <w:t xml:space="preserve"> may have a similar trend with </w:t>
      </w:r>
      <w:r w:rsidR="0027270E">
        <w:t>medians</w:t>
      </w:r>
      <w:r w:rsidR="007B0E33">
        <w:t xml:space="preserve"> of these </w:t>
      </w:r>
      <w:r w:rsidR="0027270E">
        <w:t xml:space="preserve">groups. The </w:t>
      </w:r>
      <w:r w:rsidR="00B27FAB">
        <w:t>m</w:t>
      </w:r>
      <w:r w:rsidR="0027270E">
        <w:t xml:space="preserve">edian of the rigorous academic group </w:t>
      </w:r>
      <w:r w:rsidR="00FE1723">
        <w:t>is</w:t>
      </w:r>
      <w:r w:rsidR="0027270E">
        <w:t xml:space="preserve"> the highest, followed by</w:t>
      </w:r>
      <w:r w:rsidR="00FE1723">
        <w:t xml:space="preserve"> the</w:t>
      </w:r>
      <w:r w:rsidR="0027270E">
        <w:t xml:space="preserve"> academic group. The Some vocational group and other group</w:t>
      </w:r>
      <w:r w:rsidR="00FE1723">
        <w:t>s</w:t>
      </w:r>
      <w:r w:rsidR="0027270E">
        <w:t xml:space="preserve"> </w:t>
      </w:r>
      <w:r w:rsidR="0055433B">
        <w:t>are at the lower end, and the</w:t>
      </w:r>
      <w:r w:rsidR="00B27FAB">
        <w:t>ir medians</w:t>
      </w:r>
      <w:r w:rsidR="0055433B">
        <w:t xml:space="preserve"> are identically the same.</w:t>
      </w:r>
    </w:p>
    <w:p w14:paraId="521FA80D" w14:textId="2673690D" w:rsidR="00A81582" w:rsidRDefault="00A81582" w:rsidP="00A81582">
      <w:r>
        <w:rPr>
          <w:rFonts w:hint="eastAsia"/>
        </w:rPr>
        <w:t>1</w:t>
      </w:r>
      <w:r>
        <w:t>3.1(c)</w:t>
      </w:r>
    </w:p>
    <w:p w14:paraId="6947E545" w14:textId="77777777" w:rsidR="00DA5088" w:rsidRPr="00DA5088" w:rsidRDefault="00DA5088" w:rsidP="00DA50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5088">
        <w:rPr>
          <w:rFonts w:ascii="Consolas" w:eastAsia="宋体" w:hAnsi="Consolas" w:cs="宋体"/>
          <w:color w:val="C586C0"/>
          <w:kern w:val="0"/>
          <w:szCs w:val="21"/>
        </w:rPr>
        <w:t>by</w:t>
      </w:r>
      <w:r w:rsidRPr="00DA50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A5088">
        <w:rPr>
          <w:rFonts w:ascii="Consolas" w:eastAsia="宋体" w:hAnsi="Consolas" w:cs="宋体"/>
          <w:color w:val="D4D4D4"/>
          <w:kern w:val="0"/>
          <w:szCs w:val="21"/>
        </w:rPr>
        <w:t>hsprog</w:t>
      </w:r>
      <w:proofErr w:type="spellEnd"/>
      <w:r w:rsidRPr="00DA508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A5088">
        <w:rPr>
          <w:rFonts w:ascii="Consolas" w:eastAsia="宋体" w:hAnsi="Consolas" w:cs="宋体"/>
          <w:color w:val="569CD6"/>
          <w:kern w:val="0"/>
          <w:szCs w:val="21"/>
        </w:rPr>
        <w:t>sort</w:t>
      </w:r>
      <w:r w:rsidRPr="00DA508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A5088">
        <w:rPr>
          <w:rFonts w:ascii="Consolas" w:eastAsia="宋体" w:hAnsi="Consolas" w:cs="宋体"/>
          <w:color w:val="569CD6"/>
          <w:kern w:val="0"/>
          <w:szCs w:val="21"/>
        </w:rPr>
        <w:t>sum</w:t>
      </w:r>
      <w:r w:rsidRPr="00DA5088">
        <w:rPr>
          <w:rFonts w:ascii="Consolas" w:eastAsia="宋体" w:hAnsi="Consolas" w:cs="宋体"/>
          <w:color w:val="D4D4D4"/>
          <w:kern w:val="0"/>
          <w:szCs w:val="21"/>
        </w:rPr>
        <w:t xml:space="preserve"> achmat08</w:t>
      </w:r>
    </w:p>
    <w:p w14:paraId="3491E1C1" w14:textId="14891676" w:rsidR="00DA5088" w:rsidRDefault="00DA5088" w:rsidP="00A81582">
      <w:r>
        <w:t>The results indicate that not all group</w:t>
      </w:r>
      <w:r w:rsidR="00F21C4B">
        <w:t>s</w:t>
      </w:r>
      <w:r>
        <w:t xml:space="preserve"> have a population larger than 30, so </w:t>
      </w:r>
      <w:r w:rsidR="003A4FAD">
        <w:t>normality test is required.</w:t>
      </w:r>
    </w:p>
    <w:p w14:paraId="19462ED7" w14:textId="5ABF3D5B" w:rsidR="000A750A" w:rsidRPr="000A750A" w:rsidRDefault="000A750A" w:rsidP="000A75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0A750A">
        <w:rPr>
          <w:rFonts w:ascii="Consolas" w:eastAsia="宋体" w:hAnsi="Consolas" w:cs="宋体"/>
          <w:color w:val="D4D4D4"/>
          <w:kern w:val="0"/>
          <w:szCs w:val="21"/>
        </w:rPr>
        <w:t>summskew</w:t>
      </w:r>
      <w:proofErr w:type="spellEnd"/>
      <w:r w:rsidRPr="000A750A">
        <w:rPr>
          <w:rFonts w:ascii="Consolas" w:eastAsia="宋体" w:hAnsi="Consolas" w:cs="宋体"/>
          <w:color w:val="D4D4D4"/>
          <w:kern w:val="0"/>
          <w:szCs w:val="21"/>
        </w:rPr>
        <w:t xml:space="preserve"> achmat08, </w:t>
      </w:r>
      <w:r w:rsidRPr="000A750A">
        <w:rPr>
          <w:rFonts w:ascii="Consolas" w:eastAsia="宋体" w:hAnsi="Consolas" w:cs="宋体"/>
          <w:color w:val="C586C0"/>
          <w:kern w:val="0"/>
          <w:szCs w:val="21"/>
        </w:rPr>
        <w:t>by</w:t>
      </w:r>
      <w:r w:rsidRPr="000A750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0A750A">
        <w:rPr>
          <w:rFonts w:ascii="Consolas" w:eastAsia="宋体" w:hAnsi="Consolas" w:cs="宋体"/>
          <w:color w:val="D4D4D4"/>
          <w:kern w:val="0"/>
          <w:szCs w:val="21"/>
        </w:rPr>
        <w:t>hsprog</w:t>
      </w:r>
      <w:proofErr w:type="spellEnd"/>
      <w:r w:rsidRPr="000A750A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0A750A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</w:p>
    <w:p w14:paraId="6A06DFE2" w14:textId="77777777" w:rsidR="00906D05" w:rsidRDefault="000A750A" w:rsidP="00906D05">
      <w:pPr>
        <w:keepNext/>
      </w:pPr>
      <w:r w:rsidRPr="000A750A">
        <w:rPr>
          <w:noProof/>
        </w:rPr>
        <w:lastRenderedPageBreak/>
        <w:drawing>
          <wp:inline distT="0" distB="0" distL="0" distR="0" wp14:anchorId="63634DCA" wp14:editId="11AF4940">
            <wp:extent cx="5274310" cy="1202690"/>
            <wp:effectExtent l="0" t="0" r="2540" b="0"/>
            <wp:docPr id="4" name="图片 4" descr="图片包含 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包含 日历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6995E" w14:textId="4CBCC689" w:rsidR="00A359FC" w:rsidRDefault="00906D05" w:rsidP="00906D05">
      <w:pPr>
        <w:pStyle w:val="a7"/>
        <w:jc w:val="center"/>
      </w:pPr>
      <w:r>
        <w:t xml:space="preserve">Figure </w:t>
      </w:r>
      <w:fldSimple w:instr=" SEQ Figure \* ARABIC ">
        <w:r w:rsidR="006A1C64">
          <w:rPr>
            <w:noProof/>
          </w:rPr>
          <w:t>1</w:t>
        </w:r>
      </w:fldSimple>
    </w:p>
    <w:p w14:paraId="070FFE39" w14:textId="3B906725" w:rsidR="000A750A" w:rsidRPr="008B2C1B" w:rsidRDefault="00906D05" w:rsidP="00A81582">
      <w:r>
        <w:t xml:space="preserve">Based on the results of Figure 1, the skewness </w:t>
      </w:r>
      <w:r w:rsidR="0016358E">
        <w:t xml:space="preserve">scores </w:t>
      </w:r>
      <w:r>
        <w:t xml:space="preserve">of all groups </w:t>
      </w:r>
      <w:r w:rsidR="0016358E">
        <w:t>are</w:t>
      </w:r>
      <w:r>
        <w:t xml:space="preserve"> lower than 1, so we can conclude that the normality assumption is tenable.</w:t>
      </w:r>
    </w:p>
    <w:p w14:paraId="32E6A840" w14:textId="6F76F473" w:rsidR="00A81582" w:rsidRDefault="00A81582" w:rsidP="008B2C1B">
      <w:r>
        <w:rPr>
          <w:rFonts w:hint="eastAsia"/>
        </w:rPr>
        <w:t>1</w:t>
      </w:r>
      <w:r>
        <w:t>3.1(d)</w:t>
      </w:r>
      <w:r w:rsidR="00A659F2">
        <w:t xml:space="preserve"> </w:t>
      </w:r>
    </w:p>
    <w:p w14:paraId="418CD783" w14:textId="70700FF2" w:rsidR="009B20D9" w:rsidRDefault="009B20D9" w:rsidP="008B2C1B">
      <w:r>
        <w:rPr>
          <w:rFonts w:hint="eastAsia"/>
        </w:rPr>
        <w:t>L</w:t>
      </w:r>
      <w:r>
        <w:t xml:space="preserve">evene’s test is needed for testing the tenability of the homogeneity of variance assumption because numbers of samples in these four groups are not equal. </w:t>
      </w:r>
    </w:p>
    <w:p w14:paraId="5F9443C8" w14:textId="77777777" w:rsidR="003B2DF5" w:rsidRPr="003B2DF5" w:rsidRDefault="003B2DF5" w:rsidP="003B2D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3B2DF5">
        <w:rPr>
          <w:rFonts w:ascii="Consolas" w:eastAsia="宋体" w:hAnsi="Consolas" w:cs="宋体"/>
          <w:color w:val="569CD6"/>
          <w:kern w:val="0"/>
          <w:szCs w:val="21"/>
        </w:rPr>
        <w:t>robvar</w:t>
      </w:r>
      <w:proofErr w:type="spellEnd"/>
      <w:r w:rsidRPr="003B2DF5">
        <w:rPr>
          <w:rFonts w:ascii="Consolas" w:eastAsia="宋体" w:hAnsi="Consolas" w:cs="宋体"/>
          <w:color w:val="D4D4D4"/>
          <w:kern w:val="0"/>
          <w:szCs w:val="21"/>
        </w:rPr>
        <w:t xml:space="preserve"> achmat08, </w:t>
      </w:r>
      <w:r w:rsidRPr="003B2DF5">
        <w:rPr>
          <w:rFonts w:ascii="Consolas" w:eastAsia="宋体" w:hAnsi="Consolas" w:cs="宋体"/>
          <w:color w:val="C586C0"/>
          <w:kern w:val="0"/>
          <w:szCs w:val="21"/>
        </w:rPr>
        <w:t>by</w:t>
      </w:r>
      <w:r w:rsidRPr="003B2DF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3B2DF5">
        <w:rPr>
          <w:rFonts w:ascii="Consolas" w:eastAsia="宋体" w:hAnsi="Consolas" w:cs="宋体"/>
          <w:color w:val="D4D4D4"/>
          <w:kern w:val="0"/>
          <w:szCs w:val="21"/>
        </w:rPr>
        <w:t>hsprog</w:t>
      </w:r>
      <w:proofErr w:type="spellEnd"/>
      <w:r w:rsidRPr="003B2DF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6209B19" w14:textId="53EB2333" w:rsidR="009B20D9" w:rsidRDefault="003B2DF5" w:rsidP="008B2C1B">
      <w:r w:rsidRPr="003B2DF5">
        <w:rPr>
          <w:noProof/>
        </w:rPr>
        <w:drawing>
          <wp:inline distT="0" distB="0" distL="0" distR="0" wp14:anchorId="773C4A0A" wp14:editId="49C634F9">
            <wp:extent cx="5274310" cy="3848100"/>
            <wp:effectExtent l="0" t="0" r="2540" b="0"/>
            <wp:docPr id="5" name="图片 5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包含 图形用户界面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24732" w14:textId="1FAEB67F" w:rsidR="003B2DF5" w:rsidRDefault="003B2DF5" w:rsidP="008B2C1B">
      <w:r w:rsidRPr="003B2DF5">
        <w:t>W0</w:t>
      </w:r>
      <w:r>
        <w:t>=</w:t>
      </w:r>
      <w:r w:rsidRPr="003B2DF5">
        <w:t>0.78042667</w:t>
      </w:r>
      <w:r>
        <w:t xml:space="preserve">, </w:t>
      </w:r>
      <w:r w:rsidRPr="003B2DF5">
        <w:t>df(3, 496)</w:t>
      </w:r>
      <w:r>
        <w:t xml:space="preserve">, </w:t>
      </w:r>
      <w:proofErr w:type="spellStart"/>
      <w:r w:rsidRPr="003B2DF5">
        <w:t>Pr</w:t>
      </w:r>
      <w:proofErr w:type="spellEnd"/>
      <w:r w:rsidRPr="003B2DF5">
        <w:t xml:space="preserve"> &gt; F = 0.50525687</w:t>
      </w:r>
      <w:r>
        <w:t xml:space="preserve"> (&gt;0.05), so the homogeneity of variance assumption is robust.</w:t>
      </w:r>
    </w:p>
    <w:p w14:paraId="4F357D95" w14:textId="0C9BEA53" w:rsidR="00A81582" w:rsidRDefault="00A81582" w:rsidP="00A81582">
      <w:r>
        <w:rPr>
          <w:rFonts w:hint="eastAsia"/>
        </w:rPr>
        <w:t>1</w:t>
      </w:r>
      <w:r>
        <w:t>3.1(e)</w:t>
      </w:r>
      <w:r w:rsidR="0016358E">
        <w:t xml:space="preserve"> </w:t>
      </w:r>
    </w:p>
    <w:p w14:paraId="547930DE" w14:textId="7BCAD62A" w:rsidR="003B2DF5" w:rsidRDefault="00905CA2" w:rsidP="00A81582">
      <w:r>
        <w:rPr>
          <w:rFonts w:hint="eastAsia"/>
        </w:rPr>
        <w:t>H</w:t>
      </w:r>
      <w:r>
        <w:t>0: the population mean of these groups are identical.</w:t>
      </w:r>
    </w:p>
    <w:p w14:paraId="2F86F2AF" w14:textId="2C9BF4F6" w:rsidR="00905CA2" w:rsidRPr="008B2C1B" w:rsidRDefault="00905CA2" w:rsidP="00A81582">
      <w:r>
        <w:rPr>
          <w:rFonts w:hint="eastAsia"/>
        </w:rPr>
        <w:t>H</w:t>
      </w:r>
      <w:r>
        <w:t>1: at least two of these groups have different population mean.</w:t>
      </w:r>
    </w:p>
    <w:p w14:paraId="1D1C5CAD" w14:textId="761147B9" w:rsidR="00A81582" w:rsidRDefault="00A81582" w:rsidP="00A81582">
      <w:r>
        <w:rPr>
          <w:rFonts w:hint="eastAsia"/>
        </w:rPr>
        <w:t>1</w:t>
      </w:r>
      <w:r>
        <w:t>3.1(f)</w:t>
      </w:r>
      <w:r w:rsidR="0016358E">
        <w:t xml:space="preserve"> </w:t>
      </w:r>
    </w:p>
    <w:p w14:paraId="66E7098B" w14:textId="77777777" w:rsidR="00C5138A" w:rsidRPr="00C5138A" w:rsidRDefault="00C5138A" w:rsidP="00C513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C5138A">
        <w:rPr>
          <w:rFonts w:ascii="Consolas" w:eastAsia="宋体" w:hAnsi="Consolas" w:cs="宋体"/>
          <w:color w:val="569CD6"/>
          <w:kern w:val="0"/>
          <w:szCs w:val="21"/>
        </w:rPr>
        <w:t>oneway</w:t>
      </w:r>
      <w:proofErr w:type="spellEnd"/>
      <w:r w:rsidRPr="00C5138A">
        <w:rPr>
          <w:rFonts w:ascii="Consolas" w:eastAsia="宋体" w:hAnsi="Consolas" w:cs="宋体"/>
          <w:color w:val="D4D4D4"/>
          <w:kern w:val="0"/>
          <w:szCs w:val="21"/>
        </w:rPr>
        <w:t xml:space="preserve"> achmat08 </w:t>
      </w:r>
      <w:proofErr w:type="spellStart"/>
      <w:r w:rsidRPr="00C5138A">
        <w:rPr>
          <w:rFonts w:ascii="Consolas" w:eastAsia="宋体" w:hAnsi="Consolas" w:cs="宋体"/>
          <w:color w:val="D4D4D4"/>
          <w:kern w:val="0"/>
          <w:szCs w:val="21"/>
        </w:rPr>
        <w:t>hsprog</w:t>
      </w:r>
      <w:proofErr w:type="spellEnd"/>
      <w:r w:rsidRPr="00C5138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5138A">
        <w:rPr>
          <w:rFonts w:ascii="Consolas" w:eastAsia="宋体" w:hAnsi="Consolas" w:cs="宋体"/>
          <w:color w:val="569CD6"/>
          <w:kern w:val="0"/>
          <w:szCs w:val="21"/>
        </w:rPr>
        <w:t>tabulate</w:t>
      </w:r>
      <w:r w:rsidRPr="00C5138A">
        <w:rPr>
          <w:rFonts w:ascii="Consolas" w:eastAsia="宋体" w:hAnsi="Consolas" w:cs="宋体"/>
          <w:color w:val="6A9955"/>
          <w:kern w:val="0"/>
          <w:szCs w:val="21"/>
        </w:rPr>
        <w:t xml:space="preserve"> //13.1(f)</w:t>
      </w:r>
    </w:p>
    <w:p w14:paraId="48DC09D1" w14:textId="77777777" w:rsidR="00C5138A" w:rsidRDefault="00C5138A" w:rsidP="00C5138A">
      <w:pPr>
        <w:keepNext/>
      </w:pPr>
      <w:r w:rsidRPr="00C5138A">
        <w:rPr>
          <w:noProof/>
        </w:rPr>
        <w:lastRenderedPageBreak/>
        <w:drawing>
          <wp:inline distT="0" distB="0" distL="0" distR="0" wp14:anchorId="20235286" wp14:editId="22DFB7A3">
            <wp:extent cx="5274310" cy="3517265"/>
            <wp:effectExtent l="0" t="0" r="2540" b="6985"/>
            <wp:docPr id="6" name="图片 6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9738E" w14:textId="5027895A" w:rsidR="00905CA2" w:rsidRPr="00C5138A" w:rsidRDefault="00C5138A" w:rsidP="00C5138A">
      <w:pPr>
        <w:pStyle w:val="a7"/>
        <w:jc w:val="center"/>
      </w:pPr>
      <w:r>
        <w:t xml:space="preserve">Figure </w:t>
      </w:r>
      <w:fldSimple w:instr=" SEQ Figure \* ARABIC ">
        <w:r w:rsidR="006A1C64">
          <w:rPr>
            <w:noProof/>
          </w:rPr>
          <w:t>2</w:t>
        </w:r>
      </w:fldSimple>
    </w:p>
    <w:p w14:paraId="05AEBF95" w14:textId="3380397A" w:rsidR="00C5138A" w:rsidRDefault="00C5138A" w:rsidP="00A81582">
      <w:r>
        <w:rPr>
          <w:rFonts w:hint="eastAsia"/>
        </w:rPr>
        <w:t>F</w:t>
      </w:r>
      <w:r>
        <w:t>rom the output of Figure 2, we can know that p&lt;0.01</w:t>
      </w:r>
    </w:p>
    <w:p w14:paraId="641C274C" w14:textId="47BBFF19" w:rsidR="00A81582" w:rsidRDefault="00A81582" w:rsidP="00A81582">
      <w:r>
        <w:rPr>
          <w:rFonts w:hint="eastAsia"/>
        </w:rPr>
        <w:t>1</w:t>
      </w:r>
      <w:r>
        <w:t>3.1(g)</w:t>
      </w:r>
      <w:r w:rsidR="0016358E">
        <w:t xml:space="preserve"> </w:t>
      </w:r>
      <w:r w:rsidR="004D1AE2">
        <w:t>Since p &lt; 0.01, the null hypothesis should be rejected.</w:t>
      </w:r>
    </w:p>
    <w:p w14:paraId="26296301" w14:textId="529E1F7B" w:rsidR="00713E92" w:rsidRDefault="00713E92" w:rsidP="00A81582">
      <w:r>
        <w:rPr>
          <w:rFonts w:hint="eastAsia"/>
        </w:rPr>
        <w:t>1</w:t>
      </w:r>
      <w:r>
        <w:t xml:space="preserve">3.1(h) </w:t>
      </w:r>
      <w:r w:rsidR="00830228">
        <w:t>F(3,496) = 8.23, p&lt;0.01. The result</w:t>
      </w:r>
      <w:r w:rsidR="00264354">
        <w:t>s</w:t>
      </w:r>
      <w:r w:rsidR="00830228">
        <w:t xml:space="preserve"> of one-way ANOVA suggest that </w:t>
      </w:r>
      <w:r w:rsidR="00BA0998">
        <w:t>students’ math achievements on their 8</w:t>
      </w:r>
      <w:r w:rsidR="00BA0998" w:rsidRPr="00BA0998">
        <w:rPr>
          <w:vertAlign w:val="superscript"/>
        </w:rPr>
        <w:t>th</w:t>
      </w:r>
      <w:r w:rsidR="00BA0998">
        <w:t xml:space="preserve"> grade </w:t>
      </w:r>
      <w:r w:rsidR="000A0689">
        <w:t>have a statistically significant difference caused by different types of high school they were enrolled in.</w:t>
      </w:r>
    </w:p>
    <w:p w14:paraId="33008FC5" w14:textId="77777777" w:rsidR="00505A52" w:rsidRDefault="00A81582" w:rsidP="00505A52">
      <w:r>
        <w:rPr>
          <w:rFonts w:hint="eastAsia"/>
        </w:rPr>
        <w:t>1</w:t>
      </w:r>
      <w:r>
        <w:t>3.1(</w:t>
      </w:r>
      <w:proofErr w:type="spellStart"/>
      <w:r>
        <w:t>i</w:t>
      </w:r>
      <w:proofErr w:type="spellEnd"/>
      <w:r>
        <w:t>)</w:t>
      </w:r>
      <w:r w:rsidR="0016358E">
        <w:t xml:space="preserve"> </w:t>
      </w:r>
      <w:r w:rsidR="00505A52">
        <w:t xml:space="preserve">R^2 = </w:t>
      </w:r>
      <w:proofErr w:type="spellStart"/>
      <w:r w:rsidR="00505A52">
        <w:t>SSb</w:t>
      </w:r>
      <w:proofErr w:type="spellEnd"/>
      <w:r w:rsidR="00505A52">
        <w:t>/</w:t>
      </w:r>
      <w:proofErr w:type="spellStart"/>
      <w:r w:rsidR="00505A52">
        <w:t>SSt</w:t>
      </w:r>
      <w:proofErr w:type="spellEnd"/>
      <w:r w:rsidR="00505A52">
        <w:t xml:space="preserve"> = 2065/43527 = 0.047. Based on Cohen’s rule, it’s a small effect size, which means 4.7% of Eight grade math achievement can be explained by different types of high school.</w:t>
      </w:r>
    </w:p>
    <w:p w14:paraId="5371BDB7" w14:textId="37984691" w:rsidR="00A81582" w:rsidRPr="00505A52" w:rsidRDefault="00A81582" w:rsidP="00A81582"/>
    <w:p w14:paraId="4E73E56E" w14:textId="425C2708" w:rsidR="00A81582" w:rsidRDefault="00D369A9" w:rsidP="008B2C1B">
      <w:r>
        <w:rPr>
          <w:rFonts w:hint="eastAsia"/>
        </w:rPr>
        <w:t>1</w:t>
      </w:r>
      <w:r>
        <w:t>3.2(a)</w:t>
      </w:r>
    </w:p>
    <w:p w14:paraId="64522C81" w14:textId="18EB21CF" w:rsidR="00D369A9" w:rsidRPr="009E76D2" w:rsidRDefault="009E76D2" w:rsidP="008B2C1B">
      <w:r>
        <w:t xml:space="preserve">Because the variable of urban has three different groups. </w:t>
      </w:r>
      <w:r w:rsidR="0005448D" w:rsidRPr="0005448D">
        <w:t>One-way ANOVA is suitable for test the equality among two or more population means using independent groups while controlling the family-wise Type I error rate at the chosen level alpha regardless of the number of groups in the design.</w:t>
      </w:r>
    </w:p>
    <w:p w14:paraId="7160406F" w14:textId="257F78BF" w:rsidR="00D369A9" w:rsidRDefault="00D369A9" w:rsidP="008B2C1B">
      <w:r>
        <w:rPr>
          <w:rFonts w:hint="eastAsia"/>
        </w:rPr>
        <w:t>1</w:t>
      </w:r>
      <w:r>
        <w:t>3.2(b)</w:t>
      </w:r>
      <w:r w:rsidR="0005448D">
        <w:t xml:space="preserve"> </w:t>
      </w:r>
    </w:p>
    <w:p w14:paraId="5D5F2EF4" w14:textId="77777777" w:rsidR="000524CB" w:rsidRPr="000524CB" w:rsidRDefault="000524CB" w:rsidP="000524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24CB">
        <w:rPr>
          <w:rFonts w:ascii="Consolas" w:eastAsia="宋体" w:hAnsi="Consolas" w:cs="宋体"/>
          <w:color w:val="C586C0"/>
          <w:kern w:val="0"/>
          <w:szCs w:val="21"/>
        </w:rPr>
        <w:t>by</w:t>
      </w:r>
      <w:r w:rsidRPr="000524CB">
        <w:rPr>
          <w:rFonts w:ascii="Consolas" w:eastAsia="宋体" w:hAnsi="Consolas" w:cs="宋体"/>
          <w:color w:val="D4D4D4"/>
          <w:kern w:val="0"/>
          <w:szCs w:val="21"/>
        </w:rPr>
        <w:t xml:space="preserve"> urban, </w:t>
      </w:r>
      <w:r w:rsidRPr="000524CB">
        <w:rPr>
          <w:rFonts w:ascii="Consolas" w:eastAsia="宋体" w:hAnsi="Consolas" w:cs="宋体"/>
          <w:color w:val="569CD6"/>
          <w:kern w:val="0"/>
          <w:szCs w:val="21"/>
        </w:rPr>
        <w:t>sort</w:t>
      </w:r>
      <w:r w:rsidRPr="000524CB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524CB">
        <w:rPr>
          <w:rFonts w:ascii="Consolas" w:eastAsia="宋体" w:hAnsi="Consolas" w:cs="宋体"/>
          <w:color w:val="569CD6"/>
          <w:kern w:val="0"/>
          <w:szCs w:val="21"/>
        </w:rPr>
        <w:t>sum</w:t>
      </w:r>
      <w:r w:rsidRPr="000524CB">
        <w:rPr>
          <w:rFonts w:ascii="Consolas" w:eastAsia="宋体" w:hAnsi="Consolas" w:cs="宋体"/>
          <w:color w:val="D4D4D4"/>
          <w:kern w:val="0"/>
          <w:szCs w:val="21"/>
        </w:rPr>
        <w:t xml:space="preserve"> slfcnc08</w:t>
      </w:r>
    </w:p>
    <w:p w14:paraId="2647F91A" w14:textId="4F653E22" w:rsidR="000524CB" w:rsidRPr="000524CB" w:rsidRDefault="000524CB" w:rsidP="000524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0524CB">
        <w:rPr>
          <w:rFonts w:ascii="Consolas" w:eastAsia="宋体" w:hAnsi="Consolas" w:cs="宋体"/>
          <w:color w:val="D4D4D4"/>
          <w:kern w:val="0"/>
          <w:szCs w:val="21"/>
        </w:rPr>
        <w:t>summskew</w:t>
      </w:r>
      <w:proofErr w:type="spellEnd"/>
      <w:r w:rsidRPr="000524CB">
        <w:rPr>
          <w:rFonts w:ascii="Consolas" w:eastAsia="宋体" w:hAnsi="Consolas" w:cs="宋体"/>
          <w:color w:val="D4D4D4"/>
          <w:kern w:val="0"/>
          <w:szCs w:val="21"/>
        </w:rPr>
        <w:t xml:space="preserve"> slfcnc08, </w:t>
      </w:r>
      <w:r w:rsidRPr="000524CB">
        <w:rPr>
          <w:rFonts w:ascii="Consolas" w:eastAsia="宋体" w:hAnsi="Consolas" w:cs="宋体"/>
          <w:color w:val="C586C0"/>
          <w:kern w:val="0"/>
          <w:szCs w:val="21"/>
        </w:rPr>
        <w:t>by</w:t>
      </w:r>
      <w:r w:rsidRPr="000524CB">
        <w:rPr>
          <w:rFonts w:ascii="Consolas" w:eastAsia="宋体" w:hAnsi="Consolas" w:cs="宋体"/>
          <w:color w:val="D4D4D4"/>
          <w:kern w:val="0"/>
          <w:szCs w:val="21"/>
        </w:rPr>
        <w:t xml:space="preserve"> (urban)</w:t>
      </w:r>
    </w:p>
    <w:p w14:paraId="25FE2426" w14:textId="7A0D6D06" w:rsidR="00743C48" w:rsidRDefault="00743C48" w:rsidP="008B2C1B">
      <w:r>
        <w:t xml:space="preserve">All 3 sub-groups </w:t>
      </w:r>
      <w:r w:rsidR="009C29C0">
        <w:t>have</w:t>
      </w:r>
      <w:r>
        <w:t xml:space="preserve"> a sample size larger than 30, so the </w:t>
      </w:r>
      <w:r w:rsidRPr="00743C48">
        <w:t>normality assumption seems tenable</w:t>
      </w:r>
      <w:r>
        <w:t>.</w:t>
      </w:r>
    </w:p>
    <w:p w14:paraId="2D3C23EE" w14:textId="77777777" w:rsidR="000822F7" w:rsidRDefault="000822F7" w:rsidP="000822F7">
      <w:pPr>
        <w:keepNext/>
      </w:pPr>
      <w:r w:rsidRPr="000822F7">
        <w:rPr>
          <w:rFonts w:hint="eastAsia"/>
          <w:noProof/>
        </w:rPr>
        <w:lastRenderedPageBreak/>
        <w:drawing>
          <wp:inline distT="0" distB="0" distL="0" distR="0" wp14:anchorId="62091D94" wp14:editId="6EDF5C53">
            <wp:extent cx="5029200" cy="3657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C74BD" w14:textId="7F28631E" w:rsidR="000524CB" w:rsidRDefault="000822F7" w:rsidP="000822F7">
      <w:pPr>
        <w:pStyle w:val="a7"/>
        <w:jc w:val="center"/>
      </w:pPr>
      <w:r>
        <w:t xml:space="preserve">Figure </w:t>
      </w:r>
      <w:fldSimple w:instr=" SEQ Figure \* ARABIC ">
        <w:r w:rsidR="006A1C64">
          <w:rPr>
            <w:noProof/>
          </w:rPr>
          <w:t>3</w:t>
        </w:r>
      </w:fldSimple>
    </w:p>
    <w:p w14:paraId="17D65719" w14:textId="18EEFBA1" w:rsidR="000822F7" w:rsidRDefault="00F738FB" w:rsidP="008B2C1B">
      <w:r w:rsidRPr="00F738FB">
        <w:t>Based on the boxplots</w:t>
      </w:r>
      <w:r>
        <w:t xml:space="preserve"> (See Figure 3)</w:t>
      </w:r>
      <w:r w:rsidRPr="00F738FB">
        <w:t xml:space="preserve">, </w:t>
      </w:r>
      <w:r>
        <w:t>t</w:t>
      </w:r>
      <w:r w:rsidRPr="00F738FB">
        <w:t xml:space="preserve">he homogeneity of variance is tenable because the interquartile rangers have </w:t>
      </w:r>
      <w:r w:rsidR="00B2319E">
        <w:t xml:space="preserve">a </w:t>
      </w:r>
      <w:r w:rsidRPr="00F738FB">
        <w:t xml:space="preserve">similar distribution. The results of one-way ANOVA may have a similar trend with medians of these groups. The Median of the </w:t>
      </w:r>
      <w:r w:rsidR="00EC2650">
        <w:t>Urban</w:t>
      </w:r>
      <w:r w:rsidRPr="00F738FB">
        <w:t xml:space="preserve"> group are the highest, followed by </w:t>
      </w:r>
      <w:r w:rsidR="00EC2650">
        <w:t>Suburban</w:t>
      </w:r>
      <w:r w:rsidRPr="00F738FB">
        <w:t xml:space="preserve"> group</w:t>
      </w:r>
      <w:r w:rsidR="00EC2650">
        <w:t xml:space="preserve"> and Rural group</w:t>
      </w:r>
      <w:r w:rsidRPr="00F738FB">
        <w:t>.</w:t>
      </w:r>
    </w:p>
    <w:p w14:paraId="70EF22C3" w14:textId="6F0132F4" w:rsidR="00D369A9" w:rsidRDefault="00D369A9" w:rsidP="008B2C1B">
      <w:r>
        <w:rPr>
          <w:rFonts w:hint="eastAsia"/>
        </w:rPr>
        <w:t>1</w:t>
      </w:r>
      <w:r>
        <w:t>3.2(c)</w:t>
      </w:r>
      <w:r w:rsidR="0005448D">
        <w:t xml:space="preserve"> </w:t>
      </w:r>
      <w:r w:rsidR="00EB1262">
        <w:t>The Urban group has 123 samples, the Suburban group has 215 samples, the Rural group has 162 samples, all of these sub-groups have large sample sizes, so the tenability of the normality of variance assumption is robust.</w:t>
      </w:r>
      <w:r w:rsidR="00922D49">
        <w:t xml:space="preserve"> </w:t>
      </w:r>
      <w:r w:rsidR="006D4FEB">
        <w:t xml:space="preserve">The </w:t>
      </w:r>
      <w:r w:rsidR="00113B5D">
        <w:t xml:space="preserve">result of </w:t>
      </w:r>
      <w:r w:rsidR="00E86D52">
        <w:t xml:space="preserve">Levene’s test </w:t>
      </w:r>
      <w:r w:rsidR="00113B5D">
        <w:t>(</w:t>
      </w:r>
      <w:r w:rsidR="00113B5D" w:rsidRPr="00113B5D">
        <w:t>W0</w:t>
      </w:r>
      <w:r w:rsidR="00113B5D">
        <w:t>=</w:t>
      </w:r>
      <w:r w:rsidR="00113B5D" w:rsidRPr="00113B5D">
        <w:t>0.45166995</w:t>
      </w:r>
      <w:r w:rsidR="00113B5D">
        <w:t xml:space="preserve">, </w:t>
      </w:r>
      <w:r w:rsidR="00113B5D" w:rsidRPr="00113B5D">
        <w:t>df(2, 497)</w:t>
      </w:r>
      <w:r w:rsidR="00113B5D">
        <w:t xml:space="preserve">, </w:t>
      </w:r>
      <w:proofErr w:type="spellStart"/>
      <w:r w:rsidR="00113B5D" w:rsidRPr="00113B5D">
        <w:t>Pr</w:t>
      </w:r>
      <w:proofErr w:type="spellEnd"/>
      <w:r w:rsidR="00113B5D" w:rsidRPr="00113B5D">
        <w:t xml:space="preserve"> &gt; F = 0.63682526</w:t>
      </w:r>
      <w:r w:rsidR="00113B5D">
        <w:t xml:space="preserve">) indicates that </w:t>
      </w:r>
      <w:r w:rsidR="00E15F6A">
        <w:t>the homogeneity of variance assumption is tenable.</w:t>
      </w:r>
    </w:p>
    <w:p w14:paraId="1C0CBAB2" w14:textId="7F343C42" w:rsidR="006A1C64" w:rsidRPr="006A1C64" w:rsidRDefault="006A1C64" w:rsidP="006A1C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6A1C64">
        <w:rPr>
          <w:rFonts w:ascii="Consolas" w:eastAsia="宋体" w:hAnsi="Consolas" w:cs="宋体"/>
          <w:color w:val="569CD6"/>
          <w:kern w:val="0"/>
          <w:szCs w:val="21"/>
        </w:rPr>
        <w:t>robvar</w:t>
      </w:r>
      <w:proofErr w:type="spellEnd"/>
      <w:r w:rsidRPr="006A1C64">
        <w:rPr>
          <w:rFonts w:ascii="Consolas" w:eastAsia="宋体" w:hAnsi="Consolas" w:cs="宋体"/>
          <w:color w:val="D4D4D4"/>
          <w:kern w:val="0"/>
          <w:szCs w:val="21"/>
        </w:rPr>
        <w:t xml:space="preserve"> slfcnc08, over(urban)</w:t>
      </w:r>
    </w:p>
    <w:p w14:paraId="3CAD4616" w14:textId="5B77D431" w:rsidR="00D369A9" w:rsidRDefault="00D369A9" w:rsidP="008B2C1B">
      <w:r>
        <w:rPr>
          <w:rFonts w:hint="eastAsia"/>
        </w:rPr>
        <w:t>1</w:t>
      </w:r>
      <w:r>
        <w:t>3.2(d)</w:t>
      </w:r>
      <w:r w:rsidR="0005448D">
        <w:t xml:space="preserve"> </w:t>
      </w:r>
    </w:p>
    <w:p w14:paraId="2C3DA45E" w14:textId="77777777" w:rsidR="006A1C64" w:rsidRPr="006A1C64" w:rsidRDefault="006A1C64" w:rsidP="006A1C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6A1C64">
        <w:rPr>
          <w:rFonts w:ascii="Consolas" w:eastAsia="宋体" w:hAnsi="Consolas" w:cs="宋体"/>
          <w:color w:val="569CD6"/>
          <w:kern w:val="0"/>
          <w:szCs w:val="21"/>
        </w:rPr>
        <w:t>oneway</w:t>
      </w:r>
      <w:proofErr w:type="spellEnd"/>
      <w:r w:rsidRPr="006A1C64">
        <w:rPr>
          <w:rFonts w:ascii="Consolas" w:eastAsia="宋体" w:hAnsi="Consolas" w:cs="宋体"/>
          <w:color w:val="D4D4D4"/>
          <w:kern w:val="0"/>
          <w:szCs w:val="21"/>
        </w:rPr>
        <w:t xml:space="preserve"> slfcnc08 urban, </w:t>
      </w:r>
      <w:r w:rsidRPr="006A1C64">
        <w:rPr>
          <w:rFonts w:ascii="Consolas" w:eastAsia="宋体" w:hAnsi="Consolas" w:cs="宋体"/>
          <w:color w:val="569CD6"/>
          <w:kern w:val="0"/>
          <w:szCs w:val="21"/>
        </w:rPr>
        <w:t>tabulate</w:t>
      </w:r>
    </w:p>
    <w:p w14:paraId="13FEB5C1" w14:textId="77777777" w:rsidR="006A1C64" w:rsidRDefault="006A1C64" w:rsidP="006A1C64">
      <w:pPr>
        <w:keepNext/>
      </w:pPr>
      <w:r w:rsidRPr="006A1C64">
        <w:rPr>
          <w:noProof/>
        </w:rPr>
        <w:lastRenderedPageBreak/>
        <w:drawing>
          <wp:inline distT="0" distB="0" distL="0" distR="0" wp14:anchorId="37344C0C" wp14:editId="33C95318">
            <wp:extent cx="5274310" cy="3299460"/>
            <wp:effectExtent l="0" t="0" r="2540" b="0"/>
            <wp:docPr id="8" name="图片 8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上有字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51F7" w14:textId="58696758" w:rsidR="006A1C64" w:rsidRDefault="006A1C64" w:rsidP="006A1C64">
      <w:pPr>
        <w:pStyle w:val="a7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</w:p>
    <w:p w14:paraId="67C0C3FA" w14:textId="3BF5BC63" w:rsidR="006A1C64" w:rsidRDefault="006A1C64" w:rsidP="008B2C1B">
      <w:r>
        <w:t>Based on the results in Figure 4, F(2,497) = 3.79, p &lt; 0.05, so students’ scores on 8</w:t>
      </w:r>
      <w:r w:rsidRPr="006A1C64">
        <w:rPr>
          <w:vertAlign w:val="superscript"/>
        </w:rPr>
        <w:t>th</w:t>
      </w:r>
      <w:r w:rsidR="001B3150">
        <w:t>-</w:t>
      </w:r>
      <w:r>
        <w:t>grade self-concept have statistically significant differences between different areas they live.</w:t>
      </w:r>
    </w:p>
    <w:p w14:paraId="466F4700" w14:textId="396FDF3A" w:rsidR="00D369A9" w:rsidRPr="008B2C1B" w:rsidRDefault="00D369A9" w:rsidP="008B2C1B">
      <w:r>
        <w:rPr>
          <w:rFonts w:hint="eastAsia"/>
        </w:rPr>
        <w:t>1</w:t>
      </w:r>
      <w:r>
        <w:t>3.2(e)</w:t>
      </w:r>
      <w:r w:rsidR="0005448D">
        <w:t xml:space="preserve"> </w:t>
      </w:r>
      <w:r w:rsidR="001E221F">
        <w:t xml:space="preserve">R^2 = 267.06/17791 = 0.015, according to Cohen’s rule, the variable of </w:t>
      </w:r>
      <w:r w:rsidR="00F44C58">
        <w:t>urbanicity has a small effect size on students’ 8</w:t>
      </w:r>
      <w:r w:rsidR="00F44C58" w:rsidRPr="00F44C58">
        <w:rPr>
          <w:vertAlign w:val="superscript"/>
        </w:rPr>
        <w:t>th</w:t>
      </w:r>
      <w:r w:rsidR="00F44C58">
        <w:t xml:space="preserve"> grade self-concept.</w:t>
      </w:r>
      <w:r w:rsidR="00814F91">
        <w:t xml:space="preserve"> Only 1.5% of </w:t>
      </w:r>
      <w:r w:rsidR="00607D65">
        <w:t xml:space="preserve">the </w:t>
      </w:r>
      <w:r w:rsidR="00814F91">
        <w:t>score of 8</w:t>
      </w:r>
      <w:r w:rsidR="00814F91" w:rsidRPr="00814F91">
        <w:rPr>
          <w:vertAlign w:val="superscript"/>
        </w:rPr>
        <w:t>th</w:t>
      </w:r>
      <w:r w:rsidR="00814F91">
        <w:t xml:space="preserve"> grade self-concept can be explained by where students </w:t>
      </w:r>
      <w:r w:rsidR="009622BD">
        <w:t xml:space="preserve">originally </w:t>
      </w:r>
      <w:r w:rsidR="00814F91">
        <w:t>come from.</w:t>
      </w:r>
    </w:p>
    <w:sectPr w:rsidR="00D369A9" w:rsidRPr="008B2C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CB16C" w14:textId="77777777" w:rsidR="0028284B" w:rsidRDefault="0028284B" w:rsidP="002A2BAC">
      <w:r>
        <w:separator/>
      </w:r>
    </w:p>
  </w:endnote>
  <w:endnote w:type="continuationSeparator" w:id="0">
    <w:p w14:paraId="2354FA5F" w14:textId="77777777" w:rsidR="0028284B" w:rsidRDefault="0028284B" w:rsidP="002A2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C1794" w14:textId="77777777" w:rsidR="0028284B" w:rsidRDefault="0028284B" w:rsidP="002A2BAC">
      <w:r>
        <w:separator/>
      </w:r>
    </w:p>
  </w:footnote>
  <w:footnote w:type="continuationSeparator" w:id="0">
    <w:p w14:paraId="700F7128" w14:textId="77777777" w:rsidR="0028284B" w:rsidRDefault="0028284B" w:rsidP="002A2B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C1B"/>
    <w:rsid w:val="000524CB"/>
    <w:rsid w:val="0005448D"/>
    <w:rsid w:val="00065A94"/>
    <w:rsid w:val="000822F7"/>
    <w:rsid w:val="000A0689"/>
    <w:rsid w:val="000A750A"/>
    <w:rsid w:val="000F2042"/>
    <w:rsid w:val="00113B5D"/>
    <w:rsid w:val="0016358E"/>
    <w:rsid w:val="0018015E"/>
    <w:rsid w:val="001B3150"/>
    <w:rsid w:val="001E221F"/>
    <w:rsid w:val="00211E4A"/>
    <w:rsid w:val="00232415"/>
    <w:rsid w:val="00252D32"/>
    <w:rsid w:val="00264354"/>
    <w:rsid w:val="0027270E"/>
    <w:rsid w:val="0028284B"/>
    <w:rsid w:val="002A2BAC"/>
    <w:rsid w:val="003359D8"/>
    <w:rsid w:val="00364F64"/>
    <w:rsid w:val="00392D9F"/>
    <w:rsid w:val="003A4FAD"/>
    <w:rsid w:val="003B2DF5"/>
    <w:rsid w:val="004452DD"/>
    <w:rsid w:val="0047560C"/>
    <w:rsid w:val="004809A4"/>
    <w:rsid w:val="004D1AE2"/>
    <w:rsid w:val="00505A52"/>
    <w:rsid w:val="00510E85"/>
    <w:rsid w:val="0055433B"/>
    <w:rsid w:val="00577B66"/>
    <w:rsid w:val="005F741F"/>
    <w:rsid w:val="00607D65"/>
    <w:rsid w:val="006A1C64"/>
    <w:rsid w:val="006A1F5F"/>
    <w:rsid w:val="006D4FEB"/>
    <w:rsid w:val="006E06A9"/>
    <w:rsid w:val="00713E92"/>
    <w:rsid w:val="00743C48"/>
    <w:rsid w:val="00785C93"/>
    <w:rsid w:val="007B0E33"/>
    <w:rsid w:val="007E42E2"/>
    <w:rsid w:val="00801A95"/>
    <w:rsid w:val="008107A2"/>
    <w:rsid w:val="00814F91"/>
    <w:rsid w:val="00830228"/>
    <w:rsid w:val="00884E6F"/>
    <w:rsid w:val="008851C3"/>
    <w:rsid w:val="008B2C1B"/>
    <w:rsid w:val="008F352C"/>
    <w:rsid w:val="00900312"/>
    <w:rsid w:val="00905CA2"/>
    <w:rsid w:val="00906D05"/>
    <w:rsid w:val="00922D49"/>
    <w:rsid w:val="009622BD"/>
    <w:rsid w:val="00985DF7"/>
    <w:rsid w:val="009B20D9"/>
    <w:rsid w:val="009C29C0"/>
    <w:rsid w:val="009D5F15"/>
    <w:rsid w:val="009E76D2"/>
    <w:rsid w:val="00A1682C"/>
    <w:rsid w:val="00A17313"/>
    <w:rsid w:val="00A359FC"/>
    <w:rsid w:val="00A659F2"/>
    <w:rsid w:val="00A81582"/>
    <w:rsid w:val="00B15210"/>
    <w:rsid w:val="00B2319E"/>
    <w:rsid w:val="00B27FAB"/>
    <w:rsid w:val="00B36678"/>
    <w:rsid w:val="00B704CB"/>
    <w:rsid w:val="00B76AAB"/>
    <w:rsid w:val="00BA0998"/>
    <w:rsid w:val="00C5138A"/>
    <w:rsid w:val="00C63452"/>
    <w:rsid w:val="00D27925"/>
    <w:rsid w:val="00D369A9"/>
    <w:rsid w:val="00DA5088"/>
    <w:rsid w:val="00E10ACF"/>
    <w:rsid w:val="00E15F6A"/>
    <w:rsid w:val="00E73077"/>
    <w:rsid w:val="00E86D52"/>
    <w:rsid w:val="00EB1262"/>
    <w:rsid w:val="00EC2650"/>
    <w:rsid w:val="00ED3E3F"/>
    <w:rsid w:val="00F21C4B"/>
    <w:rsid w:val="00F44C58"/>
    <w:rsid w:val="00F44F7D"/>
    <w:rsid w:val="00F738FB"/>
    <w:rsid w:val="00F80197"/>
    <w:rsid w:val="00F9537D"/>
    <w:rsid w:val="00FA4057"/>
    <w:rsid w:val="00FE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6A277A"/>
  <w15:chartTrackingRefBased/>
  <w15:docId w15:val="{B15AAF9F-000E-4EC5-80C8-39458DFCD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微软雅黑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2B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2B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2B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2BAC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906D0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9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0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6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1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6</Pages>
  <Words>731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Yewei Sun</dc:creator>
  <cp:keywords/>
  <dc:description/>
  <cp:lastModifiedBy>Yewei Sun</cp:lastModifiedBy>
  <cp:revision>165</cp:revision>
  <dcterms:created xsi:type="dcterms:W3CDTF">2021-11-20T03:09:00Z</dcterms:created>
  <dcterms:modified xsi:type="dcterms:W3CDTF">2021-11-29T22:17:00Z</dcterms:modified>
</cp:coreProperties>
</file>