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6"/>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循环神经网络概述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现代系统工程导论</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2016年</w:t>
      </w:r>
      <w:r>
        <w:rPr>
          <w:rFonts w:hint="eastAsia" w:ascii="宋体" w:hAnsi="宋体"/>
          <w:sz w:val="28"/>
          <w:szCs w:val="28"/>
          <w:lang w:val="en-US" w:eastAsia="zh-CN"/>
        </w:rPr>
        <w:t>12</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jc w:val="center"/>
        <w:rPr>
          <w:rFonts w:hint="eastAsia"/>
          <w:lang w:eastAsia="zh-CN"/>
        </w:rPr>
      </w:pPr>
      <w:r>
        <w:rPr>
          <w:rFonts w:hint="eastAsia"/>
          <w:lang w:eastAsia="zh-CN"/>
        </w:rPr>
        <w:t>目录</w:t>
      </w:r>
    </w:p>
    <w:p>
      <w:pPr>
        <w:pStyle w:val="2"/>
        <w:numPr>
          <w:ilvl w:val="0"/>
          <w:numId w:val="1"/>
        </w:numP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1"/>
        </w:numPr>
        <w:rPr>
          <w:rFonts w:hint="eastAsia"/>
          <w:lang w:val="en-US" w:eastAsia="zh-CN"/>
        </w:rPr>
      </w:pPr>
      <w:r>
        <w:rPr>
          <w:rFonts w:hint="eastAsia"/>
          <w:lang w:eastAsia="zh-CN"/>
        </w:rPr>
        <w:t>循环神经网络简介</w:t>
      </w:r>
    </w:p>
    <w:p>
      <w:pPr>
        <w:rPr>
          <w:rFonts w:hint="eastAsia"/>
          <w:lang w:val="en-US" w:eastAsia="zh-CN"/>
        </w:rPr>
      </w:pPr>
      <w:r>
        <w:rPr>
          <w:rFonts w:hint="eastAsia"/>
          <w:lang w:val="en-US" w:eastAsia="zh-CN"/>
        </w:rPr>
        <w:t xml:space="preserve">    前提声明，本文所有内容都是本人在查阅相关资料之后，再加上本人自身的理解后写出，所以文中难免有疏漏之处，还请海涵。</w:t>
      </w:r>
    </w:p>
    <w:p>
      <w:pPr>
        <w:pStyle w:val="3"/>
        <w:numPr>
          <w:ilvl w:val="0"/>
          <w:numId w:val="2"/>
        </w:numPr>
        <w:rPr>
          <w:rFonts w:hint="eastAsia"/>
          <w:lang w:val="en-US" w:eastAsia="zh-CN"/>
        </w:rPr>
      </w:pPr>
      <w:r>
        <w:rPr>
          <w:rFonts w:hint="eastAsia"/>
          <w:lang w:val="en-US" w:eastAsia="zh-CN"/>
        </w:rPr>
        <w:t>神经网络简介</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在介绍循环神经网络之前，先简单地介绍一下基本的神经网络。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人工神经网络（</w:t>
      </w:r>
      <w:r>
        <w:rPr>
          <w:rFonts w:hint="default" w:ascii="Times New Roman" w:hAnsi="Times New Roman" w:eastAsia="宋体" w:cs="Times New Roman"/>
          <w:lang w:val="en-US" w:eastAsia="zh-CN"/>
        </w:rPr>
        <w:t>ANN，Artificial Neural Network</w:t>
      </w:r>
      <w:r>
        <w:rPr>
          <w:rFonts w:hint="eastAsia" w:ascii="宋体" w:hAnsi="宋体" w:eastAsia="宋体" w:cs="宋体"/>
          <w:lang w:val="en-US" w:eastAsia="zh-CN"/>
        </w:rPr>
        <w:t>），简称神经网络（</w:t>
      </w:r>
      <w:r>
        <w:rPr>
          <w:rFonts w:hint="default" w:ascii="Times New Roman" w:hAnsi="Times New Roman" w:eastAsia="宋体" w:cs="Times New Roman"/>
          <w:lang w:val="en-US" w:eastAsia="zh-CN"/>
        </w:rPr>
        <w:t>NN，Neural Network</w:t>
      </w:r>
      <w:r>
        <w:rPr>
          <w:rFonts w:hint="eastAsia" w:ascii="宋体" w:hAnsi="宋体" w:eastAsia="宋体" w:cs="宋体"/>
          <w:lang w:val="en-US" w:eastAsia="zh-CN"/>
        </w:rPr>
        <w:t>）或类神经网络，是一种模仿生物神经网络的结构和功能的数学模型或计算模型，用于对函数进行估算或近似。神经网络目前没有一个统一的正式定义，粗略地说，神经网络是一组连接的输入/输出单元，其中每个连接都与一个权重相关联。</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神经网络的结构如图1.1所示：</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34535" cy="2772410"/>
            <wp:effectExtent l="0" t="0" r="18415"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1"/>
                    <a:stretch>
                      <a:fillRect/>
                    </a:stretch>
                  </pic:blipFill>
                  <pic:spPr>
                    <a:xfrm>
                      <a:off x="0" y="0"/>
                      <a:ext cx="4534535" cy="2772410"/>
                    </a:xfrm>
                    <a:prstGeom prst="rect">
                      <a:avLst/>
                    </a:prstGeom>
                  </pic:spPr>
                </pic:pic>
              </a:graphicData>
            </a:graphic>
          </wp:inline>
        </w:drawing>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t>图1.1（此图为自制）</w:t>
      </w:r>
    </w:p>
    <w:p>
      <w:pPr>
        <w:numPr>
          <w:ilvl w:val="0"/>
          <w:numId w:val="0"/>
        </w:numPr>
        <w:jc w:val="both"/>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输入层（</w:t>
      </w:r>
      <w:r>
        <w:rPr>
          <w:rFonts w:hint="default" w:ascii="Times New Roman" w:hAnsi="Times New Roman" w:eastAsia="宋体" w:cs="Times New Roman"/>
          <w:lang w:val="en-US" w:eastAsia="zh-CN"/>
        </w:rPr>
        <w:t>Input layer</w:t>
      </w:r>
      <w:r>
        <w:rPr>
          <w:rFonts w:hint="eastAsia" w:ascii="宋体" w:hAnsi="宋体" w:eastAsia="宋体" w:cs="宋体"/>
          <w:lang w:val="en-US" w:eastAsia="zh-CN"/>
        </w:rPr>
        <w:t>）：由一个个神经元（</w:t>
      </w:r>
      <w:r>
        <w:rPr>
          <w:rFonts w:hint="default" w:ascii="Times New Roman" w:hAnsi="Times New Roman" w:eastAsia="宋体" w:cs="Times New Roman"/>
          <w:lang w:val="en-US" w:eastAsia="zh-CN"/>
        </w:rPr>
        <w:t>Neuron</w:t>
      </w:r>
      <w:r>
        <w:rPr>
          <w:rFonts w:hint="eastAsia" w:ascii="宋体" w:hAnsi="宋体" w:eastAsia="宋体" w:cs="宋体"/>
          <w:lang w:val="en-US" w:eastAsia="zh-CN"/>
        </w:rPr>
        <w:t>）构成，神经网络的输入对应于每个训练元组的观测属性。</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隐藏层（</w:t>
      </w:r>
      <w:r>
        <w:rPr>
          <w:rFonts w:hint="default" w:ascii="Times New Roman" w:hAnsi="Times New Roman" w:eastAsia="宋体" w:cs="Times New Roman"/>
          <w:lang w:val="en-US" w:eastAsia="zh-CN"/>
        </w:rPr>
        <w:t>Hidden layer</w:t>
      </w:r>
      <w:r>
        <w:rPr>
          <w:rFonts w:hint="eastAsia" w:ascii="宋体" w:hAnsi="宋体" w:eastAsia="宋体" w:cs="宋体"/>
          <w:lang w:val="en-US" w:eastAsia="zh-CN"/>
        </w:rPr>
        <w:t>）：简称“隐层”，是输入层和输出层之间众多神经元和链接组成的各个层面。隐藏层的数量是任意的，拥有两个以上隐藏层的神经网络叫作深度神经网络。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输出层（</w:t>
      </w:r>
      <w:r>
        <w:rPr>
          <w:rFonts w:hint="default" w:ascii="Times New Roman" w:hAnsi="Times New Roman" w:eastAsia="宋体" w:cs="Times New Roman"/>
          <w:lang w:val="en-US" w:eastAsia="zh-CN"/>
        </w:rPr>
        <w:t>Output layer</w:t>
      </w:r>
      <w:r>
        <w:rPr>
          <w:rFonts w:hint="eastAsia" w:ascii="宋体" w:hAnsi="宋体" w:eastAsia="宋体" w:cs="宋体"/>
          <w:lang w:val="en-US" w:eastAsia="zh-CN"/>
        </w:rPr>
        <w:t>）：消息在神经元链接中传输、分析、权衡，形成输出结果，输出的消息称为输出向量。</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神经元：图1.1中每个圆圈都是神经元。神经元也叫作感知器，只不过说感知器的时候，它的激活函数是阶跃函数，说神经元的时候，它的激活函数往往选择</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（y=1/(1+exp(-x))）</w:t>
      </w:r>
      <w:r>
        <w:rPr>
          <w:rFonts w:hint="eastAsia" w:ascii="宋体" w:hAnsi="宋体" w:eastAsia="宋体" w:cs="宋体"/>
          <w:lang w:val="en-US" w:eastAsia="zh-CN"/>
        </w:rPr>
        <w:t>或</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（双曲正切，y=(exp(x)-exp(-x))/(exp(x)+exp(-x))）。</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输入权值：一个神经元可以接收多个输入，每个输入上有一个权值，图1.1中神经元之间的每条连线对于一个权值。</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偏置项：图1.1中“+1”所对应的权值就是偏置项，用于给激活函数设置阈值，偏置单元没有输入，即没有连线指向偏置项。</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激活函数：它在神经网络中的功能是通过对加权的输入进行非线性组合产生非线性决策边界。激活函数可以有很多种选择，例如阶跃函数、</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relu</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w:t>
      </w:r>
      <w:bookmarkStart w:id="1" w:name="_GoBack"/>
      <w:bookmarkEnd w:id="1"/>
    </w:p>
    <w:p>
      <w:pPr>
        <w:numPr>
          <w:ilvl w:val="0"/>
          <w:numId w:val="0"/>
        </w:numPr>
        <w:ind w:firstLine="420"/>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p>
    <w:p>
      <w:pPr>
        <w:pStyle w:val="3"/>
        <w:numPr>
          <w:ilvl w:val="0"/>
          <w:numId w:val="2"/>
        </w:numPr>
        <w:rPr>
          <w:rFonts w:hint="eastAsia"/>
          <w:lang w:val="en-US" w:eastAsia="zh-CN"/>
        </w:rPr>
      </w:pPr>
      <w:r>
        <w:rPr>
          <w:rFonts w:hint="eastAsia"/>
          <w:lang w:val="en-US" w:eastAsia="zh-CN"/>
        </w:rPr>
        <w:t>循环神经网络简介</w:t>
      </w:r>
    </w:p>
    <w:p>
      <w:pPr>
        <w:pStyle w:val="3"/>
        <w:rPr>
          <w:rFonts w:hint="eastAsia"/>
          <w:lang w:val="en-US" w:eastAsia="zh-CN"/>
        </w:rPr>
      </w:pPr>
      <w:r>
        <w:rPr>
          <w:rFonts w:hint="eastAsia"/>
          <w:lang w:val="en-US" w:eastAsia="zh-CN"/>
        </w:rPr>
        <w:t>3、小结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0"/>
        </w:numPr>
        <w:rPr>
          <w:rFonts w:hint="eastAsia"/>
          <w:lang w:val="en-US" w:eastAsia="zh-CN"/>
        </w:rPr>
      </w:pPr>
      <w:r>
        <w:rPr>
          <w:rFonts w:hint="eastAsia"/>
          <w:lang w:eastAsia="zh-CN"/>
        </w:rPr>
        <w:t>二、循环神经网络的训练算法</w:t>
      </w:r>
    </w:p>
    <w:p>
      <w:pPr>
        <w:pStyle w:val="2"/>
        <w:numPr>
          <w:ilvl w:val="0"/>
          <w:numId w:val="0"/>
        </w:numPr>
        <w:rPr>
          <w:rFonts w:hint="eastAsia"/>
          <w:lang w:val="en-US" w:eastAsia="zh-CN"/>
        </w:rPr>
      </w:pPr>
      <w:r>
        <w:rPr>
          <w:rFonts w:hint="eastAsia"/>
          <w:lang w:val="en-US" w:eastAsia="zh-CN"/>
        </w:rPr>
        <w:t>三、RNN的梯度爆炸和消失问题</w:t>
      </w:r>
    </w:p>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D93"/>
    <w:multiLevelType w:val="singleLevel"/>
    <w:tmpl w:val="5922ED93"/>
    <w:lvl w:ilvl="0" w:tentative="0">
      <w:start w:val="1"/>
      <w:numFmt w:val="chineseCounting"/>
      <w:suff w:val="nothing"/>
      <w:lvlText w:val="%1、"/>
      <w:lvlJc w:val="left"/>
    </w:lvl>
  </w:abstractNum>
  <w:abstractNum w:abstractNumId="1">
    <w:nsid w:val="59240043"/>
    <w:multiLevelType w:val="singleLevel"/>
    <w:tmpl w:val="5924004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90B31"/>
    <w:rsid w:val="01D12AE8"/>
    <w:rsid w:val="03DB1EFE"/>
    <w:rsid w:val="0568037C"/>
    <w:rsid w:val="05E532FE"/>
    <w:rsid w:val="076F1E75"/>
    <w:rsid w:val="078367D4"/>
    <w:rsid w:val="0A22586E"/>
    <w:rsid w:val="0BE034B0"/>
    <w:rsid w:val="114208F5"/>
    <w:rsid w:val="128B2C47"/>
    <w:rsid w:val="128F0204"/>
    <w:rsid w:val="12A012D7"/>
    <w:rsid w:val="139B0EA1"/>
    <w:rsid w:val="14F019AC"/>
    <w:rsid w:val="178322A4"/>
    <w:rsid w:val="17C8133A"/>
    <w:rsid w:val="1D6E5587"/>
    <w:rsid w:val="1EAD2409"/>
    <w:rsid w:val="21CA364F"/>
    <w:rsid w:val="23CE349B"/>
    <w:rsid w:val="23FB652F"/>
    <w:rsid w:val="25B60B62"/>
    <w:rsid w:val="260A16AC"/>
    <w:rsid w:val="286E7455"/>
    <w:rsid w:val="2B1B2FBC"/>
    <w:rsid w:val="2D8C5E5E"/>
    <w:rsid w:val="2E6658E4"/>
    <w:rsid w:val="30392A01"/>
    <w:rsid w:val="32B37D68"/>
    <w:rsid w:val="3393372F"/>
    <w:rsid w:val="35490870"/>
    <w:rsid w:val="37251630"/>
    <w:rsid w:val="39696E44"/>
    <w:rsid w:val="3B0B460B"/>
    <w:rsid w:val="3BE3796C"/>
    <w:rsid w:val="3EFE1B90"/>
    <w:rsid w:val="3FB06F33"/>
    <w:rsid w:val="422D4AB6"/>
    <w:rsid w:val="43587562"/>
    <w:rsid w:val="43CE58CE"/>
    <w:rsid w:val="43E003E4"/>
    <w:rsid w:val="44E93DC3"/>
    <w:rsid w:val="4745614A"/>
    <w:rsid w:val="477B2F26"/>
    <w:rsid w:val="4AA27D3E"/>
    <w:rsid w:val="4ADB5500"/>
    <w:rsid w:val="4C675662"/>
    <w:rsid w:val="4E813D1B"/>
    <w:rsid w:val="51511588"/>
    <w:rsid w:val="55896E3C"/>
    <w:rsid w:val="57765735"/>
    <w:rsid w:val="58B05532"/>
    <w:rsid w:val="591F383F"/>
    <w:rsid w:val="59A42C9A"/>
    <w:rsid w:val="5E86012C"/>
    <w:rsid w:val="5F7D2DE1"/>
    <w:rsid w:val="64007E5D"/>
    <w:rsid w:val="64CE1B40"/>
    <w:rsid w:val="679C19D1"/>
    <w:rsid w:val="684610EC"/>
    <w:rsid w:val="68D56283"/>
    <w:rsid w:val="6901525F"/>
    <w:rsid w:val="6A53764C"/>
    <w:rsid w:val="6A826F76"/>
    <w:rsid w:val="6A9E5046"/>
    <w:rsid w:val="6B506B50"/>
    <w:rsid w:val="6B7E11E5"/>
    <w:rsid w:val="6C86448A"/>
    <w:rsid w:val="6D27627E"/>
    <w:rsid w:val="6F4C2852"/>
    <w:rsid w:val="6F5E583D"/>
    <w:rsid w:val="71EE37E9"/>
    <w:rsid w:val="74387210"/>
    <w:rsid w:val="74DA4A58"/>
    <w:rsid w:val="79223159"/>
    <w:rsid w:val="7AA52701"/>
    <w:rsid w:val="7AB94DFE"/>
    <w:rsid w:val="7C757442"/>
    <w:rsid w:val="7E7A619E"/>
    <w:rsid w:val="7FDF2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Normal (Web)"/>
    <w:basedOn w:val="1"/>
    <w:qFormat/>
    <w:uiPriority w:val="0"/>
    <w:rPr>
      <w:sz w:val="24"/>
    </w:rPr>
  </w:style>
  <w:style w:type="character" w:styleId="15">
    <w:name w:val="page number"/>
    <w:basedOn w:val="14"/>
    <w:qFormat/>
    <w:uiPriority w:val="0"/>
  </w:style>
  <w:style w:type="paragraph" w:customStyle="1" w:styleId="17">
    <w:name w:val="样式1"/>
    <w:basedOn w:val="2"/>
    <w:qFormat/>
    <w:uiPriority w:val="0"/>
    <w:pPr>
      <w:jc w:val="left"/>
    </w:pPr>
    <w:rPr>
      <w:rFonts w:ascii="黑体" w:hAnsi="黑体" w:eastAsia="黑体"/>
      <w:sz w:val="30"/>
    </w:rPr>
  </w:style>
  <w:style w:type="paragraph" w:customStyle="1" w:styleId="18">
    <w:name w:val="样式"/>
    <w:basedOn w:val="2"/>
    <w:next w:val="9"/>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2017-05-23T13:56:06Z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