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color w:val="4B5563"/>
          <w:sz w:val="20"/>
          <w:szCs w:val="20"/>
        </w:rPr>
        <w:t xml:space="preserve">Herkimer County AI Policy Workshop  —  June 10, 2026</w:t>
      </w:r>
      <w:r>
        <w:rPr>
          <w:rFonts w:ascii="Arial" w:cs="Arial" w:eastAsia="Arial" w:hAnsi="Arial"/>
          <w:color w:val="AAAAAA"/>
          <w:sz w:val="20"/>
          <w:szCs w:val="20"/>
        </w:rPr>
        <w:t xml:space="preserve">     SUNY Polytechnic Institute / AIX Center</w:t>
      </w:r>
    </w:p>
    <w:p>
      <w:pPr>
        <w:pBdr>
          <w:bottom w:val="single" w:color="002D62" w:sz="4"/>
        </w:pBdr>
        <w:spacing w:after="120" w:before="120"/>
      </w:pPr>
      <w:r>
        <w:t xml:space="preserve"/>
      </w:r>
    </w:p>
    <w:p>
      <w:pPr>
        <w:spacing w:after="80" w:before="0"/>
      </w:pPr>
      <w:r>
        <w:t xml:space="preserve"/>
      </w:r>
    </w:p>
    <w:p>
      <w:pPr>
        <w:spacing w:after="80" w:before="0"/>
      </w:pPr>
      <w:r>
        <w:rPr>
          <w:rFonts w:ascii="Arial" w:cs="Arial" w:eastAsia="Arial" w:hAnsi="Arial"/>
          <w:b/>
          <w:bCs/>
          <w:color w:val="002D62"/>
          <w:sz w:val="44"/>
          <w:szCs w:val="44"/>
        </w:rPr>
        <w:t xml:space="preserve">AI Policy Dimensions</w:t>
      </w:r>
    </w:p>
    <w:p>
      <w:pPr>
        <w:spacing w:after="200" w:before="0"/>
      </w:pPr>
      <w:r>
        <w:rPr>
          <w:rFonts w:ascii="Arial" w:cs="Arial" w:eastAsia="Arial" w:hAnsi="Arial"/>
          <w:i/>
          <w:iCs/>
          <w:color w:val="4B5563"/>
          <w:sz w:val="22"/>
          <w:szCs w:val="22"/>
        </w:rPr>
        <w:t xml:space="preserve">Reference card. Use this to rank each dimension Hi or Lo when completing your worksheet.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80"/>
        <w:gridCol w:w="2880"/>
        <w:gridCol w:w="2000"/>
      </w:tblGrid>
      <w:tr>
        <w:trPr>
          <w:tblHeader/>
        </w:trPr>
        <w:tc>
          <w:tcPr>
            <w:tcW w:type="dxa" w:w="1600"/>
            <w:tcBorders>
              <w:top w:val="single" w:color="D1D5DB" w:sz="1"/>
              <w:left w:val="single" w:color="D1D5DB" w:sz="1"/>
              <w:bottom w:val="single" w:color="D1D5DB" w:sz="1"/>
              <w:right w:val="single" w:color="D1D5DB" w:sz="1"/>
            </w:tcBorders>
            <w:shd w:fill="002D62" w:val="clear"/>
            <w:tcMar>
              <w:top w:type="dxa" w:w="120"/>
              <w:left w:type="dxa" w:w="160"/>
              <w:bottom w:type="dxa" w:w="120"/>
              <w:right w:type="dxa" w:w="160"/>
            </w:tcMar>
          </w:tcPr>
          <w:p>
            <w:r>
              <w:rPr>
                <w:rFonts w:ascii="Arial" w:cs="Arial" w:eastAsia="Arial" w:hAnsi="Arial"/>
                <w:b/>
                <w:bCs/>
                <w:caps/>
                <w:color w:val="FFFFFF"/>
                <w:sz w:val="18"/>
                <w:szCs w:val="18"/>
              </w:rPr>
              <w:t xml:space="preserve">Dimension</w:t>
            </w:r>
          </w:p>
        </w:tc>
        <w:tc>
          <w:tcPr>
            <w:tcW w:type="dxa" w:w="2880"/>
            <w:tcBorders>
              <w:top w:val="single" w:color="D1D5DB" w:sz="1"/>
              <w:left w:val="single" w:color="D1D5DB" w:sz="1"/>
              <w:bottom w:val="single" w:color="D1D5DB" w:sz="1"/>
              <w:right w:val="single" w:color="D1D5DB" w:sz="1"/>
            </w:tcBorders>
            <w:shd w:fill="002D62" w:val="clear"/>
            <w:tcMar>
              <w:top w:type="dxa" w:w="120"/>
              <w:left w:type="dxa" w:w="160"/>
              <w:bottom w:type="dxa" w:w="120"/>
              <w:right w:type="dxa" w:w="160"/>
            </w:tcMar>
          </w:tcPr>
          <w:p>
            <w:r>
              <w:rPr>
                <w:rFonts w:ascii="Arial" w:cs="Arial" w:eastAsia="Arial" w:hAnsi="Arial"/>
                <w:b/>
                <w:bCs/>
                <w:caps/>
                <w:color w:val="FFFFFF"/>
                <w:sz w:val="18"/>
                <w:szCs w:val="18"/>
              </w:rPr>
              <w:t xml:space="preserve">Hi</w:t>
            </w:r>
          </w:p>
        </w:tc>
        <w:tc>
          <w:tcPr>
            <w:tcW w:type="dxa" w:w="2880"/>
            <w:tcBorders>
              <w:top w:val="single" w:color="D1D5DB" w:sz="1"/>
              <w:left w:val="single" w:color="D1D5DB" w:sz="1"/>
              <w:bottom w:val="single" w:color="D1D5DB" w:sz="1"/>
              <w:right w:val="single" w:color="D1D5DB" w:sz="1"/>
            </w:tcBorders>
            <w:shd w:fill="002D62" w:val="clear"/>
            <w:tcMar>
              <w:top w:type="dxa" w:w="120"/>
              <w:left w:type="dxa" w:w="160"/>
              <w:bottom w:type="dxa" w:w="120"/>
              <w:right w:type="dxa" w:w="160"/>
            </w:tcMar>
          </w:tcPr>
          <w:p>
            <w:r>
              <w:rPr>
                <w:rFonts w:ascii="Arial" w:cs="Arial" w:eastAsia="Arial" w:hAnsi="Arial"/>
                <w:b/>
                <w:bCs/>
                <w:caps/>
                <w:color w:val="FFFFFF"/>
                <w:sz w:val="18"/>
                <w:szCs w:val="18"/>
              </w:rPr>
              <w:t xml:space="preserve">Lo</w:t>
            </w:r>
          </w:p>
        </w:tc>
        <w:tc>
          <w:tcPr>
            <w:tcW w:type="dxa" w:w="2000"/>
            <w:tcBorders>
              <w:top w:val="single" w:color="D1D5DB" w:sz="1"/>
              <w:left w:val="single" w:color="D1D5DB" w:sz="1"/>
              <w:bottom w:val="single" w:color="D1D5DB" w:sz="1"/>
              <w:right w:val="single" w:color="D1D5DB" w:sz="1"/>
            </w:tcBorders>
            <w:shd w:fill="002D62" w:val="clear"/>
            <w:tcMar>
              <w:top w:type="dxa" w:w="120"/>
              <w:left w:type="dxa" w:w="160"/>
              <w:bottom w:type="dxa" w:w="120"/>
              <w:right w:type="dxa" w:w="160"/>
            </w:tcMar>
          </w:tcPr>
          <w:p>
            <w:r>
              <w:rPr>
                <w:rFonts w:ascii="Arial" w:cs="Arial" w:eastAsia="Arial" w:hAnsi="Arial"/>
                <w:b/>
                <w:bCs/>
                <w:caps/>
                <w:color w:val="FFFFFF"/>
                <w:sz w:val="18"/>
                <w:szCs w:val="18"/>
              </w:rPr>
              <w:t xml:space="preserve">The question</w:t>
            </w:r>
          </w:p>
        </w:tc>
      </w:tr>
      <w:tr>
        <w:tc>
          <w:tcPr>
            <w:tcW w:type="dxa" w:w="1600"/>
            <w:tcBorders>
              <w:top w:val="single" w:color="D1D5DB" w:sz="1"/>
              <w:left w:val="single" w:color="D1D5DB" w:sz="1"/>
              <w:bottom w:val="single" w:color="D1D5DB" w:sz="1"/>
              <w:right w:val="single" w:color="D1D5DB" w:sz="1"/>
            </w:tcBorders>
            <w:shd w:fill="8B0000" w:val="clear"/>
            <w:tcMar>
              <w:top w:type="dxa" w:w="120"/>
              <w:left w:type="dxa" w:w="160"/>
              <w:bottom w:type="dxa" w:w="120"/>
              <w:right w:type="dxa" w:w="160"/>
            </w:tcMar>
          </w:tcPr>
          <w:p>
            <w:r>
              <w:rPr>
                <w:rFonts w:ascii="Arial" w:cs="Arial" w:eastAsia="Arial" w:hAnsi="Arial"/>
                <w:b/>
                <w:bCs/>
                <w:color w:val="FFFFFF"/>
                <w:sz w:val="22"/>
                <w:szCs w:val="22"/>
              </w:rPr>
              <w:t xml:space="preserve">Security</w:t>
            </w:r>
          </w:p>
        </w:tc>
        <w:tc>
          <w:tcPr>
            <w:tcW w:type="dxa" w:w="288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color w:val="4B5563"/>
                <w:sz w:val="20"/>
                <w:szCs w:val="20"/>
              </w:rPr>
              <w:t xml:space="preserve">County-vetted tools only. Data stays on county systems. Auditable by IT.</w:t>
            </w:r>
          </w:p>
        </w:tc>
        <w:tc>
          <w:tcPr>
            <w:tcW w:type="dxa" w:w="288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color w:val="4B5563"/>
                <w:sz w:val="20"/>
                <w:szCs w:val="20"/>
              </w:rPr>
              <w:t xml:space="preserve">Any available tool. Staff responsible for data handling.</w:t>
            </w:r>
          </w:p>
        </w:tc>
        <w:tc>
          <w:tcPr>
            <w:tcW w:type="dxa" w:w="200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i/>
                <w:iCs/>
                <w:color w:val="4B5563"/>
                <w:sz w:val="20"/>
                <w:szCs w:val="20"/>
              </w:rPr>
              <w:t xml:space="preserve">Which tools? Where does the data go?</w:t>
            </w:r>
          </w:p>
        </w:tc>
      </w:tr>
      <w:tr>
        <w:tc>
          <w:tcPr>
            <w:tcW w:type="dxa" w:w="1600"/>
            <w:tcBorders>
              <w:top w:val="single" w:color="D1D5DB" w:sz="1"/>
              <w:left w:val="single" w:color="D1D5DB" w:sz="1"/>
              <w:bottom w:val="single" w:color="D1D5DB" w:sz="1"/>
              <w:right w:val="single" w:color="D1D5DB" w:sz="1"/>
            </w:tcBorders>
            <w:shd w:fill="6600CC" w:val="clear"/>
            <w:tcMar>
              <w:top w:type="dxa" w:w="120"/>
              <w:left w:type="dxa" w:w="160"/>
              <w:bottom w:type="dxa" w:w="120"/>
              <w:right w:type="dxa" w:w="160"/>
            </w:tcMar>
          </w:tcPr>
          <w:p>
            <w:r>
              <w:rPr>
                <w:rFonts w:ascii="Arial" w:cs="Arial" w:eastAsia="Arial" w:hAnsi="Arial"/>
                <w:b/>
                <w:bCs/>
                <w:color w:val="FFFFFF"/>
                <w:sz w:val="22"/>
                <w:szCs w:val="22"/>
              </w:rPr>
              <w:t xml:space="preserve">Accountability</w:t>
            </w:r>
          </w:p>
        </w:tc>
        <w:tc>
          <w:tcPr>
            <w:tcW w:type="dxa" w:w="288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color w:val="4B5563"/>
                <w:sz w:val="20"/>
                <w:szCs w:val="20"/>
              </w:rPr>
              <w:t xml:space="preserve">Every AI use logged: staff ID, tool, timestamp. Retained 90 days.</w:t>
            </w:r>
          </w:p>
        </w:tc>
        <w:tc>
          <w:tcPr>
            <w:tcW w:type="dxa" w:w="288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color w:val="4B5563"/>
                <w:sz w:val="20"/>
                <w:szCs w:val="20"/>
              </w:rPr>
              <w:t xml:space="preserve">No logging required. Existing supervisory practices apply.</w:t>
            </w:r>
          </w:p>
        </w:tc>
        <w:tc>
          <w:tcPr>
            <w:tcW w:type="dxa" w:w="200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i/>
                <w:iCs/>
                <w:color w:val="4B5563"/>
                <w:sz w:val="20"/>
                <w:szCs w:val="20"/>
              </w:rPr>
              <w:t xml:space="preserve">Is it logged? Who is responsible?</w:t>
            </w:r>
          </w:p>
        </w:tc>
      </w:tr>
      <w:tr>
        <w:tc>
          <w:tcPr>
            <w:tcW w:type="dxa" w:w="1600"/>
            <w:tcBorders>
              <w:top w:val="single" w:color="D1D5DB" w:sz="1"/>
              <w:left w:val="single" w:color="D1D5DB" w:sz="1"/>
              <w:bottom w:val="single" w:color="D1D5DB" w:sz="1"/>
              <w:right w:val="single" w:color="D1D5DB" w:sz="1"/>
            </w:tcBorders>
            <w:shd w:fill="006633" w:val="clear"/>
            <w:tcMar>
              <w:top w:type="dxa" w:w="120"/>
              <w:left w:type="dxa" w:w="160"/>
              <w:bottom w:type="dxa" w:w="120"/>
              <w:right w:type="dxa" w:w="160"/>
            </w:tcMar>
          </w:tcPr>
          <w:p>
            <w:r>
              <w:rPr>
                <w:rFonts w:ascii="Arial" w:cs="Arial" w:eastAsia="Arial" w:hAnsi="Arial"/>
                <w:b/>
                <w:bCs/>
                <w:color w:val="FFFFFF"/>
                <w:sz w:val="22"/>
                <w:szCs w:val="22"/>
              </w:rPr>
              <w:t xml:space="preserve">Efficiency</w:t>
            </w:r>
          </w:p>
        </w:tc>
        <w:tc>
          <w:tcPr>
            <w:tcW w:type="dxa" w:w="288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color w:val="4B5563"/>
                <w:sz w:val="20"/>
                <w:szCs w:val="20"/>
              </w:rPr>
              <w:t xml:space="preserve">Staff act directly on AI output after their own review.</w:t>
            </w:r>
          </w:p>
        </w:tc>
        <w:tc>
          <w:tcPr>
            <w:tcW w:type="dxa" w:w="288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color w:val="4B5563"/>
                <w:sz w:val="20"/>
                <w:szCs w:val="20"/>
              </w:rPr>
              <w:t xml:space="preserve">Supervisor sign-off required before action.</w:t>
            </w:r>
          </w:p>
        </w:tc>
        <w:tc>
          <w:tcPr>
            <w:tcW w:type="dxa" w:w="200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i/>
                <w:iCs/>
                <w:color w:val="4B5563"/>
                <w:sz w:val="20"/>
                <w:szCs w:val="20"/>
              </w:rPr>
              <w:t xml:space="preserve">Can staff act directly?</w:t>
            </w:r>
          </w:p>
        </w:tc>
      </w:tr>
      <w:tr>
        <w:tc>
          <w:tcPr>
            <w:tcW w:type="dxa" w:w="1600"/>
            <w:tcBorders>
              <w:top w:val="single" w:color="D1D5DB" w:sz="1"/>
              <w:left w:val="single" w:color="D1D5DB" w:sz="1"/>
              <w:bottom w:val="single" w:color="D1D5DB" w:sz="1"/>
              <w:right w:val="single" w:color="D1D5DB" w:sz="1"/>
            </w:tcBorders>
            <w:shd w:fill="003399" w:val="clear"/>
            <w:tcMar>
              <w:top w:type="dxa" w:w="120"/>
              <w:left w:type="dxa" w:w="160"/>
              <w:bottom w:type="dxa" w:w="120"/>
              <w:right w:type="dxa" w:w="160"/>
            </w:tcMar>
          </w:tcPr>
          <w:p>
            <w:r>
              <w:rPr>
                <w:rFonts w:ascii="Arial" w:cs="Arial" w:eastAsia="Arial" w:hAnsi="Arial"/>
                <w:b/>
                <w:bCs/>
                <w:color w:val="FFFFFF"/>
                <w:sz w:val="22"/>
                <w:szCs w:val="22"/>
              </w:rPr>
              <w:t xml:space="preserve">Innovation</w:t>
            </w:r>
          </w:p>
        </w:tc>
        <w:tc>
          <w:tcPr>
            <w:tcW w:type="dxa" w:w="288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color w:val="4B5563"/>
                <w:sz w:val="20"/>
                <w:szCs w:val="20"/>
              </w:rPr>
              <w:t xml:space="preserve">Staff may identify and pilot new tools within defined parameters.</w:t>
            </w:r>
          </w:p>
        </w:tc>
        <w:tc>
          <w:tcPr>
            <w:tcW w:type="dxa" w:w="288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color w:val="4B5563"/>
                <w:sz w:val="20"/>
                <w:szCs w:val="20"/>
              </w:rPr>
              <w:t xml:space="preserve">County-designated tools only. No independent adoption.</w:t>
            </w:r>
          </w:p>
        </w:tc>
        <w:tc>
          <w:tcPr>
            <w:tcW w:type="dxa" w:w="200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i/>
                <w:iCs/>
                <w:color w:val="4B5563"/>
                <w:sz w:val="20"/>
                <w:szCs w:val="20"/>
              </w:rPr>
              <w:t xml:space="preserve">Who picks the tools?</w:t>
            </w:r>
          </w:p>
        </w:tc>
      </w:tr>
    </w:tbl>
    <w:p>
      <w:pPr>
        <w:spacing w:after="200" w:before="0"/>
      </w:pPr>
      <w:r>
        <w:t xml:space="preserve"/>
      </w:r>
    </w:p>
    <w:p>
      <w:pPr>
        <w:spacing w:after="80" w:before="0"/>
      </w:pPr>
      <w:r>
        <w:rPr>
          <w:rFonts w:ascii="Arial" w:cs="Arial" w:eastAsia="Arial" w:hAnsi="Arial"/>
          <w:b/>
          <w:bCs/>
          <w:color w:val="002D62"/>
          <w:sz w:val="24"/>
          <w:szCs w:val="24"/>
        </w:rPr>
        <w:t xml:space="preserve">The Lever Chain</w:t>
      </w:r>
    </w:p>
    <w:p>
      <w:pPr>
        <w:spacing w:after="80" w:before="0"/>
      </w:pPr>
      <w:r>
        <w:rPr>
          <w:rFonts w:ascii="Arial" w:cs="Arial" w:eastAsia="Arial" w:hAnsi="Arial"/>
          <w:b/>
          <w:bCs/>
          <w:color w:val="006633"/>
          <w:sz w:val="22"/>
          <w:szCs w:val="22"/>
        </w:rPr>
        <w:t xml:space="preserve">Green</w:t>
      </w:r>
      <w:r>
        <w:rPr>
          <w:rFonts w:ascii="Arial" w:cs="Arial" w:eastAsia="Arial" w:hAnsi="Arial"/>
          <w:color w:val="4B5563"/>
          <w:sz w:val="20"/>
          <w:szCs w:val="20"/>
        </w:rPr>
        <w:t xml:space="preserve">  (S↑ Ac↑ E↓ I↓)</w:t>
      </w:r>
      <w:r>
        <w:rPr>
          <w:rFonts w:ascii="Arial" w:cs="Arial" w:eastAsia="Arial" w:hAnsi="Arial"/>
          <w:color w:val="4B5563"/>
          <w:sz w:val="20"/>
          <w:szCs w:val="20"/>
        </w:rPr>
        <w:t xml:space="preserve">  →  E↑ I↑  →  </w:t>
      </w:r>
      <w:r>
        <w:rPr>
          <w:rFonts w:ascii="Arial" w:cs="Arial" w:eastAsia="Arial" w:hAnsi="Arial"/>
          <w:b/>
          <w:bCs/>
          <w:color w:val="8B0000"/>
          <w:sz w:val="22"/>
          <w:szCs w:val="22"/>
        </w:rPr>
        <w:t xml:space="preserve">Red</w:t>
      </w:r>
      <w:r>
        <w:rPr>
          <w:rFonts w:ascii="Arial" w:cs="Arial" w:eastAsia="Arial" w:hAnsi="Arial"/>
          <w:color w:val="4B5563"/>
          <w:sz w:val="20"/>
          <w:szCs w:val="20"/>
        </w:rPr>
        <w:t xml:space="preserve">  (S↑ Ac↑ E↑ I↑)</w:t>
      </w:r>
      <w:r>
        <w:rPr>
          <w:rFonts w:ascii="Arial" w:cs="Arial" w:eastAsia="Arial" w:hAnsi="Arial"/>
          <w:color w:val="4B5563"/>
          <w:sz w:val="20"/>
          <w:szCs w:val="20"/>
        </w:rPr>
        <w:t xml:space="preserve">  →  Ac↓  →  </w:t>
      </w:r>
      <w:r>
        <w:rPr>
          <w:rFonts w:ascii="Arial" w:cs="Arial" w:eastAsia="Arial" w:hAnsi="Arial"/>
          <w:b/>
          <w:bCs/>
          <w:color w:val="003399"/>
          <w:sz w:val="22"/>
          <w:szCs w:val="22"/>
        </w:rPr>
        <w:t xml:space="preserve">Blue</w:t>
      </w:r>
      <w:r>
        <w:rPr>
          <w:rFonts w:ascii="Arial" w:cs="Arial" w:eastAsia="Arial" w:hAnsi="Arial"/>
          <w:color w:val="4B5563"/>
          <w:sz w:val="20"/>
          <w:szCs w:val="20"/>
        </w:rPr>
        <w:t xml:space="preserve">  (S↑ Ac↓ E↑ I↑)</w:t>
      </w:r>
      <w:r>
        <w:rPr>
          <w:rFonts w:ascii="Arial" w:cs="Arial" w:eastAsia="Arial" w:hAnsi="Arial"/>
          <w:color w:val="4B5563"/>
          <w:sz w:val="20"/>
          <w:szCs w:val="20"/>
        </w:rPr>
        <w:t xml:space="preserve">  →  S↓  →  </w:t>
      </w:r>
      <w:r>
        <w:rPr>
          <w:rFonts w:ascii="Arial" w:cs="Arial" w:eastAsia="Arial" w:hAnsi="Arial"/>
          <w:b/>
          <w:bCs/>
          <w:color w:val="B45309"/>
          <w:sz w:val="22"/>
          <w:szCs w:val="22"/>
        </w:rPr>
        <w:t xml:space="preserve">Yellow</w:t>
      </w:r>
      <w:r>
        <w:rPr>
          <w:rFonts w:ascii="Arial" w:cs="Arial" w:eastAsia="Arial" w:hAnsi="Arial"/>
          <w:color w:val="4B5563"/>
          <w:sz w:val="20"/>
          <w:szCs w:val="20"/>
        </w:rPr>
        <w:t xml:space="preserve">  (S↓ Ac↓ E↑ I↑)</w:t>
      </w:r>
    </w:p>
    <w:p>
      <w:r>
        <w:br w:type="page"/>
      </w:r>
    </w:p>
    <w:p>
      <w:pPr>
        <w:spacing w:after="60" w:before="0"/>
      </w:pPr>
      <w:r>
        <w:rPr>
          <w:rFonts w:ascii="Arial" w:cs="Arial" w:eastAsia="Arial" w:hAnsi="Arial"/>
          <w:color w:val="4B5563"/>
          <w:sz w:val="20"/>
          <w:szCs w:val="20"/>
        </w:rPr>
        <w:t xml:space="preserve">Herkimer County AI Policy Workshop  —  June 10, 2026</w:t>
      </w:r>
    </w:p>
    <w:p>
      <w:pPr>
        <w:pBdr>
          <w:bottom w:val="single" w:color="002D62" w:sz="4"/>
        </w:pBdr>
        <w:spacing w:after="120" w:before="120"/>
      </w:pPr>
      <w:r>
        <w:t xml:space="preserve"/>
      </w:r>
    </w:p>
    <w:p>
      <w:pPr>
        <w:spacing w:after="80" w:before="0"/>
      </w:pPr>
      <w:r>
        <w:t xml:space="preserve"/>
      </w:r>
    </w:p>
    <w:p>
      <w:pPr>
        <w:spacing w:after="60" w:before="0"/>
      </w:pPr>
      <w:r>
        <w:rPr>
          <w:rFonts w:ascii="Arial" w:cs="Arial" w:eastAsia="Arial" w:hAnsi="Arial"/>
          <w:b/>
          <w:bCs/>
          <w:color w:val="002D62"/>
          <w:sz w:val="44"/>
          <w:szCs w:val="44"/>
        </w:rPr>
        <w:t xml:space="preserve">The Scenarios</w:t>
      </w:r>
    </w:p>
    <w:p>
      <w:pPr>
        <w:spacing w:after="160" w:before="0"/>
      </w:pPr>
      <w:r>
        <w:rPr>
          <w:rFonts w:ascii="Arial" w:cs="Arial" w:eastAsia="Arial" w:hAnsi="Arial"/>
          <w:i/>
          <w:iCs/>
          <w:color w:val="4B5563"/>
          <w:sz w:val="22"/>
          <w:szCs w:val="22"/>
        </w:rPr>
        <w:t xml:space="preserve">Each round, a new scenario will appear on screen. Your table will receive a policy page -- read it, rank the dimensions, and decide whether the employee violated the policy.</w:t>
      </w:r>
    </w:p>
    <w:p>
      <w:pPr>
        <w:spacing w:after="160" w:before="0"/>
      </w:pPr>
      <w:r>
        <w:t xml:space="preserve"/>
      </w:r>
    </w:p>
    <w:p>
      <w:pPr>
        <w:pBdr>
          <w:bottom w:val="single" w:color="8B0000" w:sz="6"/>
        </w:pBdr>
        <w:spacing w:after="60" w:before="0"/>
      </w:pPr>
      <w:r>
        <w:rPr>
          <w:rFonts w:ascii="Arial" w:cs="Arial" w:eastAsia="Arial" w:hAnsi="Arial"/>
          <w:b/>
          <w:bCs/>
          <w:caps/>
          <w:color w:val="8B0000"/>
          <w:sz w:val="18"/>
          <w:szCs w:val="18"/>
        </w:rPr>
        <w:t xml:space="preserve">Round 1  </w:t>
      </w:r>
      <w:r>
        <w:rPr>
          <w:rFonts w:ascii="Arial" w:cs="Arial" w:eastAsia="Arial" w:hAnsi="Arial"/>
          <w:b/>
          <w:bCs/>
          <w:color w:val="8B0000"/>
          <w:sz w:val="28"/>
          <w:szCs w:val="28"/>
        </w:rPr>
        <w:t xml:space="preserve">Lux</w:t>
      </w:r>
      <w:r>
        <w:rPr>
          <w:rFonts w:ascii="Arial" w:cs="Arial" w:eastAsia="Arial" w:hAnsi="Arial"/>
          <w:color w:val="4B5563"/>
          <w:sz w:val="22"/>
          <w:szCs w:val="22"/>
        </w:rPr>
        <w:t xml:space="preserve">  —  DSS Caseworker</w:t>
      </w:r>
    </w:p>
    <w:p>
      <w:pPr>
        <w:spacing w:after="60" w:before="0"/>
      </w:pPr>
      <w:r>
        <w:t xml:space="preserve"/>
      </w:r>
    </w:p>
    <w:p>
      <w:pPr>
        <w:spacing w:after="80" w:before="0"/>
      </w:pPr>
      <w:r>
        <w:rPr>
          <w:rFonts w:ascii="Arial" w:cs="Arial" w:eastAsia="Arial" w:hAnsi="Arial"/>
          <w:color w:val="4B5563"/>
          <w:sz w:val="21"/>
          <w:szCs w:val="21"/>
        </w:rPr>
        <w:t xml:space="preserve">Lux is conducting a HEAP heating assistance intake. The applicant speaks Spanish and limited English. Lux's county-issued laptop has no translation tool. She pulls out her personal phone, opens an AI audio translation app she downloaded herself, and uses it to conduct the intake conversation in real time. The app processes the spoken exchange -- including the applicant's name, household composition, income information, and case history -- through a commercial server. Lux completes the intake and moves the case forward.</w:t>
      </w:r>
    </w:p>
    <w:p>
      <w:pPr>
        <w:spacing w:after="160" w:before="0"/>
      </w:pPr>
      <w:r>
        <w:t xml:space="preserve"/>
      </w:r>
    </w:p>
    <w:p>
      <w:pPr>
        <w:pBdr>
          <w:bottom w:val="single" w:color="006633" w:sz="6"/>
        </w:pBdr>
        <w:spacing w:after="60" w:before="0"/>
      </w:pPr>
      <w:r>
        <w:rPr>
          <w:rFonts w:ascii="Arial" w:cs="Arial" w:eastAsia="Arial" w:hAnsi="Arial"/>
          <w:b/>
          <w:bCs/>
          <w:caps/>
          <w:color w:val="006633"/>
          <w:sz w:val="18"/>
          <w:szCs w:val="18"/>
        </w:rPr>
        <w:t xml:space="preserve">Round 2  </w:t>
      </w:r>
      <w:r>
        <w:rPr>
          <w:rFonts w:ascii="Arial" w:cs="Arial" w:eastAsia="Arial" w:hAnsi="Arial"/>
          <w:b/>
          <w:bCs/>
          <w:color w:val="006633"/>
          <w:sz w:val="28"/>
          <w:szCs w:val="28"/>
        </w:rPr>
        <w:t xml:space="preserve">Puk</w:t>
      </w:r>
      <w:r>
        <w:rPr>
          <w:rFonts w:ascii="Arial" w:cs="Arial" w:eastAsia="Arial" w:hAnsi="Arial"/>
          <w:color w:val="4B5563"/>
          <w:sz w:val="22"/>
          <w:szCs w:val="22"/>
        </w:rPr>
        <w:t xml:space="preserve">  —  Sheriff's Deputy</w:t>
      </w:r>
    </w:p>
    <w:p>
      <w:pPr>
        <w:spacing w:after="60" w:before="0"/>
      </w:pPr>
      <w:r>
        <w:t xml:space="preserve"/>
      </w:r>
    </w:p>
    <w:p>
      <w:pPr>
        <w:spacing w:after="80" w:before="0"/>
      </w:pPr>
      <w:r>
        <w:rPr>
          <w:rFonts w:ascii="Arial" w:cs="Arial" w:eastAsia="Arial" w:hAnsi="Arial"/>
          <w:color w:val="4B5563"/>
          <w:sz w:val="21"/>
          <w:szCs w:val="21"/>
        </w:rPr>
        <w:t xml:space="preserve">Puk is on patrol on a rural stretch of Route 28. He stops a vehicle with a partially obscured rear plate. His mobile data terminal is showing a connection dropout. He photographs the plate with his department-issued phone running an approved AI image recognition tool. The tool returns a match and a record flag -- the registered owner has an outstanding warrant. Puk decides to proceed with the stop based on the AI result alone. He does not call dispatch to confirm.</w:t>
      </w:r>
    </w:p>
    <w:p>
      <w:pPr>
        <w:spacing w:after="160" w:before="0"/>
      </w:pPr>
      <w:r>
        <w:t xml:space="preserve"/>
      </w:r>
    </w:p>
    <w:p>
      <w:pPr>
        <w:pBdr>
          <w:bottom w:val="single" w:color="6600CC" w:sz="6"/>
        </w:pBdr>
        <w:spacing w:after="60" w:before="0"/>
      </w:pPr>
      <w:r>
        <w:rPr>
          <w:rFonts w:ascii="Arial" w:cs="Arial" w:eastAsia="Arial" w:hAnsi="Arial"/>
          <w:b/>
          <w:bCs/>
          <w:caps/>
          <w:color w:val="6600CC"/>
          <w:sz w:val="18"/>
          <w:szCs w:val="18"/>
        </w:rPr>
        <w:t xml:space="preserve">Round 3  </w:t>
      </w:r>
      <w:r>
        <w:rPr>
          <w:rFonts w:ascii="Arial" w:cs="Arial" w:eastAsia="Arial" w:hAnsi="Arial"/>
          <w:b/>
          <w:bCs/>
          <w:color w:val="6600CC"/>
          <w:sz w:val="28"/>
          <w:szCs w:val="28"/>
        </w:rPr>
        <w:t xml:space="preserve">Jam</w:t>
      </w:r>
      <w:r>
        <w:rPr>
          <w:rFonts w:ascii="Arial" w:cs="Arial" w:eastAsia="Arial" w:hAnsi="Arial"/>
          <w:color w:val="4B5563"/>
          <w:sz w:val="22"/>
          <w:szCs w:val="22"/>
        </w:rPr>
        <w:t xml:space="preserve">  —  Public Health Nurse</w:t>
      </w:r>
    </w:p>
    <w:p>
      <w:pPr>
        <w:spacing w:after="60" w:before="0"/>
      </w:pPr>
      <w:r>
        <w:t xml:space="preserve"/>
      </w:r>
    </w:p>
    <w:p>
      <w:pPr>
        <w:spacing w:after="80" w:before="0"/>
      </w:pPr>
      <w:r>
        <w:rPr>
          <w:rFonts w:ascii="Arial" w:cs="Arial" w:eastAsia="Arial" w:hAnsi="Arial"/>
          <w:color w:val="4B5563"/>
          <w:sz w:val="21"/>
          <w:szCs w:val="21"/>
        </w:rPr>
        <w:t xml:space="preserve">Jam is a public health nurse at Herkimer County Public Health. She opens the county's AI prioritization tool on Tuesday morning and follows its ranked schedule for the entire day -- six home visits and two inspections, in the order the tool assigned. She does not log that she used the tool. She does not review the ranking with her supervisor before starting her day.</w:t>
      </w:r>
    </w:p>
    <w:p>
      <w:pPr>
        <w:spacing w:after="160" w:before="0"/>
      </w:pPr>
      <w:r>
        <w:t xml:space="preserve"/>
      </w:r>
    </w:p>
    <w:p>
      <w:pPr>
        <w:pBdr>
          <w:bottom w:val="single" w:color="003399" w:sz="6"/>
        </w:pBdr>
        <w:spacing w:after="60" w:before="0"/>
      </w:pPr>
      <w:r>
        <w:rPr>
          <w:rFonts w:ascii="Arial" w:cs="Arial" w:eastAsia="Arial" w:hAnsi="Arial"/>
          <w:b/>
          <w:bCs/>
          <w:caps/>
          <w:color w:val="003399"/>
          <w:sz w:val="18"/>
          <w:szCs w:val="18"/>
        </w:rPr>
        <w:t xml:space="preserve">Round 4  </w:t>
      </w:r>
      <w:r>
        <w:rPr>
          <w:rFonts w:ascii="Arial" w:cs="Arial" w:eastAsia="Arial" w:hAnsi="Arial"/>
          <w:b/>
          <w:bCs/>
          <w:color w:val="003399"/>
          <w:sz w:val="28"/>
          <w:szCs w:val="28"/>
        </w:rPr>
        <w:t xml:space="preserve">Wow</w:t>
      </w:r>
      <w:r>
        <w:rPr>
          <w:rFonts w:ascii="Arial" w:cs="Arial" w:eastAsia="Arial" w:hAnsi="Arial"/>
          <w:color w:val="4B5563"/>
          <w:sz w:val="22"/>
          <w:szCs w:val="22"/>
        </w:rPr>
        <w:t xml:space="preserve">  —  Administration Staffer, County Attorney's Office</w:t>
      </w:r>
    </w:p>
    <w:p>
      <w:pPr>
        <w:spacing w:after="60" w:before="0"/>
      </w:pPr>
      <w:r>
        <w:t xml:space="preserve"/>
      </w:r>
    </w:p>
    <w:p>
      <w:pPr>
        <w:spacing w:after="80" w:before="0"/>
      </w:pPr>
      <w:r>
        <w:rPr>
          <w:rFonts w:ascii="Arial" w:cs="Arial" w:eastAsia="Arial" w:hAnsi="Arial"/>
          <w:color w:val="4B5563"/>
          <w:sz w:val="21"/>
          <w:szCs w:val="21"/>
        </w:rPr>
        <w:t xml:space="preserve">Wow is an administrative staffer in the Herkimer County Attorney's office preparing a formal SNAP benefits denial notice. She uses a commercial AI drafting tool she found online -- not the county's designated tool -- to generate the draft. She reviews the draft, thinks it looks good, and routes it for the attorney's signature without verifying the regulatory citations or the appeal deadline against the source documents, without logging the AI use, and without supervisor sign-off before routing.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B556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2026-06-10T16:51:19.941Z</dcterms:created>
  <dcterms:modified xsi:type="dcterms:W3CDTF">2026-06-10T16:51:19.941Z</dcterms:modified>
</cp:coreProperties>
</file>

<file path=docProps/custom.xml><?xml version="1.0" encoding="utf-8"?>
<Properties xmlns="http://schemas.openxmlformats.org/officeDocument/2006/custom-properties" xmlns:vt="http://schemas.openxmlformats.org/officeDocument/2006/docPropsVTypes"/>
</file>