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AD7A2">
      <w:pPr>
        <w:rPr>
          <w:rFonts w:hint="default"/>
          <w:lang w:val="en-US" w:eastAsia="zh-CN"/>
        </w:rPr>
      </w:pPr>
      <w:r>
        <w:rPr>
          <w:rFonts w:hint="eastAsia"/>
          <w:lang w:val="en-US" w:eastAsia="zh-CN"/>
        </w:rPr>
        <w:t>摘要：</w:t>
      </w:r>
    </w:p>
    <w:p w14:paraId="190B117D">
      <w:pPr>
        <w:ind w:firstLine="420" w:firstLineChars="0"/>
        <w:rPr>
          <w:rFonts w:hint="eastAsia"/>
          <w:lang w:val="en-US" w:eastAsia="zh-CN"/>
        </w:rPr>
      </w:pPr>
      <w:r>
        <w:rPr>
          <w:rFonts w:hint="eastAsia"/>
          <w:lang w:val="en-US" w:eastAsia="zh-CN"/>
        </w:rPr>
        <w:t>自主科学研究不仅需要找到有效的实验条件，还需要从实验中形成能够用于新干预的关系。然而，当底层机制未知且 agent 自主选择证据时，这种能力很难评价。我们提出 ChemWorld，一个可编程、可重放的化学研究环境，使 agent 能够自主设计和调整实验，同时允许评价者控制底层过程规律和公开信息。我们在六类化学体系中开展了 240 场自主研究。更多实验资源和与体系匹配的先验信息在多个任务中能够改善预测，表明当前 agent 确实可以从新增证据和科学信息中获益。与此同时，操作表现与预测泛化并不总是同步；在电化学中，优化任务使 30 组匹配研究中的 26 组获得更好的最终方案，但预测仅在 14 组中改善。更重要的是，我们观察到两类方向相反的适用范围判断错误：在水相平衡中，agent 将局部平台延伸到真实响应已经改变的极稀条件；在结晶中，它又对仍保持稳定的纯度关系作出了不必要的修订。这些结果表明，当前自主 agent 的下一步关键能力，不只是从实验中学习关系，而是主动获取能够区分竞争解释的证据，判断这些关系在新干预下是否仍然适用，并相应调整预测的不确定性。关系的适用范围应成为下一代自主科学系统设计与评价的核心对象。</w:t>
      </w:r>
    </w:p>
    <w:p w14:paraId="61604B5E">
      <w:pPr>
        <w:rPr>
          <w:rFonts w:hint="eastAsia"/>
          <w:lang w:val="en-US" w:eastAsia="zh-CN"/>
        </w:rPr>
      </w:pPr>
      <w:r>
        <w:rPr>
          <w:rFonts w:hint="eastAsia"/>
          <w:lang w:val="en-US" w:eastAsia="zh-CN"/>
        </w:rPr>
        <w:t>引言；</w:t>
      </w:r>
    </w:p>
    <w:p w14:paraId="108D5E9B">
      <w:pPr>
        <w:ind w:firstLine="420" w:firstLineChars="0"/>
        <w:rPr>
          <w:rFonts w:hint="default"/>
          <w:lang w:val="en-US" w:eastAsia="zh-CN"/>
        </w:rPr>
      </w:pPr>
      <w:r>
        <w:rPr>
          <w:rFonts w:hint="default"/>
          <w:lang w:val="en-US" w:eastAsia="zh-CN"/>
        </w:rPr>
        <w:t>自主实验室与语言模型 agent 正在使化学研究从单次工具调用逐步转向连续的实验决策过程。agent 可以提出实验条件、调用仪器、读取结果，并依据已有观测调整后续实验。现有评价通常关注最终任务表现，例如是否获得更高产率、更优性能或满足约束的实验方案。然而，完成实验优化并不等同于获得可迁移的科学知识。对于自主科学系统，更重要的能力是从有限实验中识别变量之间的关系，并判断这些关系在材料、实验历史或操作范围发生变化后是否仍然成立。</w:t>
      </w:r>
    </w:p>
    <w:p w14:paraId="315360BB">
      <w:pPr>
        <w:ind w:firstLine="420" w:firstLineChars="0"/>
        <w:rPr>
          <w:rFonts w:hint="default"/>
          <w:lang w:val="en-US" w:eastAsia="zh-CN"/>
        </w:rPr>
      </w:pPr>
      <w:r>
        <w:rPr>
          <w:rFonts w:hint="default"/>
          <w:lang w:val="en-US" w:eastAsia="zh-CN"/>
        </w:rPr>
        <w:t>研究这一能力，需要一个既能让 agent 通过实验学习化学关系，又能让研究者系统控制底层过程规律和实验条件的环境。真实实验室提供不可替代的物理证据，但样品、仪器和实验周期限制了大规模重复以及严格匹配的干预实验。现有数字环境已经能够支持任务优化、实验程序执行和交互式科学发现，但实验世界本身通常仍是预先定义的。agent 可以在其中反复实验和调整策略，研究者却较难在保持操作与观测接口一致的同时，系统改变材料属性、过程关系或状态演化规律。 因此，仍然缺少一种能够同时支持自主实验学习和受控世界干预的化学研究环境。没有这种控制，一次预测失败很难进一步判断究竟来自关键证据尚未获得、现有实验不足以区分不同解释，还是已有关系被错误地延伸到了新的条件。</w:t>
      </w:r>
    </w:p>
    <w:p w14:paraId="79F02556">
      <w:pPr>
        <w:ind w:firstLine="420" w:firstLineChars="0"/>
        <w:rPr>
          <w:rFonts w:hint="default"/>
          <w:lang w:val="en-US" w:eastAsia="zh-CN"/>
        </w:rPr>
      </w:pPr>
      <w:r>
        <w:rPr>
          <w:rFonts w:hint="default"/>
          <w:lang w:val="en-US" w:eastAsia="zh-CN"/>
        </w:rPr>
        <w:t>ChemWorld 为这一问题提供了一个可编程的化学研究环境。它并非把化学任务预先固化为若干输入—输出映射，而是将反应、热过程、相行为、分离、结晶、电化学和观测等过程组织为具有持续状态和明确演化规律的可执行世界。agent 可以通过实验操作主动获取证据，并根据观测结果调整后续研究；评价者则保留对底层过程规律、材料属性和公开信息的控制，从而能够在统一实验接口下构造严格匹配的研究条件。对于 agent，ChemWorld 是通过实验获取证据和学习化学关系的环境；对于研究者，它又是能够控制底层世界及其信息条件的实验工具。其可组合世界、持久实验状态、统一操作接口和完整轨迹重放能力，使不同研究过程可以在保持可比性的同时被系统改变和审计。</w:t>
      </w:r>
    </w:p>
    <w:p w14:paraId="3DD5E218">
      <w:pPr>
        <w:ind w:firstLine="420" w:firstLineChars="0"/>
        <w:rPr>
          <w:rFonts w:hint="default"/>
          <w:lang w:val="en-US" w:eastAsia="zh-CN"/>
        </w:rPr>
      </w:pPr>
      <w:r>
        <w:rPr>
          <w:rFonts w:hint="default"/>
          <w:lang w:val="en-US" w:eastAsia="zh-CN"/>
        </w:rPr>
        <w:t>在本文中，我们利用 ChemWorld 研究自主科学中的泛化。我们在电化学转化、相分配、反应与热过程、水相平衡、结晶和纯化六类体系中开展了 240 场自主研究，使 agent 在有限资源下自主选择实验条件、重复次数和测量方式，并将最终实验方案、未见条件预测和预测不确定性作为彼此独立的评价结果。研究首先表明，实验任务表现与预测能力并不总是同步。另一方面，更大的研究资源和与体系匹配的部分先验信息在部分任务中确实能够改善预测，说明这些现象并不能简单归结为 agent 无法从实验中学习。更重要的是，我们观察到两类方向相反的泛化错误。在水相平衡中，agent 将来源实验中近似稳定的关系延伸到真实响应已经发生变化的极稀条件；在结晶中，它又对在新条件下仍近似稳定的纯度关系作出了不必要的修订。两类现象共同指出，自主科学泛化的关键并不只是提高预测准确率或完成实验优化，而是判断现有证据究竟支持一个经验关系延伸到什么条件。这一结果也为后续自主科学系统提出了更具体的设计目标：实验选择不仅要追求更高的任务表现，还应优先获取能够区分竞争解释的证据；模型不仅要学习变量之间的关系，还应表征这些关系受到哪些实验条件支持，并在进入证据不足的新区域时相应调整预测的不确定性。</w:t>
      </w:r>
    </w:p>
    <w:p w14:paraId="77252593">
      <w:pPr>
        <w:rPr>
          <w:rFonts w:hint="eastAsia"/>
          <w:lang w:val="en-US" w:eastAsia="zh-CN"/>
        </w:rPr>
      </w:pPr>
      <w:bookmarkStart w:id="0" w:name="_GoBack"/>
      <w:bookmarkEnd w:id="0"/>
    </w:p>
    <w:p w14:paraId="4B91F9EB">
      <w:pPr>
        <w:rPr>
          <w:rFonts w:hint="default"/>
          <w:lang w:val="en-US" w:eastAsia="zh-CN"/>
        </w:rPr>
      </w:pPr>
      <w:r>
        <w:rPr>
          <w:rFonts w:hint="default"/>
          <w:lang w:val="en-US" w:eastAsia="zh-CN"/>
        </w:rPr>
        <w:t>ChemWorld 分离化学规律、实验证据与外部信息</w:t>
      </w:r>
    </w:p>
    <w:p w14:paraId="40D5E445">
      <w:pPr>
        <w:ind w:firstLine="420" w:firstLineChars="0"/>
        <w:rPr>
          <w:rFonts w:hint="default"/>
          <w:lang w:val="en-US" w:eastAsia="zh-CN"/>
        </w:rPr>
      </w:pPr>
      <w:r>
        <w:rPr>
          <w:rFonts w:hint="default"/>
          <w:lang w:val="en-US" w:eastAsia="zh-CN"/>
        </w:rPr>
        <w:t>ChemWorld 通过兼容的过程组件和观测组件构造可执行的化学世界。每个世界都具有持续存在的物料状态、合法操作、实验仪器、有限资源以及由评价者掌握的私有参数。实验操作会改变组成、相态分配、热历史和剩余物料，测量则只返回实验合同中允许观测的量，而不会直接暴露完整的模拟器状态。评价者既可以在保持公开实验接口不变的情况下改变底层过程规律，也可以固定物理世界而改变提供给 agent 的信息（Fig. 1）。由此，底层规律、agent 在实验中获得的证据以及外部提供的信息可以在同一研究框架中被区分和控制。</w:t>
      </w:r>
    </w:p>
    <w:p w14:paraId="58339819">
      <w:pPr>
        <w:ind w:firstLine="420" w:firstLineChars="0"/>
        <w:rPr>
          <w:rFonts w:hint="default"/>
          <w:lang w:val="en-US" w:eastAsia="zh-CN"/>
        </w:rPr>
      </w:pPr>
      <w:r>
        <w:rPr>
          <w:rFonts w:hint="default"/>
          <w:lang w:val="en-US" w:eastAsia="zh-CN"/>
        </w:rPr>
        <w:t>基于这一环境，我们在电化学转化、相分配、反应与热过程、水相平衡、结晶和纯化六类体系中开展了 240 场自主研究。每个 study block 包含五个物理世界和三种信息条件。Opaque 提供可用的公开实验合同和一般任务背景；Aligned 在此基础上增加与当前实例相匹配的局部信息；MisIndexed 则按照预先固定的规则提供错配或重新索引的信息。这些信息可以涉及实体关联、有效参数或结构关系。三种条件均保留一般化学知识，区别在于 agent 是否获得以及获得何种与当前实例相关的附加信息。</w:t>
      </w:r>
    </w:p>
    <w:p w14:paraId="002975F8">
      <w:pPr>
        <w:ind w:firstLine="420" w:firstLineChars="0"/>
        <w:rPr>
          <w:rFonts w:hint="default"/>
          <w:lang w:val="en-US" w:eastAsia="zh-CN"/>
        </w:rPr>
      </w:pPr>
      <w:r>
        <w:rPr>
          <w:rFonts w:hint="default"/>
          <w:lang w:val="en-US" w:eastAsia="zh-CN"/>
        </w:rPr>
        <w:t>每场 campaign 都跟随同一个原始 agent，从实验选择一直到最终科学评价。在有限的研究资源下，agent 自主决定实验条件、重复次数和测量方式，并根据已有观测调整后续实验。对于需要交付实验方案的任务，最终方案在科学说明（K1）之前被封存，并通过独立复测评价其实际表现。随后，同一个 agent 在保留完整研究上下文、且不能继续实验或获得参考结果的情况下，对固定的留出条件给出点预测和预测区间（Q）。预测封存后再进行回顾性证据审查（K2），同样不提供参考结果反馈。这样的时间顺序使实验过程中获得的证据、研究结束后明确表达的科学关系，以及真正用于未见条件预测的内容能够彼此区分。Q 始终保留完整的来源研究历史，因此能够评价同一研究过程最终形成的预测能力。</w:t>
      </w:r>
    </w:p>
    <w:p w14:paraId="21ED8FC8">
      <w:pPr>
        <w:ind w:firstLine="420" w:firstLineChars="0"/>
        <w:rPr>
          <w:rFonts w:hint="default"/>
          <w:lang w:val="en-US" w:eastAsia="zh-CN"/>
        </w:rPr>
      </w:pPr>
      <w:r>
        <w:rPr>
          <w:rFonts w:hint="default"/>
          <w:lang w:val="en-US" w:eastAsia="zh-CN"/>
        </w:rPr>
        <w:t>部分体系进一步设置彼此独立的 12-batch 和 24-batch 研究条件，以改变 agent 可支配的整体研究资源。电化学和反应过程分别设置 discovery 与 optimization 两种任务；相分配和平衡更强调对体系响应的表征；结晶和纯化则在产品质量约束下追求回收。全部 720 个 K1、Q 和 K2 阶段均已完成，来源研究完成了计划 3,600 次最终 assay 中的 3,597 次，全部 240 场 campaign 均进入后续分析。</w:t>
      </w:r>
    </w:p>
    <w:p w14:paraId="3A56959E">
      <w:pPr>
        <w:ind w:firstLine="420" w:firstLineChars="0"/>
        <w:rPr>
          <w:rFonts w:hint="default"/>
          <w:lang w:val="en-US" w:eastAsia="zh-CN"/>
        </w:rPr>
      </w:pPr>
      <w:r>
        <w:rPr>
          <w:rFonts w:hint="default"/>
          <w:lang w:val="en-US" w:eastAsia="zh-CN"/>
        </w:rPr>
        <w:t>独立的平台资格验证表明，这些研究建立在一致且可审计的实验执行之上。参考任务之外生成的新过程组合能够完成规定的实验生命周期，并与既有世界共享相同的执行和记录语义；针对非法操作、资源边界和运行时失败的测试能够保持已经提交的物理状态，同时保留相应的资源和失败记录。完整环境 replay 可以重新得到实际发生的操作、观测和资源变化。 这些能力使操作任务表现、预测泛化和不确定性能够在同一场自主研究中被分别评价。</w:t>
      </w:r>
    </w:p>
    <w:p w14:paraId="3F86E0B0">
      <w:pPr>
        <w:ind w:firstLine="420" w:firstLineChars="0"/>
        <w:rPr>
          <w:rFonts w:hint="default"/>
          <w:lang w:val="en-US" w:eastAsia="zh-CN"/>
        </w:rPr>
      </w:pPr>
      <w:r>
        <w:rPr>
          <w:rFonts w:hint="default"/>
          <w:lang w:val="en-US" w:eastAsia="zh-CN"/>
        </w:rPr>
        <w:t>一个选取的结晶研究对使这一过程更加具体（Fig. 2）。在相同的物理世界和信息条件下，独立的 12-batch session 在第一个 batch 就获得了满足质量约束的产物，随后通过降低冷却终点继续优化；24-batch session 则在改变加热过程并引入分段冷却后，到第 20 个 batch 才首次达到质量要求。两条轨迹最终选择的操作流程均被独立复测，而实际操作、实验观测和后续科学说明分别保留。 这一案例展示了自主研究如何在同一受控世界中沿不同的证据路径展开，以及这些路径最终形成的操作方案、预测和不确定性如何被分别检验。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FD6ABE"/>
    <w:rsid w:val="47FD6ABE"/>
    <w:rsid w:val="5BE6C52E"/>
    <w:rsid w:val="7F0F9AD8"/>
    <w:rsid w:val="F1DB8EA8"/>
    <w:rsid w:val="F7BF607E"/>
    <w:rsid w:val="FBCBD6EE"/>
    <w:rsid w:val="FFAE3194"/>
    <w:rsid w:val="FFF78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227</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2026-09-23T17:58:00Z</dcterms:created>
  <dc:creator>李奕均(2026311072)</dc:creator>
  <cp:lastModifiedBy>李奕均(2026311072)</cp:lastModifiedBy>
  <dcterms:modified xsi:type="dcterms:W3CDTF">2026-09-24T12:46:51Z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366F59E45D6C55175632B36AF0E764D5_41</vt:lpwstr>
  </property>
</Properties>
</file>