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AAD7F">
      <w:pPr>
        <w:spacing w:after="120" w:line="283" w:lineRule="auto"/>
        <w:rPr>
          <w:rFonts w:ascii="微软雅黑" w:hAnsi="微软雅黑" w:eastAsia="微软雅黑"/>
          <w:b/>
          <w:color w:val="2E5E8D"/>
          <w:sz w:val="32"/>
        </w:rPr>
      </w:pPr>
    </w:p>
    <w:p w14:paraId="6399E1F8">
      <w:pPr>
        <w:spacing w:after="120" w:line="283" w:lineRule="auto"/>
      </w:pPr>
      <w:r>
        <w:rPr>
          <w:rFonts w:ascii="微软雅黑" w:hAnsi="微软雅黑" w:eastAsia="微软雅黑"/>
          <w:b/>
          <w:color w:val="2E5E8D"/>
          <w:sz w:val="32"/>
        </w:rPr>
        <w:drawing>
          <wp:inline distT="0" distB="0" distL="114300" distR="114300">
            <wp:extent cx="6079490" cy="3335655"/>
            <wp:effectExtent l="0" t="0" r="1270" b="1905"/>
            <wp:docPr id="1" name="图片 1" descr="LaGraph_SB_DL_architecture_2026_06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aGraph_SB_DL_architecture_2026_06_09"/>
                    <pic:cNvPicPr>
                      <a:picLocks noChangeAspect="1"/>
                    </pic:cNvPicPr>
                  </pic:nvPicPr>
                  <pic:blipFill>
                    <a:blip r:embed="rId7"/>
                    <a:stretch>
                      <a:fillRect/>
                    </a:stretch>
                  </pic:blipFill>
                  <pic:spPr>
                    <a:xfrm>
                      <a:off x="0" y="0"/>
                      <a:ext cx="6079490" cy="3335655"/>
                    </a:xfrm>
                    <a:prstGeom prst="rect">
                      <a:avLst/>
                    </a:prstGeom>
                  </pic:spPr>
                </pic:pic>
              </a:graphicData>
            </a:graphic>
          </wp:inline>
        </w:drawing>
      </w:r>
      <w:r>
        <w:rPr>
          <w:rFonts w:ascii="微软雅黑" w:hAnsi="微软雅黑" w:eastAsia="微软雅黑"/>
          <w:b/>
          <w:color w:val="2E5E8D"/>
          <w:sz w:val="32"/>
        </w:rPr>
        <w:t>3.2 为什么 predicted-event RCA 更重要</w:t>
      </w:r>
    </w:p>
    <w:p w14:paraId="5E2B7685">
      <w:pPr>
        <w:spacing w:after="120" w:line="283" w:lineRule="auto"/>
      </w:pPr>
      <w:r>
        <w:rPr>
          <w:rFonts w:ascii="微软雅黑" w:hAnsi="微软雅黑" w:eastAsia="微软雅黑"/>
          <w:sz w:val="25"/>
        </w:rPr>
        <w:br w:type="textWrapping"/>
      </w:r>
      <w:r>
        <w:rPr>
          <w:rFonts w:ascii="微软雅黑" w:hAnsi="微软雅黑" w:eastAsia="微软雅黑"/>
          <w:sz w:val="25"/>
        </w:rPr>
        <w:t xml:space="preserve">      true-event RCA 是给定真实异常区间后做排序，相当于理想条件下考察解释模块上限；</w:t>
      </w:r>
      <w:r>
        <w:rPr>
          <w:rFonts w:ascii="微软雅黑" w:hAnsi="微软雅黑" w:eastAsia="微软雅黑"/>
          <w:sz w:val="25"/>
        </w:rPr>
        <w:br w:type="textWrapping"/>
      </w:r>
      <w:r>
        <w:rPr>
          <w:rFonts w:ascii="微软雅黑" w:hAnsi="微软雅黑" w:eastAsia="微软雅黑"/>
          <w:sz w:val="25"/>
        </w:rPr>
        <w:t xml:space="preserve">      predicted-event RCA 则先由模型自己检测事件，再在预测事件中做排序，更接近实际部署。</w:t>
      </w:r>
      <w:r>
        <w:rPr>
          <w:rFonts w:ascii="微软雅黑" w:hAnsi="微软雅黑" w:eastAsia="微软雅黑"/>
          <w:sz w:val="25"/>
        </w:rPr>
        <w:br w:type="textWrapping"/>
      </w:r>
      <w:r>
        <w:rPr>
          <w:rFonts w:ascii="微软雅黑" w:hAnsi="微软雅黑" w:eastAsia="微软雅黑"/>
          <w:sz w:val="25"/>
        </w:rPr>
        <w:t xml:space="preserve">      后者会同时受到检测漏报、边界偏移、事件分割和变量排序质量的影响，因此更难，但论文价值更强。</w:t>
      </w:r>
      <w:r>
        <w:rPr>
          <w:rFonts w:ascii="微软雅黑" w:hAnsi="微软雅黑" w:eastAsia="微软雅黑"/>
          <w:sz w:val="25"/>
        </w:rPr>
        <w:br w:type="textWrapping"/>
      </w:r>
      <w:r>
        <w:rPr>
          <w:rFonts w:ascii="微软雅黑" w:hAnsi="微软雅黑" w:eastAsia="微软雅黑"/>
          <w:sz w:val="25"/>
        </w:rPr>
        <w:t xml:space="preserve">    </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2333"/>
        <w:gridCol w:w="2340"/>
        <w:gridCol w:w="2333"/>
      </w:tblGrid>
      <w:tr w14:paraId="7550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shd w:val="clear" w:color="auto" w:fill="F2F4F7"/>
            <w:tcMar>
              <w:top w:w="90" w:type="dxa"/>
              <w:left w:w="120" w:type="dxa"/>
              <w:bottom w:w="90" w:type="dxa"/>
              <w:right w:w="120" w:type="dxa"/>
            </w:tcMar>
            <w:vAlign w:val="center"/>
          </w:tcPr>
          <w:p w14:paraId="4F026A97">
            <w:pPr>
              <w:spacing w:after="0"/>
              <w:jc w:val="left"/>
            </w:pPr>
            <w:r>
              <w:rPr>
                <w:rFonts w:ascii="微软雅黑" w:hAnsi="微软雅黑" w:eastAsia="微软雅黑"/>
                <w:b/>
                <w:sz w:val="21"/>
              </w:rPr>
              <w:t>协议</w:t>
            </w:r>
          </w:p>
        </w:tc>
        <w:tc>
          <w:tcPr>
            <w:tcW w:w="2394" w:type="dxa"/>
            <w:shd w:val="clear" w:color="auto" w:fill="F2F4F7"/>
            <w:tcMar>
              <w:top w:w="90" w:type="dxa"/>
              <w:left w:w="120" w:type="dxa"/>
              <w:bottom w:w="90" w:type="dxa"/>
              <w:right w:w="120" w:type="dxa"/>
            </w:tcMar>
            <w:vAlign w:val="center"/>
          </w:tcPr>
          <w:p w14:paraId="0222867C">
            <w:pPr>
              <w:spacing w:after="0"/>
              <w:jc w:val="left"/>
            </w:pPr>
            <w:r>
              <w:rPr>
                <w:rFonts w:ascii="微软雅黑" w:hAnsi="微软雅黑" w:eastAsia="微软雅黑"/>
                <w:b/>
                <w:sz w:val="21"/>
              </w:rPr>
              <w:t>含义</w:t>
            </w:r>
          </w:p>
        </w:tc>
        <w:tc>
          <w:tcPr>
            <w:tcW w:w="2394" w:type="dxa"/>
            <w:shd w:val="clear" w:color="auto" w:fill="F2F4F7"/>
            <w:tcMar>
              <w:top w:w="90" w:type="dxa"/>
              <w:left w:w="120" w:type="dxa"/>
              <w:bottom w:w="90" w:type="dxa"/>
              <w:right w:w="120" w:type="dxa"/>
            </w:tcMar>
            <w:vAlign w:val="center"/>
          </w:tcPr>
          <w:p w14:paraId="4EAFDED2">
            <w:pPr>
              <w:spacing w:after="0"/>
              <w:jc w:val="left"/>
            </w:pPr>
            <w:r>
              <w:rPr>
                <w:rFonts w:ascii="微软雅黑" w:hAnsi="微软雅黑" w:eastAsia="微软雅黑"/>
                <w:b/>
                <w:sz w:val="21"/>
              </w:rPr>
              <w:t>优势</w:t>
            </w:r>
          </w:p>
        </w:tc>
        <w:tc>
          <w:tcPr>
            <w:tcW w:w="2394" w:type="dxa"/>
            <w:shd w:val="clear" w:color="auto" w:fill="F2F4F7"/>
            <w:tcMar>
              <w:top w:w="90" w:type="dxa"/>
              <w:left w:w="120" w:type="dxa"/>
              <w:bottom w:w="90" w:type="dxa"/>
              <w:right w:w="120" w:type="dxa"/>
            </w:tcMar>
            <w:vAlign w:val="center"/>
          </w:tcPr>
          <w:p w14:paraId="63ED8833">
            <w:pPr>
              <w:spacing w:after="0"/>
              <w:jc w:val="left"/>
            </w:pPr>
            <w:r>
              <w:rPr>
                <w:rFonts w:ascii="微软雅黑" w:hAnsi="微软雅黑" w:eastAsia="微软雅黑"/>
                <w:b/>
                <w:sz w:val="21"/>
              </w:rPr>
              <w:t>风险</w:t>
            </w:r>
          </w:p>
        </w:tc>
      </w:tr>
      <w:tr w14:paraId="2B7A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16DA0CEC">
            <w:pPr>
              <w:spacing w:after="0"/>
              <w:jc w:val="left"/>
            </w:pPr>
            <w:r>
              <w:rPr>
                <w:rFonts w:ascii="微软雅黑" w:hAnsi="微软雅黑" w:eastAsia="微软雅黑"/>
                <w:b w:val="0"/>
                <w:sz w:val="21"/>
              </w:rPr>
              <w:t>true-event RCA</w:t>
            </w:r>
          </w:p>
        </w:tc>
        <w:tc>
          <w:tcPr>
            <w:tcW w:w="2394" w:type="dxa"/>
            <w:tcMar>
              <w:top w:w="90" w:type="dxa"/>
              <w:left w:w="120" w:type="dxa"/>
              <w:bottom w:w="90" w:type="dxa"/>
              <w:right w:w="120" w:type="dxa"/>
            </w:tcMar>
            <w:vAlign w:val="center"/>
          </w:tcPr>
          <w:p w14:paraId="3530D2AC">
            <w:pPr>
              <w:spacing w:after="0"/>
              <w:jc w:val="left"/>
            </w:pPr>
            <w:r>
              <w:rPr>
                <w:rFonts w:ascii="微软雅黑" w:hAnsi="微软雅黑" w:eastAsia="微软雅黑"/>
                <w:b w:val="0"/>
                <w:sz w:val="21"/>
              </w:rPr>
              <w:t>在真实异常窗口内做根因排序。</w:t>
            </w:r>
          </w:p>
        </w:tc>
        <w:tc>
          <w:tcPr>
            <w:tcW w:w="2394" w:type="dxa"/>
            <w:tcMar>
              <w:top w:w="90" w:type="dxa"/>
              <w:left w:w="120" w:type="dxa"/>
              <w:bottom w:w="90" w:type="dxa"/>
              <w:right w:w="120" w:type="dxa"/>
            </w:tcMar>
            <w:vAlign w:val="center"/>
          </w:tcPr>
          <w:p w14:paraId="2A656F2A">
            <w:pPr>
              <w:spacing w:after="0"/>
              <w:jc w:val="left"/>
            </w:pPr>
            <w:r>
              <w:rPr>
                <w:rFonts w:ascii="微软雅黑" w:hAnsi="微软雅黑" w:eastAsia="微软雅黑"/>
                <w:b w:val="0"/>
                <w:sz w:val="21"/>
              </w:rPr>
              <w:t>隔离解释模块能力，适合上限分析。</w:t>
            </w:r>
          </w:p>
        </w:tc>
        <w:tc>
          <w:tcPr>
            <w:tcW w:w="2394" w:type="dxa"/>
            <w:tcMar>
              <w:top w:w="90" w:type="dxa"/>
              <w:left w:w="120" w:type="dxa"/>
              <w:bottom w:w="90" w:type="dxa"/>
              <w:right w:w="120" w:type="dxa"/>
            </w:tcMar>
            <w:vAlign w:val="center"/>
          </w:tcPr>
          <w:p w14:paraId="372B3792">
            <w:pPr>
              <w:spacing w:after="0"/>
              <w:jc w:val="left"/>
            </w:pPr>
            <w:r>
              <w:rPr>
                <w:rFonts w:ascii="微软雅黑" w:hAnsi="微软雅黑" w:eastAsia="微软雅黑"/>
                <w:b w:val="0"/>
                <w:sz w:val="21"/>
              </w:rPr>
              <w:t>过于理想，不代表部署链路。</w:t>
            </w:r>
          </w:p>
        </w:tc>
      </w:tr>
      <w:tr w14:paraId="6F8F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55AB92AE">
            <w:pPr>
              <w:spacing w:after="0"/>
              <w:jc w:val="left"/>
            </w:pPr>
            <w:r>
              <w:rPr>
                <w:rFonts w:ascii="微软雅黑" w:hAnsi="微软雅黑" w:eastAsia="微软雅黑"/>
                <w:b w:val="0"/>
                <w:sz w:val="21"/>
              </w:rPr>
              <w:t>predicted-event RCA</w:t>
            </w:r>
          </w:p>
        </w:tc>
        <w:tc>
          <w:tcPr>
            <w:tcW w:w="2394" w:type="dxa"/>
            <w:tcMar>
              <w:top w:w="90" w:type="dxa"/>
              <w:left w:w="120" w:type="dxa"/>
              <w:bottom w:w="90" w:type="dxa"/>
              <w:right w:w="120" w:type="dxa"/>
            </w:tcMar>
            <w:vAlign w:val="center"/>
          </w:tcPr>
          <w:p w14:paraId="413D73DB">
            <w:pPr>
              <w:spacing w:after="0"/>
              <w:jc w:val="left"/>
            </w:pPr>
            <w:r>
              <w:rPr>
                <w:rFonts w:ascii="微软雅黑" w:hAnsi="微软雅黑" w:eastAsia="微软雅黑"/>
                <w:b w:val="0"/>
                <w:sz w:val="21"/>
              </w:rPr>
              <w:t>模型先产生预测事件，再在事件内排序变量。</w:t>
            </w:r>
          </w:p>
        </w:tc>
        <w:tc>
          <w:tcPr>
            <w:tcW w:w="2394" w:type="dxa"/>
            <w:tcMar>
              <w:top w:w="90" w:type="dxa"/>
              <w:left w:w="120" w:type="dxa"/>
              <w:bottom w:w="90" w:type="dxa"/>
              <w:right w:w="120" w:type="dxa"/>
            </w:tcMar>
            <w:vAlign w:val="center"/>
          </w:tcPr>
          <w:p w14:paraId="0C704147">
            <w:pPr>
              <w:spacing w:after="0"/>
              <w:jc w:val="left"/>
            </w:pPr>
            <w:r>
              <w:rPr>
                <w:rFonts w:ascii="微软雅黑" w:hAnsi="微软雅黑" w:eastAsia="微软雅黑"/>
                <w:b w:val="0"/>
                <w:sz w:val="21"/>
              </w:rPr>
              <w:t>更接近真实使用；能回答“检测后能不能诊断”。</w:t>
            </w:r>
          </w:p>
        </w:tc>
        <w:tc>
          <w:tcPr>
            <w:tcW w:w="2394" w:type="dxa"/>
            <w:tcMar>
              <w:top w:w="90" w:type="dxa"/>
              <w:left w:w="120" w:type="dxa"/>
              <w:bottom w:w="90" w:type="dxa"/>
              <w:right w:w="120" w:type="dxa"/>
            </w:tcMar>
            <w:vAlign w:val="center"/>
          </w:tcPr>
          <w:p w14:paraId="1152515A">
            <w:pPr>
              <w:spacing w:after="0"/>
              <w:jc w:val="left"/>
            </w:pPr>
            <w:r>
              <w:rPr>
                <w:rFonts w:ascii="微软雅黑" w:hAnsi="微软雅黑" w:eastAsia="微软雅黑"/>
                <w:b w:val="0"/>
                <w:sz w:val="21"/>
              </w:rPr>
              <w:t>受阈值、事件切分和匹配协议影响，需要透明报告。</w:t>
            </w:r>
          </w:p>
        </w:tc>
      </w:tr>
    </w:tbl>
    <w:p w14:paraId="009F26C8"/>
    <w:p w14:paraId="12891E62">
      <w:pPr>
        <w:pStyle w:val="3"/>
        <w:spacing w:before="240" w:after="120"/>
      </w:pPr>
      <w:r>
        <w:rPr>
          <w:rFonts w:ascii="微软雅黑" w:hAnsi="微软雅黑" w:eastAsia="微软雅黑"/>
          <w:b/>
          <w:color w:val="1F4D78"/>
          <w:sz w:val="40"/>
        </w:rPr>
        <w:t>4. 方法与系统架构</w:t>
      </w:r>
    </w:p>
    <w:p w14:paraId="6E29976B">
      <w:pPr>
        <w:pStyle w:val="4"/>
        <w:spacing w:before="160" w:after="120"/>
      </w:pPr>
      <w:r>
        <w:rPr>
          <w:rFonts w:ascii="微软雅黑" w:hAnsi="微软雅黑" w:eastAsia="微软雅黑"/>
          <w:b/>
          <w:color w:val="2E5E8D"/>
          <w:sz w:val="32"/>
        </w:rPr>
        <w:t>4.1 当前主线的名称</w:t>
      </w:r>
      <w:r>
        <w:rPr>
          <w:rFonts w:ascii="微软雅黑" w:hAnsi="微软雅黑" w:eastAsia="微软雅黑"/>
          <w:sz w:val="25"/>
        </w:rPr>
        <w:br w:type="textWrapping"/>
      </w:r>
      <w:r>
        <w:rPr>
          <w:rFonts w:ascii="微软雅黑" w:hAnsi="微软雅黑" w:eastAsia="微软雅黑"/>
          <w:sz w:val="25"/>
        </w:rPr>
        <w:t xml:space="preserve">      </w:t>
      </w:r>
      <w:r>
        <w:rPr>
          <w:rFonts w:ascii="Consolas" w:hAnsi="Consolas" w:eastAsia="Consolas"/>
          <w:color w:val="334155"/>
          <w:sz w:val="24"/>
        </w:rPr>
        <w:t>source-bottleneck-specificity-rca</w:t>
      </w:r>
      <w:r>
        <w:rPr>
          <w:rFonts w:ascii="微软雅黑" w:hAnsi="微软雅黑" w:eastAsia="微软雅黑"/>
          <w:sz w:val="25"/>
        </w:rPr>
        <w:t xml:space="preserve"> 作为当前固定主模型。</w:t>
      </w:r>
      <w:r>
        <w:rPr>
          <w:rFonts w:ascii="微软雅黑" w:hAnsi="微软雅黑" w:eastAsia="微软雅黑"/>
          <w:sz w:val="25"/>
        </w:rPr>
        <w:br w:type="textWrapping"/>
      </w:r>
      <w:r>
        <w:rPr>
          <w:rFonts w:ascii="微软雅黑" w:hAnsi="微软雅黑" w:eastAsia="微软雅黑"/>
          <w:sz w:val="25"/>
        </w:rPr>
        <w:br w:type="textWrapping"/>
      </w:r>
    </w:p>
    <w:p w14:paraId="3BD5B2A9">
      <w:pPr>
        <w:pStyle w:val="4"/>
        <w:spacing w:before="160" w:after="120"/>
      </w:pPr>
      <w:r>
        <w:rPr>
          <w:rFonts w:ascii="微软雅黑" w:hAnsi="微软雅黑" w:eastAsia="微软雅黑"/>
          <w:b/>
          <w:color w:val="2E5E8D"/>
          <w:sz w:val="32"/>
        </w:rPr>
        <w:t>4.2 主干模型</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3108"/>
        <w:gridCol w:w="3108"/>
      </w:tblGrid>
      <w:tr w14:paraId="6147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shd w:val="clear" w:color="auto" w:fill="F2F4F7"/>
            <w:tcMar>
              <w:top w:w="90" w:type="dxa"/>
              <w:left w:w="120" w:type="dxa"/>
              <w:bottom w:w="90" w:type="dxa"/>
              <w:right w:w="120" w:type="dxa"/>
            </w:tcMar>
            <w:vAlign w:val="center"/>
          </w:tcPr>
          <w:p w14:paraId="5B72CA86">
            <w:pPr>
              <w:spacing w:after="0"/>
              <w:jc w:val="left"/>
            </w:pPr>
            <w:r>
              <w:rPr>
                <w:rFonts w:ascii="微软雅黑" w:hAnsi="微软雅黑" w:eastAsia="微软雅黑"/>
                <w:b/>
                <w:sz w:val="21"/>
              </w:rPr>
              <w:t>模块</w:t>
            </w:r>
          </w:p>
        </w:tc>
        <w:tc>
          <w:tcPr>
            <w:tcW w:w="3192" w:type="dxa"/>
            <w:shd w:val="clear" w:color="auto" w:fill="F2F4F7"/>
            <w:tcMar>
              <w:top w:w="90" w:type="dxa"/>
              <w:left w:w="120" w:type="dxa"/>
              <w:bottom w:w="90" w:type="dxa"/>
              <w:right w:w="120" w:type="dxa"/>
            </w:tcMar>
            <w:vAlign w:val="center"/>
          </w:tcPr>
          <w:p w14:paraId="0BBF9F63">
            <w:pPr>
              <w:spacing w:after="0"/>
              <w:jc w:val="left"/>
            </w:pPr>
            <w:r>
              <w:rPr>
                <w:rFonts w:ascii="微软雅黑" w:hAnsi="微软雅黑" w:eastAsia="微软雅黑"/>
                <w:b/>
                <w:sz w:val="21"/>
              </w:rPr>
              <w:t>作用</w:t>
            </w:r>
          </w:p>
        </w:tc>
        <w:tc>
          <w:tcPr>
            <w:tcW w:w="3192" w:type="dxa"/>
            <w:shd w:val="clear" w:color="auto" w:fill="F2F4F7"/>
            <w:tcMar>
              <w:top w:w="90" w:type="dxa"/>
              <w:left w:w="120" w:type="dxa"/>
              <w:bottom w:w="90" w:type="dxa"/>
              <w:right w:w="120" w:type="dxa"/>
            </w:tcMar>
            <w:vAlign w:val="center"/>
          </w:tcPr>
          <w:p w14:paraId="1A09F09E">
            <w:pPr>
              <w:spacing w:after="0"/>
              <w:jc w:val="left"/>
            </w:pPr>
            <w:r>
              <w:rPr>
                <w:rFonts w:ascii="微软雅黑" w:hAnsi="微软雅黑" w:eastAsia="微软雅黑"/>
                <w:b/>
                <w:sz w:val="21"/>
              </w:rPr>
              <w:t>当前定位</w:t>
            </w:r>
          </w:p>
        </w:tc>
      </w:tr>
      <w:tr w14:paraId="6603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5EA0C1E8">
            <w:pPr>
              <w:spacing w:after="0"/>
              <w:jc w:val="left"/>
            </w:pPr>
            <w:r>
              <w:rPr>
                <w:rFonts w:ascii="微软雅黑" w:hAnsi="微软雅黑" w:eastAsia="微软雅黑"/>
                <w:b w:val="0"/>
                <w:sz w:val="21"/>
              </w:rPr>
              <w:t>MoE decomposition</w:t>
            </w:r>
          </w:p>
        </w:tc>
        <w:tc>
          <w:tcPr>
            <w:tcW w:w="3192" w:type="dxa"/>
            <w:tcMar>
              <w:top w:w="90" w:type="dxa"/>
              <w:left w:w="120" w:type="dxa"/>
              <w:bottom w:w="90" w:type="dxa"/>
              <w:right w:w="120" w:type="dxa"/>
            </w:tcMar>
            <w:vAlign w:val="center"/>
          </w:tcPr>
          <w:p w14:paraId="1F76D3F7">
            <w:pPr>
              <w:spacing w:after="0"/>
              <w:jc w:val="left"/>
            </w:pPr>
            <w:r>
              <w:rPr>
                <w:rFonts w:ascii="微软雅黑" w:hAnsi="微软雅黑" w:eastAsia="微软雅黑"/>
                <w:b w:val="0"/>
                <w:sz w:val="21"/>
              </w:rPr>
              <w:t>把输入窗口拆成趋势与残差，残差更敏感于异常。</w:t>
            </w:r>
          </w:p>
        </w:tc>
        <w:tc>
          <w:tcPr>
            <w:tcW w:w="3192" w:type="dxa"/>
            <w:tcMar>
              <w:top w:w="90" w:type="dxa"/>
              <w:left w:w="120" w:type="dxa"/>
              <w:bottom w:w="90" w:type="dxa"/>
              <w:right w:w="120" w:type="dxa"/>
            </w:tcMar>
            <w:vAlign w:val="center"/>
          </w:tcPr>
          <w:p w14:paraId="2D14247C">
            <w:pPr>
              <w:spacing w:after="0"/>
              <w:jc w:val="left"/>
            </w:pPr>
            <w:r>
              <w:rPr>
                <w:rFonts w:ascii="微软雅黑" w:hAnsi="微软雅黑" w:eastAsia="微软雅黑"/>
                <w:b w:val="0"/>
                <w:sz w:val="21"/>
              </w:rPr>
              <w:t>保留为重构主干的一部分。</w:t>
            </w:r>
          </w:p>
        </w:tc>
      </w:tr>
      <w:tr w14:paraId="5B48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58DFA09E">
            <w:pPr>
              <w:spacing w:after="0"/>
              <w:jc w:val="left"/>
            </w:pPr>
            <w:r>
              <w:rPr>
                <w:rFonts w:ascii="微软雅黑" w:hAnsi="微软雅黑" w:eastAsia="微软雅黑"/>
                <w:b w:val="0"/>
                <w:sz w:val="21"/>
              </w:rPr>
              <w:t>Channel adaptive graph</w:t>
            </w:r>
          </w:p>
        </w:tc>
        <w:tc>
          <w:tcPr>
            <w:tcW w:w="3192" w:type="dxa"/>
            <w:tcMar>
              <w:top w:w="90" w:type="dxa"/>
              <w:left w:w="120" w:type="dxa"/>
              <w:bottom w:w="90" w:type="dxa"/>
              <w:right w:w="120" w:type="dxa"/>
            </w:tcMar>
            <w:vAlign w:val="center"/>
          </w:tcPr>
          <w:p w14:paraId="26E49F03">
            <w:pPr>
              <w:spacing w:after="0"/>
              <w:jc w:val="left"/>
            </w:pPr>
            <w:r>
              <w:rPr>
                <w:rFonts w:ascii="微软雅黑" w:hAnsi="微软雅黑" w:eastAsia="微软雅黑"/>
                <w:b w:val="0"/>
                <w:sz w:val="21"/>
              </w:rPr>
              <w:t>学习变量之间的依赖图，用于通道消息传递、机制违背和 RCA 证据。</w:t>
            </w:r>
          </w:p>
        </w:tc>
        <w:tc>
          <w:tcPr>
            <w:tcW w:w="3192" w:type="dxa"/>
            <w:tcMar>
              <w:top w:w="90" w:type="dxa"/>
              <w:left w:w="120" w:type="dxa"/>
              <w:bottom w:w="90" w:type="dxa"/>
              <w:right w:w="120" w:type="dxa"/>
            </w:tcMar>
            <w:vAlign w:val="center"/>
          </w:tcPr>
          <w:p w14:paraId="77C496BC">
            <w:pPr>
              <w:spacing w:after="0"/>
              <w:jc w:val="left"/>
            </w:pPr>
            <w:r>
              <w:rPr>
                <w:rFonts w:ascii="微软雅黑" w:hAnsi="微软雅黑" w:eastAsia="微软雅黑"/>
                <w:b w:val="0"/>
                <w:sz w:val="21"/>
              </w:rPr>
              <w:t>核心模块，但不能直接声称因果图。</w:t>
            </w:r>
          </w:p>
        </w:tc>
      </w:tr>
      <w:tr w14:paraId="6B87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1A74C28D">
            <w:pPr>
              <w:spacing w:after="0"/>
              <w:jc w:val="left"/>
            </w:pPr>
            <w:r>
              <w:rPr>
                <w:rFonts w:ascii="微软雅黑" w:hAnsi="微软雅黑" w:eastAsia="微软雅黑"/>
                <w:b w:val="0"/>
                <w:sz w:val="21"/>
              </w:rPr>
              <w:t>Temporal graph / EncoderStack</w:t>
            </w:r>
          </w:p>
        </w:tc>
        <w:tc>
          <w:tcPr>
            <w:tcW w:w="3192" w:type="dxa"/>
            <w:tcMar>
              <w:top w:w="90" w:type="dxa"/>
              <w:left w:w="120" w:type="dxa"/>
              <w:bottom w:w="90" w:type="dxa"/>
              <w:right w:w="120" w:type="dxa"/>
            </w:tcMar>
            <w:vAlign w:val="center"/>
          </w:tcPr>
          <w:p w14:paraId="0CD58795">
            <w:pPr>
              <w:spacing w:after="0"/>
              <w:jc w:val="left"/>
            </w:pPr>
            <w:r>
              <w:rPr>
                <w:rFonts w:ascii="微软雅黑" w:hAnsi="微软雅黑" w:eastAsia="微软雅黑"/>
                <w:b w:val="0"/>
                <w:sz w:val="21"/>
              </w:rPr>
              <w:t>建模窗口内部时间动态，多尺度时序卷积和注意力提取时序表示。</w:t>
            </w:r>
          </w:p>
        </w:tc>
        <w:tc>
          <w:tcPr>
            <w:tcW w:w="3192" w:type="dxa"/>
            <w:tcMar>
              <w:top w:w="90" w:type="dxa"/>
              <w:left w:w="120" w:type="dxa"/>
              <w:bottom w:w="90" w:type="dxa"/>
              <w:right w:w="120" w:type="dxa"/>
            </w:tcMar>
            <w:vAlign w:val="center"/>
          </w:tcPr>
          <w:p w14:paraId="7BF565B7">
            <w:pPr>
              <w:spacing w:after="0"/>
              <w:jc w:val="left"/>
            </w:pPr>
            <w:r>
              <w:rPr>
                <w:rFonts w:ascii="微软雅黑" w:hAnsi="微软雅黑" w:eastAsia="微软雅黑"/>
                <w:b w:val="0"/>
                <w:sz w:val="21"/>
              </w:rPr>
              <w:t>检测主干的一部分，不宜单独夸大。</w:t>
            </w:r>
          </w:p>
        </w:tc>
      </w:tr>
      <w:tr w14:paraId="7DA7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3568CB43">
            <w:pPr>
              <w:spacing w:after="0"/>
              <w:jc w:val="left"/>
            </w:pPr>
            <w:r>
              <w:rPr>
                <w:rFonts w:ascii="微软雅黑" w:hAnsi="微软雅黑" w:eastAsia="微软雅黑"/>
                <w:b w:val="0"/>
                <w:sz w:val="21"/>
              </w:rPr>
              <w:t>VQ bottleneck</w:t>
            </w:r>
          </w:p>
        </w:tc>
        <w:tc>
          <w:tcPr>
            <w:tcW w:w="3192" w:type="dxa"/>
            <w:tcMar>
              <w:top w:w="90" w:type="dxa"/>
              <w:left w:w="120" w:type="dxa"/>
              <w:bottom w:w="90" w:type="dxa"/>
              <w:right w:w="120" w:type="dxa"/>
            </w:tcMar>
            <w:vAlign w:val="center"/>
          </w:tcPr>
          <w:p w14:paraId="31AB6C6C">
            <w:pPr>
              <w:spacing w:after="0"/>
              <w:jc w:val="left"/>
            </w:pPr>
            <w:r>
              <w:rPr>
                <w:rFonts w:ascii="微软雅黑" w:hAnsi="微软雅黑" w:eastAsia="微软雅黑"/>
                <w:b w:val="0"/>
                <w:sz w:val="21"/>
              </w:rPr>
              <w:t>作为训练侧正常模式正则，帮助稳定表示。</w:t>
            </w:r>
          </w:p>
        </w:tc>
        <w:tc>
          <w:tcPr>
            <w:tcW w:w="3192" w:type="dxa"/>
            <w:tcMar>
              <w:top w:w="90" w:type="dxa"/>
              <w:left w:w="120" w:type="dxa"/>
              <w:bottom w:w="90" w:type="dxa"/>
              <w:right w:w="120" w:type="dxa"/>
            </w:tcMar>
            <w:vAlign w:val="center"/>
          </w:tcPr>
          <w:p w14:paraId="2A4579FD">
            <w:pPr>
              <w:spacing w:after="0"/>
              <w:jc w:val="left"/>
            </w:pPr>
            <w:r>
              <w:rPr>
                <w:rFonts w:ascii="微软雅黑" w:hAnsi="微软雅黑" w:eastAsia="微软雅黑"/>
                <w:b w:val="0"/>
                <w:sz w:val="21"/>
              </w:rPr>
              <w:t>不应作为主要异常评分贡献。</w:t>
            </w:r>
          </w:p>
        </w:tc>
      </w:tr>
      <w:tr w14:paraId="4085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27FD92CB">
            <w:pPr>
              <w:spacing w:after="0"/>
              <w:jc w:val="left"/>
            </w:pPr>
            <w:r>
              <w:rPr>
                <w:rFonts w:ascii="微软雅黑" w:hAnsi="微软雅黑" w:eastAsia="微软雅黑"/>
                <w:b w:val="0"/>
                <w:sz w:val="21"/>
              </w:rPr>
              <w:t>Direct reconstruction score</w:t>
            </w:r>
          </w:p>
        </w:tc>
        <w:tc>
          <w:tcPr>
            <w:tcW w:w="3192" w:type="dxa"/>
            <w:tcMar>
              <w:top w:w="90" w:type="dxa"/>
              <w:left w:w="120" w:type="dxa"/>
              <w:bottom w:w="90" w:type="dxa"/>
              <w:right w:w="120" w:type="dxa"/>
            </w:tcMar>
            <w:vAlign w:val="center"/>
          </w:tcPr>
          <w:p w14:paraId="113D399D">
            <w:pPr>
              <w:spacing w:after="0"/>
              <w:jc w:val="left"/>
            </w:pPr>
            <w:r>
              <w:rPr>
                <w:rFonts w:ascii="微软雅黑" w:hAnsi="微软雅黑" w:eastAsia="微软雅黑"/>
                <w:b w:val="0"/>
                <w:sz w:val="21"/>
              </w:rPr>
              <w:t>用 top-k 通道重构误差形成时间点异常分数。</w:t>
            </w:r>
          </w:p>
        </w:tc>
        <w:tc>
          <w:tcPr>
            <w:tcW w:w="3192" w:type="dxa"/>
            <w:tcMar>
              <w:top w:w="90" w:type="dxa"/>
              <w:left w:w="120" w:type="dxa"/>
              <w:bottom w:w="90" w:type="dxa"/>
              <w:right w:w="120" w:type="dxa"/>
            </w:tcMar>
            <w:vAlign w:val="center"/>
          </w:tcPr>
          <w:p w14:paraId="799E623D">
            <w:pPr>
              <w:spacing w:after="0"/>
              <w:jc w:val="left"/>
            </w:pPr>
            <w:r>
              <w:rPr>
                <w:rFonts w:ascii="微软雅黑" w:hAnsi="微软雅黑" w:eastAsia="微软雅黑"/>
                <w:b w:val="0"/>
                <w:sz w:val="21"/>
              </w:rPr>
              <w:t>主要检测信号，稳定可解释。</w:t>
            </w:r>
          </w:p>
        </w:tc>
      </w:tr>
    </w:tbl>
    <w:p w14:paraId="0EFFC6EC"/>
    <w:p w14:paraId="303C7C13">
      <w:pPr>
        <w:pStyle w:val="4"/>
        <w:spacing w:before="160" w:after="120"/>
      </w:pPr>
      <w:r>
        <w:rPr>
          <w:rFonts w:ascii="微软雅黑" w:hAnsi="微软雅黑" w:eastAsia="微软雅黑"/>
          <w:b/>
          <w:color w:val="2E5E8D"/>
          <w:sz w:val="32"/>
        </w:rPr>
        <w:t>4.3 RCA 评分思想</w:t>
      </w:r>
    </w:p>
    <w:p w14:paraId="1F780F4B">
      <w:pPr>
        <w:spacing w:after="120" w:line="283" w:lineRule="auto"/>
      </w:pPr>
      <w:r>
        <w:rPr>
          <w:rFonts w:ascii="微软雅黑" w:hAnsi="微软雅黑" w:eastAsia="微软雅黑"/>
          <w:sz w:val="25"/>
        </w:rPr>
        <w:br w:type="textWrapping"/>
      </w:r>
      <w:r>
        <w:rPr>
          <w:rFonts w:ascii="微软雅黑" w:hAnsi="微软雅黑" w:eastAsia="微软雅黑"/>
          <w:sz w:val="25"/>
        </w:rPr>
        <w:t xml:space="preserve">      当前 RCA 不是只看一个变量误差，而是把事件内证据融合起来。概念上可以理解为：</w:t>
      </w:r>
      <w:r>
        <w:rPr>
          <w:rFonts w:ascii="微软雅黑" w:hAnsi="微软雅黑" w:eastAsia="微软雅黑"/>
          <w:sz w:val="25"/>
        </w:rPr>
        <w:br w:type="textWrapping"/>
      </w:r>
      <w:r>
        <w:rPr>
          <w:rFonts w:ascii="微软雅黑" w:hAnsi="微软雅黑" w:eastAsia="微软雅黑"/>
          <w:sz w:val="25"/>
        </w:rPr>
        <w:t xml:space="preserve">    </w:t>
      </w:r>
    </w:p>
    <w:p w14:paraId="43F14779">
      <w:pPr>
        <w:spacing w:before="80" w:after="160"/>
      </w:pPr>
      <w:r>
        <w:rPr>
          <w:rFonts w:ascii="Consolas" w:hAnsi="Consolas" w:eastAsia="Consolas"/>
          <w:color w:val="111827"/>
          <w:sz w:val="21"/>
        </w:rPr>
        <w:t>RCA_score_i(e)</w:t>
      </w:r>
      <w:r>
        <w:rPr>
          <w:rFonts w:ascii="Consolas" w:hAnsi="Consolas" w:eastAsia="Consolas"/>
          <w:color w:val="111827"/>
          <w:sz w:val="21"/>
        </w:rPr>
        <w:br w:type="textWrapping"/>
      </w:r>
      <w:r>
        <w:rPr>
          <w:rFonts w:ascii="Consolas" w:hAnsi="Consolas" w:eastAsia="Consolas"/>
          <w:color w:val="111827"/>
          <w:sz w:val="21"/>
        </w:rPr>
        <w:t xml:space="preserve">  = residual_i(e)</w:t>
      </w:r>
      <w:r>
        <w:rPr>
          <w:rFonts w:ascii="Consolas" w:hAnsi="Consolas" w:eastAsia="Consolas"/>
          <w:color w:val="111827"/>
          <w:sz w:val="21"/>
        </w:rPr>
        <w:br w:type="textWrapping"/>
      </w:r>
      <w:r>
        <w:rPr>
          <w:rFonts w:ascii="Consolas" w:hAnsi="Consolas" w:eastAsia="Consolas"/>
          <w:color w:val="111827"/>
          <w:sz w:val="21"/>
        </w:rPr>
        <w:t xml:space="preserve">  + mechanism_i(e)</w:t>
      </w:r>
      <w:r>
        <w:rPr>
          <w:rFonts w:ascii="Consolas" w:hAnsi="Consolas" w:eastAsia="Consolas"/>
          <w:color w:val="111827"/>
          <w:sz w:val="21"/>
        </w:rPr>
        <w:br w:type="textWrapping"/>
      </w:r>
      <w:r>
        <w:rPr>
          <w:rFonts w:ascii="Consolas" w:hAnsi="Consolas" w:eastAsia="Consolas"/>
          <w:color w:val="111827"/>
          <w:sz w:val="21"/>
        </w:rPr>
        <w:t xml:space="preserve">  + onset_i(e)</w:t>
      </w:r>
      <w:r>
        <w:rPr>
          <w:rFonts w:ascii="Consolas" w:hAnsi="Consolas" w:eastAsia="Consolas"/>
          <w:color w:val="111827"/>
          <w:sz w:val="21"/>
        </w:rPr>
        <w:br w:type="textWrapping"/>
      </w:r>
      <w:r>
        <w:rPr>
          <w:rFonts w:ascii="Consolas" w:hAnsi="Consolas" w:eastAsia="Consolas"/>
          <w:color w:val="111827"/>
          <w:sz w:val="21"/>
        </w:rPr>
        <w:t xml:space="preserve">  + source_gate_i(e)</w:t>
      </w:r>
      <w:r>
        <w:rPr>
          <w:rFonts w:ascii="Consolas" w:hAnsi="Consolas" w:eastAsia="Consolas"/>
          <w:color w:val="111827"/>
          <w:sz w:val="21"/>
        </w:rPr>
        <w:br w:type="textWrapping"/>
      </w:r>
      <w:r>
        <w:rPr>
          <w:rFonts w:ascii="Consolas" w:hAnsi="Consolas" w:eastAsia="Consolas"/>
          <w:color w:val="111827"/>
          <w:sz w:val="21"/>
        </w:rPr>
        <w:t xml:space="preserve">  - propagation_i(e)</w:t>
      </w:r>
      <w:r>
        <w:rPr>
          <w:rFonts w:ascii="Consolas" w:hAnsi="Consolas" w:eastAsia="Consolas"/>
          <w:color w:val="111827"/>
          <w:sz w:val="21"/>
        </w:rPr>
        <w:br w:type="textWrapping"/>
      </w:r>
      <w:r>
        <w:rPr>
          <w:rFonts w:ascii="Consolas" w:hAnsi="Consolas" w:eastAsia="Consolas"/>
          <w:color w:val="111827"/>
          <w:sz w:val="21"/>
        </w:rPr>
        <w:t xml:space="preserve">  - specificity_i(e)</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2331"/>
        <w:gridCol w:w="2337"/>
        <w:gridCol w:w="2331"/>
      </w:tblGrid>
      <w:tr w14:paraId="11B3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shd w:val="clear" w:color="auto" w:fill="F2F4F7"/>
            <w:tcMar>
              <w:top w:w="90" w:type="dxa"/>
              <w:left w:w="120" w:type="dxa"/>
              <w:bottom w:w="90" w:type="dxa"/>
              <w:right w:w="120" w:type="dxa"/>
            </w:tcMar>
            <w:vAlign w:val="center"/>
          </w:tcPr>
          <w:p w14:paraId="36263E5B">
            <w:pPr>
              <w:spacing w:after="0"/>
              <w:jc w:val="left"/>
            </w:pPr>
            <w:r>
              <w:rPr>
                <w:rFonts w:ascii="微软雅黑" w:hAnsi="微软雅黑" w:eastAsia="微软雅黑"/>
                <w:b/>
                <w:sz w:val="21"/>
              </w:rPr>
              <w:t>证据分量</w:t>
            </w:r>
          </w:p>
        </w:tc>
        <w:tc>
          <w:tcPr>
            <w:tcW w:w="2394" w:type="dxa"/>
            <w:shd w:val="clear" w:color="auto" w:fill="F2F4F7"/>
            <w:tcMar>
              <w:top w:w="90" w:type="dxa"/>
              <w:left w:w="120" w:type="dxa"/>
              <w:bottom w:w="90" w:type="dxa"/>
              <w:right w:w="120" w:type="dxa"/>
            </w:tcMar>
            <w:vAlign w:val="center"/>
          </w:tcPr>
          <w:p w14:paraId="4A075754">
            <w:pPr>
              <w:spacing w:after="0"/>
              <w:jc w:val="left"/>
            </w:pPr>
            <w:r>
              <w:rPr>
                <w:rFonts w:ascii="微软雅黑" w:hAnsi="微软雅黑" w:eastAsia="微软雅黑"/>
                <w:b/>
                <w:sz w:val="21"/>
              </w:rPr>
              <w:t>直观含义</w:t>
            </w:r>
          </w:p>
        </w:tc>
        <w:tc>
          <w:tcPr>
            <w:tcW w:w="2394" w:type="dxa"/>
            <w:shd w:val="clear" w:color="auto" w:fill="F2F4F7"/>
            <w:tcMar>
              <w:top w:w="90" w:type="dxa"/>
              <w:left w:w="120" w:type="dxa"/>
              <w:bottom w:w="90" w:type="dxa"/>
              <w:right w:w="120" w:type="dxa"/>
            </w:tcMar>
            <w:vAlign w:val="center"/>
          </w:tcPr>
          <w:p w14:paraId="115BA8A3">
            <w:pPr>
              <w:spacing w:after="0"/>
              <w:jc w:val="left"/>
            </w:pPr>
            <w:r>
              <w:rPr>
                <w:rFonts w:ascii="微软雅黑" w:hAnsi="微软雅黑" w:eastAsia="微软雅黑"/>
                <w:b/>
                <w:sz w:val="21"/>
              </w:rPr>
              <w:t>能支持什么</w:t>
            </w:r>
          </w:p>
        </w:tc>
        <w:tc>
          <w:tcPr>
            <w:tcW w:w="2394" w:type="dxa"/>
            <w:shd w:val="clear" w:color="auto" w:fill="F2F4F7"/>
            <w:tcMar>
              <w:top w:w="90" w:type="dxa"/>
              <w:left w:w="120" w:type="dxa"/>
              <w:bottom w:w="90" w:type="dxa"/>
              <w:right w:w="120" w:type="dxa"/>
            </w:tcMar>
            <w:vAlign w:val="center"/>
          </w:tcPr>
          <w:p w14:paraId="49408750">
            <w:pPr>
              <w:spacing w:after="0"/>
              <w:jc w:val="left"/>
            </w:pPr>
            <w:r>
              <w:rPr>
                <w:rFonts w:ascii="微软雅黑" w:hAnsi="微软雅黑" w:eastAsia="微软雅黑"/>
                <w:b/>
                <w:sz w:val="21"/>
              </w:rPr>
              <w:t>不能支持什么</w:t>
            </w:r>
          </w:p>
        </w:tc>
      </w:tr>
      <w:tr w14:paraId="3D21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759CC24A">
            <w:pPr>
              <w:spacing w:after="0"/>
              <w:jc w:val="left"/>
            </w:pPr>
            <w:r>
              <w:rPr>
                <w:rFonts w:ascii="微软雅黑" w:hAnsi="微软雅黑" w:eastAsia="微软雅黑"/>
                <w:b w:val="0"/>
                <w:sz w:val="21"/>
              </w:rPr>
              <w:t>residual</w:t>
            </w:r>
          </w:p>
        </w:tc>
        <w:tc>
          <w:tcPr>
            <w:tcW w:w="2394" w:type="dxa"/>
            <w:tcMar>
              <w:top w:w="90" w:type="dxa"/>
              <w:left w:w="120" w:type="dxa"/>
              <w:bottom w:w="90" w:type="dxa"/>
              <w:right w:w="120" w:type="dxa"/>
            </w:tcMar>
            <w:vAlign w:val="center"/>
          </w:tcPr>
          <w:p w14:paraId="1C473D16">
            <w:pPr>
              <w:spacing w:after="0"/>
              <w:jc w:val="left"/>
            </w:pPr>
            <w:r>
              <w:rPr>
                <w:rFonts w:ascii="微软雅黑" w:hAnsi="微软雅黑" w:eastAsia="微软雅黑"/>
                <w:b w:val="0"/>
                <w:sz w:val="21"/>
              </w:rPr>
              <w:t>事件内该变量重构误差多大。</w:t>
            </w:r>
          </w:p>
        </w:tc>
        <w:tc>
          <w:tcPr>
            <w:tcW w:w="2394" w:type="dxa"/>
            <w:tcMar>
              <w:top w:w="90" w:type="dxa"/>
              <w:left w:w="120" w:type="dxa"/>
              <w:bottom w:w="90" w:type="dxa"/>
              <w:right w:w="120" w:type="dxa"/>
            </w:tcMar>
            <w:vAlign w:val="center"/>
          </w:tcPr>
          <w:p w14:paraId="692F7636">
            <w:pPr>
              <w:spacing w:after="0"/>
              <w:jc w:val="left"/>
            </w:pPr>
            <w:r>
              <w:rPr>
                <w:rFonts w:ascii="微软雅黑" w:hAnsi="微软雅黑" w:eastAsia="微软雅黑"/>
                <w:b w:val="0"/>
                <w:sz w:val="21"/>
              </w:rPr>
              <w:t>变量异常响应强。</w:t>
            </w:r>
          </w:p>
        </w:tc>
        <w:tc>
          <w:tcPr>
            <w:tcW w:w="2394" w:type="dxa"/>
            <w:tcMar>
              <w:top w:w="90" w:type="dxa"/>
              <w:left w:w="120" w:type="dxa"/>
              <w:bottom w:w="90" w:type="dxa"/>
              <w:right w:w="120" w:type="dxa"/>
            </w:tcMar>
            <w:vAlign w:val="center"/>
          </w:tcPr>
          <w:p w14:paraId="358D1BA5">
            <w:pPr>
              <w:spacing w:after="0"/>
              <w:jc w:val="left"/>
            </w:pPr>
            <w:r>
              <w:rPr>
                <w:rFonts w:ascii="微软雅黑" w:hAnsi="微软雅黑" w:eastAsia="微软雅黑"/>
                <w:b w:val="0"/>
                <w:sz w:val="21"/>
              </w:rPr>
              <w:t>不能单独证明它是源头。</w:t>
            </w:r>
          </w:p>
        </w:tc>
      </w:tr>
      <w:tr w14:paraId="38DF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5C9FD0C0">
            <w:pPr>
              <w:spacing w:after="0"/>
              <w:jc w:val="left"/>
            </w:pPr>
            <w:r>
              <w:rPr>
                <w:rFonts w:ascii="微软雅黑" w:hAnsi="微软雅黑" w:eastAsia="微软雅黑"/>
                <w:b w:val="0"/>
                <w:sz w:val="21"/>
              </w:rPr>
              <w:t>mechanism</w:t>
            </w:r>
          </w:p>
        </w:tc>
        <w:tc>
          <w:tcPr>
            <w:tcW w:w="2394" w:type="dxa"/>
            <w:tcMar>
              <w:top w:w="90" w:type="dxa"/>
              <w:left w:w="120" w:type="dxa"/>
              <w:bottom w:w="90" w:type="dxa"/>
              <w:right w:w="120" w:type="dxa"/>
            </w:tcMar>
            <w:vAlign w:val="center"/>
          </w:tcPr>
          <w:p w14:paraId="4E1E2E72">
            <w:pPr>
              <w:spacing w:after="0"/>
              <w:jc w:val="left"/>
            </w:pPr>
            <w:r>
              <w:rPr>
                <w:rFonts w:ascii="微软雅黑" w:hAnsi="微软雅黑" w:eastAsia="微软雅黑"/>
                <w:b w:val="0"/>
                <w:sz w:val="21"/>
              </w:rPr>
              <w:t>变量能否被图邻居按正常机制解释。</w:t>
            </w:r>
          </w:p>
        </w:tc>
        <w:tc>
          <w:tcPr>
            <w:tcW w:w="2394" w:type="dxa"/>
            <w:tcMar>
              <w:top w:w="90" w:type="dxa"/>
              <w:left w:w="120" w:type="dxa"/>
              <w:bottom w:w="90" w:type="dxa"/>
              <w:right w:w="120" w:type="dxa"/>
            </w:tcMar>
            <w:vAlign w:val="center"/>
          </w:tcPr>
          <w:p w14:paraId="10453190">
            <w:pPr>
              <w:spacing w:after="0"/>
              <w:jc w:val="left"/>
            </w:pPr>
            <w:r>
              <w:rPr>
                <w:rFonts w:ascii="微软雅黑" w:hAnsi="微软雅黑" w:eastAsia="微软雅黑"/>
                <w:b w:val="0"/>
                <w:sz w:val="21"/>
              </w:rPr>
              <w:t>正常依赖关系可能被破坏。</w:t>
            </w:r>
          </w:p>
        </w:tc>
        <w:tc>
          <w:tcPr>
            <w:tcW w:w="2394" w:type="dxa"/>
            <w:tcMar>
              <w:top w:w="90" w:type="dxa"/>
              <w:left w:w="120" w:type="dxa"/>
              <w:bottom w:w="90" w:type="dxa"/>
              <w:right w:w="120" w:type="dxa"/>
            </w:tcMar>
            <w:vAlign w:val="center"/>
          </w:tcPr>
          <w:p w14:paraId="1333128A">
            <w:pPr>
              <w:spacing w:after="0"/>
              <w:jc w:val="left"/>
            </w:pPr>
            <w:r>
              <w:rPr>
                <w:rFonts w:ascii="微软雅黑" w:hAnsi="微软雅黑" w:eastAsia="微软雅黑"/>
                <w:b w:val="0"/>
                <w:sz w:val="21"/>
              </w:rPr>
              <w:t>不能等价于物理因果边。</w:t>
            </w:r>
          </w:p>
        </w:tc>
      </w:tr>
      <w:tr w14:paraId="08E3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72A84A4E">
            <w:pPr>
              <w:spacing w:after="0"/>
              <w:jc w:val="left"/>
            </w:pPr>
            <w:r>
              <w:rPr>
                <w:rFonts w:ascii="微软雅黑" w:hAnsi="微软雅黑" w:eastAsia="微软雅黑"/>
                <w:b w:val="0"/>
                <w:sz w:val="21"/>
              </w:rPr>
              <w:t>onset</w:t>
            </w:r>
          </w:p>
        </w:tc>
        <w:tc>
          <w:tcPr>
            <w:tcW w:w="2394" w:type="dxa"/>
            <w:tcMar>
              <w:top w:w="90" w:type="dxa"/>
              <w:left w:w="120" w:type="dxa"/>
              <w:bottom w:w="90" w:type="dxa"/>
              <w:right w:w="120" w:type="dxa"/>
            </w:tcMar>
            <w:vAlign w:val="center"/>
          </w:tcPr>
          <w:p w14:paraId="65C2721F">
            <w:pPr>
              <w:spacing w:after="0"/>
              <w:jc w:val="left"/>
            </w:pPr>
            <w:r>
              <w:rPr>
                <w:rFonts w:ascii="微软雅黑" w:hAnsi="微软雅黑" w:eastAsia="微软雅黑"/>
                <w:b w:val="0"/>
                <w:sz w:val="21"/>
              </w:rPr>
              <w:t>事件早期是否先出现异常证据。</w:t>
            </w:r>
          </w:p>
        </w:tc>
        <w:tc>
          <w:tcPr>
            <w:tcW w:w="2394" w:type="dxa"/>
            <w:tcMar>
              <w:top w:w="90" w:type="dxa"/>
              <w:left w:w="120" w:type="dxa"/>
              <w:bottom w:w="90" w:type="dxa"/>
              <w:right w:w="120" w:type="dxa"/>
            </w:tcMar>
            <w:vAlign w:val="center"/>
          </w:tcPr>
          <w:p w14:paraId="039063DF">
            <w:pPr>
              <w:spacing w:after="0"/>
              <w:jc w:val="left"/>
            </w:pPr>
            <w:r>
              <w:rPr>
                <w:rFonts w:ascii="微软雅黑" w:hAnsi="微软雅黑" w:eastAsia="微软雅黑"/>
                <w:b w:val="0"/>
                <w:sz w:val="21"/>
              </w:rPr>
              <w:t>有助于区分源头与后续传播。</w:t>
            </w:r>
          </w:p>
        </w:tc>
        <w:tc>
          <w:tcPr>
            <w:tcW w:w="2394" w:type="dxa"/>
            <w:tcMar>
              <w:top w:w="90" w:type="dxa"/>
              <w:left w:w="120" w:type="dxa"/>
              <w:bottom w:w="90" w:type="dxa"/>
              <w:right w:w="120" w:type="dxa"/>
            </w:tcMar>
            <w:vAlign w:val="center"/>
          </w:tcPr>
          <w:p w14:paraId="3A9C3429">
            <w:pPr>
              <w:spacing w:after="0"/>
              <w:jc w:val="left"/>
            </w:pPr>
            <w:r>
              <w:rPr>
                <w:rFonts w:ascii="微软雅黑" w:hAnsi="微软雅黑" w:eastAsia="微软雅黑"/>
                <w:b w:val="0"/>
                <w:sz w:val="21"/>
              </w:rPr>
              <w:t>不能排除存在延迟或控制回路效应。</w:t>
            </w:r>
          </w:p>
        </w:tc>
      </w:tr>
      <w:tr w14:paraId="0E57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7F7ABB51">
            <w:pPr>
              <w:spacing w:after="0"/>
              <w:jc w:val="left"/>
            </w:pPr>
            <w:r>
              <w:rPr>
                <w:rFonts w:ascii="微软雅黑" w:hAnsi="微软雅黑" w:eastAsia="微软雅黑"/>
                <w:b w:val="0"/>
                <w:sz w:val="21"/>
              </w:rPr>
              <w:t>source gate / bottleneck</w:t>
            </w:r>
          </w:p>
        </w:tc>
        <w:tc>
          <w:tcPr>
            <w:tcW w:w="2394" w:type="dxa"/>
            <w:tcMar>
              <w:top w:w="90" w:type="dxa"/>
              <w:left w:w="120" w:type="dxa"/>
              <w:bottom w:w="90" w:type="dxa"/>
              <w:right w:w="120" w:type="dxa"/>
            </w:tcMar>
            <w:vAlign w:val="center"/>
          </w:tcPr>
          <w:p w14:paraId="30DA0C43">
            <w:pPr>
              <w:spacing w:after="0"/>
              <w:jc w:val="left"/>
            </w:pPr>
            <w:r>
              <w:rPr>
                <w:rFonts w:ascii="微软雅黑" w:hAnsi="微软雅黑" w:eastAsia="微软雅黑"/>
                <w:b w:val="0"/>
                <w:sz w:val="21"/>
              </w:rPr>
              <w:t>把大量异常响应压缩成少数更可能源变量。</w:t>
            </w:r>
          </w:p>
        </w:tc>
        <w:tc>
          <w:tcPr>
            <w:tcW w:w="2394" w:type="dxa"/>
            <w:tcMar>
              <w:top w:w="90" w:type="dxa"/>
              <w:left w:w="120" w:type="dxa"/>
              <w:bottom w:w="90" w:type="dxa"/>
              <w:right w:w="120" w:type="dxa"/>
            </w:tcMar>
            <w:vAlign w:val="center"/>
          </w:tcPr>
          <w:p w14:paraId="36A7CFBD">
            <w:pPr>
              <w:spacing w:after="0"/>
              <w:jc w:val="left"/>
            </w:pPr>
            <w:r>
              <w:rPr>
                <w:rFonts w:ascii="微软雅黑" w:hAnsi="微软雅黑" w:eastAsia="微软雅黑"/>
                <w:b w:val="0"/>
                <w:sz w:val="21"/>
              </w:rPr>
              <w:t>符合工业排查的 Top-K 需求。</w:t>
            </w:r>
          </w:p>
        </w:tc>
        <w:tc>
          <w:tcPr>
            <w:tcW w:w="2394" w:type="dxa"/>
            <w:tcMar>
              <w:top w:w="90" w:type="dxa"/>
              <w:left w:w="120" w:type="dxa"/>
              <w:bottom w:w="90" w:type="dxa"/>
              <w:right w:w="120" w:type="dxa"/>
            </w:tcMar>
            <w:vAlign w:val="center"/>
          </w:tcPr>
          <w:p w14:paraId="345C24C8">
            <w:pPr>
              <w:spacing w:after="0"/>
              <w:jc w:val="left"/>
            </w:pPr>
            <w:r>
              <w:rPr>
                <w:rFonts w:ascii="微软雅黑" w:hAnsi="微软雅黑" w:eastAsia="微软雅黑"/>
                <w:b w:val="0"/>
                <w:sz w:val="21"/>
              </w:rPr>
              <w:t>不是严格因果识别。</w:t>
            </w:r>
          </w:p>
        </w:tc>
      </w:tr>
      <w:tr w14:paraId="25A3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4B3AEBAA">
            <w:pPr>
              <w:spacing w:after="0"/>
              <w:jc w:val="left"/>
            </w:pPr>
            <w:r>
              <w:rPr>
                <w:rFonts w:ascii="微软雅黑" w:hAnsi="微软雅黑" w:eastAsia="微软雅黑"/>
                <w:b w:val="0"/>
                <w:sz w:val="21"/>
              </w:rPr>
              <w:t>propagation suppression</w:t>
            </w:r>
          </w:p>
        </w:tc>
        <w:tc>
          <w:tcPr>
            <w:tcW w:w="2394" w:type="dxa"/>
            <w:tcMar>
              <w:top w:w="90" w:type="dxa"/>
              <w:left w:w="120" w:type="dxa"/>
              <w:bottom w:w="90" w:type="dxa"/>
              <w:right w:w="120" w:type="dxa"/>
            </w:tcMar>
            <w:vAlign w:val="center"/>
          </w:tcPr>
          <w:p w14:paraId="77ED8C2F">
            <w:pPr>
              <w:spacing w:after="0"/>
              <w:jc w:val="left"/>
            </w:pPr>
            <w:r>
              <w:rPr>
                <w:rFonts w:ascii="微软雅黑" w:hAnsi="微软雅黑" w:eastAsia="微软雅黑"/>
                <w:b w:val="0"/>
                <w:sz w:val="21"/>
              </w:rPr>
              <w:t>降低更像下游响应变量的排序。</w:t>
            </w:r>
          </w:p>
        </w:tc>
        <w:tc>
          <w:tcPr>
            <w:tcW w:w="2394" w:type="dxa"/>
            <w:tcMar>
              <w:top w:w="90" w:type="dxa"/>
              <w:left w:w="120" w:type="dxa"/>
              <w:bottom w:w="90" w:type="dxa"/>
              <w:right w:w="120" w:type="dxa"/>
            </w:tcMar>
            <w:vAlign w:val="center"/>
          </w:tcPr>
          <w:p w14:paraId="6BF5B04E">
            <w:pPr>
              <w:spacing w:after="0"/>
              <w:jc w:val="left"/>
            </w:pPr>
            <w:r>
              <w:rPr>
                <w:rFonts w:ascii="微软雅黑" w:hAnsi="微软雅黑" w:eastAsia="微软雅黑"/>
                <w:b w:val="0"/>
                <w:sz w:val="21"/>
              </w:rPr>
              <w:t>缓解残差排序偏向响应变量的问题。</w:t>
            </w:r>
          </w:p>
        </w:tc>
        <w:tc>
          <w:tcPr>
            <w:tcW w:w="2394" w:type="dxa"/>
            <w:tcMar>
              <w:top w:w="90" w:type="dxa"/>
              <w:left w:w="120" w:type="dxa"/>
              <w:bottom w:w="90" w:type="dxa"/>
              <w:right w:w="120" w:type="dxa"/>
            </w:tcMar>
            <w:vAlign w:val="center"/>
          </w:tcPr>
          <w:p w14:paraId="31AE8AC5">
            <w:pPr>
              <w:spacing w:after="0"/>
              <w:jc w:val="left"/>
            </w:pPr>
            <w:r>
              <w:rPr>
                <w:rFonts w:ascii="微软雅黑" w:hAnsi="微软雅黑" w:eastAsia="微软雅黑"/>
                <w:b w:val="0"/>
                <w:sz w:val="21"/>
              </w:rPr>
              <w:t>不能完整重建传播路径。</w:t>
            </w:r>
          </w:p>
        </w:tc>
      </w:tr>
      <w:tr w14:paraId="7C27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0B50A23B">
            <w:pPr>
              <w:spacing w:after="0"/>
              <w:jc w:val="left"/>
            </w:pPr>
            <w:r>
              <w:rPr>
                <w:rFonts w:ascii="微软雅黑" w:hAnsi="微软雅黑" w:eastAsia="微软雅黑"/>
                <w:b w:val="0"/>
                <w:sz w:val="21"/>
              </w:rPr>
              <w:t>event specificity</w:t>
            </w:r>
          </w:p>
        </w:tc>
        <w:tc>
          <w:tcPr>
            <w:tcW w:w="2394" w:type="dxa"/>
            <w:tcMar>
              <w:top w:w="90" w:type="dxa"/>
              <w:left w:w="120" w:type="dxa"/>
              <w:bottom w:w="90" w:type="dxa"/>
              <w:right w:w="120" w:type="dxa"/>
            </w:tcMar>
            <w:vAlign w:val="center"/>
          </w:tcPr>
          <w:p w14:paraId="41AC95EB">
            <w:pPr>
              <w:spacing w:after="0"/>
              <w:jc w:val="left"/>
            </w:pPr>
            <w:r>
              <w:rPr>
                <w:rFonts w:ascii="微软雅黑" w:hAnsi="微软雅黑" w:eastAsia="微软雅黑"/>
                <w:b w:val="0"/>
                <w:sz w:val="21"/>
              </w:rPr>
              <w:t>惩罚跨事件反复排名靠前的通用响应变量。</w:t>
            </w:r>
          </w:p>
        </w:tc>
        <w:tc>
          <w:tcPr>
            <w:tcW w:w="2394" w:type="dxa"/>
            <w:tcMar>
              <w:top w:w="90" w:type="dxa"/>
              <w:left w:w="120" w:type="dxa"/>
              <w:bottom w:w="90" w:type="dxa"/>
              <w:right w:w="120" w:type="dxa"/>
            </w:tcMar>
            <w:vAlign w:val="center"/>
          </w:tcPr>
          <w:p w14:paraId="37801301">
            <w:pPr>
              <w:spacing w:after="0"/>
              <w:jc w:val="left"/>
            </w:pPr>
            <w:r>
              <w:rPr>
                <w:rFonts w:ascii="微软雅黑" w:hAnsi="微软雅黑" w:eastAsia="微软雅黑"/>
                <w:b w:val="0"/>
                <w:sz w:val="21"/>
              </w:rPr>
              <w:t>提升 WADI 源变量排序。</w:t>
            </w:r>
          </w:p>
        </w:tc>
        <w:tc>
          <w:tcPr>
            <w:tcW w:w="2394" w:type="dxa"/>
            <w:tcMar>
              <w:top w:w="90" w:type="dxa"/>
              <w:left w:w="120" w:type="dxa"/>
              <w:bottom w:w="90" w:type="dxa"/>
              <w:right w:w="120" w:type="dxa"/>
            </w:tcMar>
            <w:vAlign w:val="center"/>
          </w:tcPr>
          <w:p w14:paraId="17E8D392">
            <w:pPr>
              <w:spacing w:after="0"/>
              <w:jc w:val="left"/>
            </w:pPr>
            <w:r>
              <w:rPr>
                <w:rFonts w:ascii="微软雅黑" w:hAnsi="微软雅黑" w:eastAsia="微软雅黑"/>
                <w:b w:val="0"/>
                <w:sz w:val="21"/>
              </w:rPr>
              <w:t>目前偏导出阶段校准，需要在线版本和消融验证。</w:t>
            </w:r>
          </w:p>
        </w:tc>
      </w:tr>
    </w:tbl>
    <w:p w14:paraId="4C042C77"/>
    <w:p w14:paraId="45C7BCFA">
      <w:pPr>
        <w:pStyle w:val="3"/>
        <w:spacing w:before="240" w:after="120"/>
      </w:pPr>
      <w:r>
        <w:rPr>
          <w:rFonts w:ascii="微软雅黑" w:hAnsi="微软雅黑" w:eastAsia="微软雅黑"/>
          <w:b/>
          <w:color w:val="1F4D78"/>
          <w:sz w:val="40"/>
        </w:rPr>
        <w:t>创新点</w:t>
      </w:r>
    </w:p>
    <w:p w14:paraId="636F7097">
      <w:pPr>
        <w:pStyle w:val="5"/>
        <w:spacing w:before="160" w:after="120"/>
      </w:pPr>
      <w:r>
        <w:rPr>
          <w:rFonts w:ascii="微软雅黑" w:hAnsi="微软雅黑" w:eastAsia="微软雅黑"/>
          <w:b/>
          <w:color w:val="334155"/>
          <w:sz w:val="27"/>
        </w:rPr>
        <w:t>异常传播条件下的变量级根因排序</w:t>
      </w:r>
    </w:p>
    <w:p w14:paraId="6C703CE7">
      <w:pPr>
        <w:spacing w:after="120" w:line="283" w:lineRule="auto"/>
      </w:pPr>
      <w:r>
        <w:rPr>
          <w:rFonts w:ascii="微软雅黑" w:hAnsi="微软雅黑" w:eastAsia="微软雅黑"/>
          <w:sz w:val="25"/>
        </w:rPr>
        <w:br w:type="textWrapping"/>
      </w:r>
      <w:r>
        <w:rPr>
          <w:rFonts w:ascii="微软雅黑" w:hAnsi="微软雅黑" w:eastAsia="微软雅黑"/>
          <w:sz w:val="25"/>
        </w:rPr>
        <w:t xml:space="preserve">          工业异常发生后，影响会沿设备连接、控制回路和工艺流程传播。</w:t>
      </w:r>
      <w:r>
        <w:rPr>
          <w:rFonts w:ascii="微软雅黑" w:hAnsi="微软雅黑" w:eastAsia="微软雅黑"/>
          <w:sz w:val="25"/>
        </w:rPr>
        <w:br w:type="textWrapping"/>
      </w:r>
      <w:r>
        <w:rPr>
          <w:rFonts w:ascii="微软雅黑" w:hAnsi="微软雅黑" w:eastAsia="微软雅黑"/>
          <w:sz w:val="25"/>
        </w:rPr>
        <w:t xml:space="preserve">          下游响应变量的异常幅度可能大于真正故障源变量，导致按残差、重构误差或注意力分数排序时，</w:t>
      </w:r>
      <w:r>
        <w:rPr>
          <w:rFonts w:ascii="微软雅黑" w:hAnsi="微软雅黑" w:eastAsia="微软雅黑"/>
          <w:sz w:val="25"/>
        </w:rPr>
        <w:br w:type="textWrapping"/>
      </w:r>
      <w:r>
        <w:rPr>
          <w:rFonts w:ascii="微软雅黑" w:hAnsi="微软雅黑" w:eastAsia="微软雅黑"/>
          <w:sz w:val="25"/>
        </w:rPr>
        <w:t xml:space="preserve">          模型容易把响应变量排在故障源变量前面。本文研究的科学问题是：</w:t>
      </w:r>
      <w:r>
        <w:rPr>
          <w:rFonts w:ascii="微软雅黑" w:hAnsi="微软雅黑" w:eastAsia="微软雅黑"/>
          <w:sz w:val="25"/>
        </w:rPr>
        <w:br w:type="textWrapping"/>
      </w:r>
      <w:r>
        <w:rPr>
          <w:rFonts w:ascii="微软雅黑" w:hAnsi="微软雅黑" w:eastAsia="微软雅黑"/>
          <w:sz w:val="25"/>
        </w:rPr>
        <w:t xml:space="preserve">          在事件边界由模型预测得到、异常传播已经发生的条件下，如何利用多种诊断证据提高故障源变量在排序结果中的位置。</w:t>
      </w:r>
      <w:r>
        <w:rPr>
          <w:rFonts w:ascii="微软雅黑" w:hAnsi="微软雅黑" w:eastAsia="微软雅黑"/>
          <w:sz w:val="25"/>
        </w:rPr>
        <w:br w:type="textWrapping"/>
      </w:r>
      <w:r>
        <w:rPr>
          <w:rFonts w:ascii="微软雅黑" w:hAnsi="微软雅黑" w:eastAsia="微软雅黑"/>
          <w:sz w:val="25"/>
        </w:rPr>
        <w:t xml:space="preserve">        </w:t>
      </w:r>
    </w:p>
    <w:p w14:paraId="2D79AE2C">
      <w:pPr>
        <w:spacing w:after="120" w:line="283" w:lineRule="auto"/>
      </w:pPr>
      <w:r>
        <w:rPr>
          <w:rFonts w:ascii="微软雅黑" w:hAnsi="微软雅黑" w:eastAsia="微软雅黑"/>
          <w:sz w:val="25"/>
        </w:rPr>
        <w:t>技术抓手：图结构约束的多证据可学习变量排序，联合异常强度、异常起始时间、局部机制变化、传播关系和事件内变量特异性；证据来自 WADI/SWaT 变量级 RCA 主表和相关消融。</w:t>
      </w:r>
    </w:p>
    <w:p w14:paraId="120436EC">
      <w:pPr>
        <w:pStyle w:val="5"/>
        <w:spacing w:before="160" w:after="120"/>
      </w:pPr>
      <w:r>
        <w:rPr>
          <w:rFonts w:ascii="微软雅黑" w:hAnsi="微软雅黑" w:eastAsia="微软雅黑"/>
          <w:b/>
          <w:color w:val="334155"/>
          <w:sz w:val="27"/>
        </w:rPr>
        <w:t>多证据排序，而非单一异常分数</w:t>
      </w:r>
    </w:p>
    <w:p w14:paraId="34DF792F">
      <w:pPr>
        <w:spacing w:after="120" w:line="283" w:lineRule="auto"/>
      </w:pPr>
      <w:r>
        <w:rPr>
          <w:rFonts w:ascii="微软雅黑" w:hAnsi="微软雅黑" w:eastAsia="微软雅黑"/>
          <w:sz w:val="25"/>
        </w:rPr>
        <w:br w:type="textWrapping"/>
      </w:r>
      <w:r>
        <w:rPr>
          <w:rFonts w:ascii="微软雅黑" w:hAnsi="微软雅黑" w:eastAsia="微软雅黑"/>
          <w:sz w:val="25"/>
        </w:rPr>
        <w:t xml:space="preserve">          方法不直接把残差最大的变量当作根因，而是把异常幅度、起始时序、机制变化、传播关系和事件内特异性拆成不同证据。</w:t>
      </w:r>
      <w:r>
        <w:rPr>
          <w:rFonts w:ascii="微软雅黑" w:hAnsi="微软雅黑" w:eastAsia="微软雅黑"/>
          <w:sz w:val="25"/>
        </w:rPr>
        <w:br w:type="textWrapping"/>
      </w:r>
      <w:r>
        <w:rPr>
          <w:rFonts w:ascii="微软雅黑" w:hAnsi="微软雅黑" w:eastAsia="微软雅黑"/>
          <w:sz w:val="25"/>
        </w:rPr>
        <w:t xml:space="preserve">          可学习参数用于校准这些证据在不同事件中的可靠性，而不是用黑盒分数替代诊断逻辑。</w:t>
      </w:r>
      <w:r>
        <w:rPr>
          <w:rFonts w:ascii="微软雅黑" w:hAnsi="微软雅黑" w:eastAsia="微软雅黑"/>
          <w:sz w:val="25"/>
        </w:rPr>
        <w:br w:type="textWrapping"/>
      </w:r>
      <w:r>
        <w:rPr>
          <w:rFonts w:ascii="微软雅黑" w:hAnsi="微软雅黑" w:eastAsia="微软雅黑"/>
          <w:sz w:val="25"/>
        </w:rPr>
        <w:t xml:space="preserve">        </w:t>
      </w:r>
    </w:p>
    <w:p w14:paraId="26073498">
      <w:pPr>
        <w:spacing w:after="120" w:line="283" w:lineRule="auto"/>
      </w:pPr>
      <w:r>
        <w:rPr>
          <w:rFonts w:ascii="微软雅黑" w:hAnsi="微软雅黑" w:eastAsia="微软雅黑"/>
          <w:sz w:val="25"/>
        </w:rPr>
        <w:t>证据：residual-only、z-score、静态相关图等基线，以及 no source gate、no source-propagation、no specificity 等消融。</w:t>
      </w:r>
    </w:p>
    <w:p w14:paraId="1A0F5914">
      <w:pPr>
        <w:pStyle w:val="5"/>
        <w:spacing w:before="160" w:after="120"/>
      </w:pPr>
      <w:r>
        <w:rPr>
          <w:rFonts w:ascii="微软雅黑" w:hAnsi="微软雅黑" w:eastAsia="微软雅黑"/>
          <w:b/>
          <w:color w:val="334155"/>
          <w:sz w:val="27"/>
        </w:rPr>
        <w:t>机制感知图证据</w:t>
      </w:r>
    </w:p>
    <w:p w14:paraId="4E1A083C">
      <w:pPr>
        <w:spacing w:after="120" w:line="283" w:lineRule="auto"/>
      </w:pPr>
      <w:r>
        <w:rPr>
          <w:rFonts w:ascii="微软雅黑" w:hAnsi="微软雅黑" w:eastAsia="微软雅黑"/>
          <w:sz w:val="25"/>
        </w:rPr>
        <w:br w:type="textWrapping"/>
      </w:r>
      <w:r>
        <w:rPr>
          <w:rFonts w:ascii="微软雅黑" w:hAnsi="微软雅黑" w:eastAsia="微软雅黑"/>
          <w:sz w:val="25"/>
        </w:rPr>
        <w:t xml:space="preserve">          通道图不只是 message passing，而被赋予“用邻居解释目标变量”的机制任务。</w:t>
      </w:r>
      <w:r>
        <w:rPr>
          <w:rFonts w:ascii="微软雅黑" w:hAnsi="微软雅黑" w:eastAsia="微软雅黑"/>
          <w:sz w:val="25"/>
        </w:rPr>
        <w:br w:type="textWrapping"/>
      </w:r>
      <w:r>
        <w:rPr>
          <w:rFonts w:ascii="微软雅黑" w:hAnsi="微软雅黑" w:eastAsia="微软雅黑"/>
          <w:sz w:val="25"/>
        </w:rPr>
        <w:t xml:space="preserve">          早期 mechanism-prior-graph 进一步用弱正常相关先验提升 learned-edge faithfulness。</w:t>
      </w:r>
      <w:r>
        <w:rPr>
          <w:rFonts w:ascii="微软雅黑" w:hAnsi="微软雅黑" w:eastAsia="微软雅黑"/>
          <w:sz w:val="25"/>
        </w:rPr>
        <w:br w:type="textWrapping"/>
      </w:r>
      <w:r>
        <w:rPr>
          <w:rFonts w:ascii="微软雅黑" w:hAnsi="微软雅黑" w:eastAsia="微软雅黑"/>
          <w:sz w:val="25"/>
        </w:rPr>
        <w:t xml:space="preserve">        </w:t>
      </w:r>
    </w:p>
    <w:p w14:paraId="177E2446">
      <w:pPr>
        <w:spacing w:after="120" w:line="283" w:lineRule="auto"/>
      </w:pPr>
      <w:r>
        <w:rPr>
          <w:rFonts w:ascii="微软雅黑" w:hAnsi="微软雅黑" w:eastAsia="微软雅黑"/>
          <w:sz w:val="25"/>
        </w:rPr>
        <w:t>证据：mechanism-only 高于 random、图边 faithfulness smoke check。</w:t>
      </w:r>
    </w:p>
    <w:p w14:paraId="1529F9C5">
      <w:pPr>
        <w:pStyle w:val="4"/>
        <w:spacing w:before="160" w:after="120"/>
      </w:pPr>
      <w:r>
        <w:rPr>
          <w:rFonts w:ascii="微软雅黑" w:hAnsi="微软雅黑" w:eastAsia="微软雅黑"/>
          <w:b/>
          <w:color w:val="2E5E8D"/>
          <w:sz w:val="32"/>
        </w:rPr>
        <w:t>写法</w:t>
      </w:r>
    </w:p>
    <w:p w14:paraId="7F3056BB">
      <w:pPr>
        <w:pStyle w:val="14"/>
        <w:spacing w:after="60" w:line="276" w:lineRule="auto"/>
      </w:pPr>
      <w:r>
        <w:rPr>
          <w:rFonts w:ascii="微软雅黑" w:hAnsi="微软雅黑" w:eastAsia="微软雅黑"/>
          <w:sz w:val="24"/>
        </w:rPr>
        <w:t>本文研究工业异常传播条件下的预测事件内变量级根因排序问题。 其核心挑战是观测到的异常强度同时包含故障源信号和传播响应信号，单一异常分数难以稳定指示根因变量。</w:t>
      </w:r>
    </w:p>
    <w:p w14:paraId="1E9091D9">
      <w:pPr>
        <w:pStyle w:val="14"/>
        <w:spacing w:after="60" w:line="276" w:lineRule="auto"/>
      </w:pPr>
      <w:r>
        <w:rPr>
          <w:rFonts w:ascii="微软雅黑" w:hAnsi="微软雅黑" w:eastAsia="微软雅黑"/>
          <w:sz w:val="24"/>
        </w:rPr>
        <w:t>本文提出一种图结构约束的多证据可学习变量排序方法。 方法联合异常强度、异常起始时间、局部机制变化、传播关系和事件内变量特异性，并用可学习参数校准不同诊断证据的可靠性。</w:t>
      </w:r>
    </w:p>
    <w:p w14:paraId="6B165B87">
      <w:pPr>
        <w:pStyle w:val="14"/>
        <w:spacing w:after="60" w:line="276" w:lineRule="auto"/>
      </w:pPr>
      <w:r>
        <w:rPr>
          <w:rFonts w:ascii="微软雅黑" w:hAnsi="微软雅黑" w:eastAsia="微软雅黑"/>
          <w:sz w:val="24"/>
        </w:rPr>
        <w:t>本文在 WADI 和 SWaT 的模型预测事件窗口内评估变量级 RCA。 实验用 Hit@K、MRR 和消融结果验证该排序方法是否能把故障相关变量排到更靠前的位置，同时透明报告检测指标与失败消融。</w:t>
      </w:r>
    </w:p>
    <w:p w14:paraId="774EEB6F"/>
    <w:p w14:paraId="5BCEF7A0">
      <w:pPr>
        <w:pStyle w:val="16"/>
        <w:spacing w:after="60" w:line="276" w:lineRule="auto"/>
      </w:pPr>
    </w:p>
    <w:p w14:paraId="48A1E012">
      <w:pPr>
        <w:pStyle w:val="3"/>
        <w:spacing w:before="240" w:after="120"/>
      </w:pPr>
      <w:r>
        <w:rPr>
          <w:rFonts w:ascii="微软雅黑" w:hAnsi="微软雅黑" w:eastAsia="微软雅黑"/>
          <w:b/>
          <w:color w:val="1F4D78"/>
          <w:sz w:val="40"/>
        </w:rPr>
        <w:t>7. 当前实验结果</w:t>
      </w:r>
    </w:p>
    <w:p w14:paraId="140477B7">
      <w:pPr>
        <w:pStyle w:val="4"/>
        <w:spacing w:before="160" w:after="120"/>
      </w:pPr>
      <w:r>
        <w:rPr>
          <w:rFonts w:ascii="微软雅黑" w:hAnsi="微软雅黑" w:eastAsia="微软雅黑"/>
          <w:b/>
          <w:color w:val="2E5E8D"/>
          <w:sz w:val="32"/>
        </w:rPr>
        <w:t>7.1 检测结果：只能作为事件触发质量</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1889"/>
        <w:gridCol w:w="1865"/>
        <w:gridCol w:w="1865"/>
        <w:gridCol w:w="1880"/>
      </w:tblGrid>
      <w:tr w14:paraId="730C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shd w:val="clear" w:color="auto" w:fill="F2F4F7"/>
            <w:tcMar>
              <w:top w:w="90" w:type="dxa"/>
              <w:left w:w="120" w:type="dxa"/>
              <w:bottom w:w="90" w:type="dxa"/>
              <w:right w:w="120" w:type="dxa"/>
            </w:tcMar>
            <w:vAlign w:val="center"/>
          </w:tcPr>
          <w:p w14:paraId="3334DFED">
            <w:pPr>
              <w:spacing w:after="0"/>
              <w:jc w:val="left"/>
            </w:pPr>
            <w:r>
              <w:rPr>
                <w:rFonts w:ascii="微软雅黑" w:hAnsi="微软雅黑" w:eastAsia="微软雅黑"/>
                <w:b/>
                <w:sz w:val="21"/>
              </w:rPr>
              <w:t>数据集</w:t>
            </w:r>
          </w:p>
        </w:tc>
        <w:tc>
          <w:tcPr>
            <w:tcW w:w="1915" w:type="dxa"/>
            <w:shd w:val="clear" w:color="auto" w:fill="F2F4F7"/>
            <w:tcMar>
              <w:top w:w="90" w:type="dxa"/>
              <w:left w:w="120" w:type="dxa"/>
              <w:bottom w:w="90" w:type="dxa"/>
              <w:right w:w="120" w:type="dxa"/>
            </w:tcMar>
            <w:vAlign w:val="center"/>
          </w:tcPr>
          <w:p w14:paraId="22A96AA4">
            <w:pPr>
              <w:spacing w:after="0"/>
              <w:jc w:val="left"/>
            </w:pPr>
            <w:r>
              <w:rPr>
                <w:rFonts w:ascii="微软雅黑" w:hAnsi="微软雅黑" w:eastAsia="微软雅黑"/>
                <w:b/>
                <w:sz w:val="21"/>
              </w:rPr>
              <w:t>主线设置</w:t>
            </w:r>
          </w:p>
        </w:tc>
        <w:tc>
          <w:tcPr>
            <w:tcW w:w="1915" w:type="dxa"/>
            <w:shd w:val="clear" w:color="auto" w:fill="F2F4F7"/>
            <w:tcMar>
              <w:top w:w="90" w:type="dxa"/>
              <w:left w:w="120" w:type="dxa"/>
              <w:bottom w:w="90" w:type="dxa"/>
              <w:right w:w="120" w:type="dxa"/>
            </w:tcMar>
            <w:vAlign w:val="center"/>
          </w:tcPr>
          <w:p w14:paraId="57275E6F">
            <w:pPr>
              <w:spacing w:after="0"/>
              <w:jc w:val="left"/>
            </w:pPr>
            <w:r>
              <w:rPr>
                <w:rFonts w:ascii="微软雅黑" w:hAnsi="微软雅黑" w:eastAsia="微软雅黑"/>
                <w:b/>
                <w:sz w:val="21"/>
              </w:rPr>
              <w:t>Best Aff-F1</w:t>
            </w:r>
          </w:p>
        </w:tc>
        <w:tc>
          <w:tcPr>
            <w:tcW w:w="1915" w:type="dxa"/>
            <w:shd w:val="clear" w:color="auto" w:fill="F2F4F7"/>
            <w:tcMar>
              <w:top w:w="90" w:type="dxa"/>
              <w:left w:w="120" w:type="dxa"/>
              <w:bottom w:w="90" w:type="dxa"/>
              <w:right w:w="120" w:type="dxa"/>
            </w:tcMar>
            <w:vAlign w:val="center"/>
          </w:tcPr>
          <w:p w14:paraId="7FFAF54B">
            <w:pPr>
              <w:spacing w:after="0"/>
              <w:jc w:val="left"/>
            </w:pPr>
            <w:r>
              <w:rPr>
                <w:rFonts w:ascii="微软雅黑" w:hAnsi="微软雅黑" w:eastAsia="微软雅黑"/>
                <w:b/>
                <w:sz w:val="21"/>
              </w:rPr>
              <w:t>Raw F1</w:t>
            </w:r>
          </w:p>
        </w:tc>
        <w:tc>
          <w:tcPr>
            <w:tcW w:w="1915" w:type="dxa"/>
            <w:shd w:val="clear" w:color="auto" w:fill="F2F4F7"/>
            <w:tcMar>
              <w:top w:w="90" w:type="dxa"/>
              <w:left w:w="120" w:type="dxa"/>
              <w:bottom w:w="90" w:type="dxa"/>
              <w:right w:w="120" w:type="dxa"/>
            </w:tcMar>
            <w:vAlign w:val="center"/>
          </w:tcPr>
          <w:p w14:paraId="2F478D89">
            <w:pPr>
              <w:spacing w:after="0"/>
              <w:jc w:val="left"/>
            </w:pPr>
            <w:r>
              <w:rPr>
                <w:rFonts w:ascii="微软雅黑" w:hAnsi="微软雅黑" w:eastAsia="微软雅黑"/>
                <w:b/>
                <w:sz w:val="21"/>
              </w:rPr>
              <w:t>解读</w:t>
            </w:r>
          </w:p>
        </w:tc>
      </w:tr>
      <w:tr w14:paraId="2B9B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Mar>
              <w:top w:w="90" w:type="dxa"/>
              <w:left w:w="120" w:type="dxa"/>
              <w:bottom w:w="90" w:type="dxa"/>
              <w:right w:w="120" w:type="dxa"/>
            </w:tcMar>
            <w:vAlign w:val="center"/>
          </w:tcPr>
          <w:p w14:paraId="66CD16C6">
            <w:pPr>
              <w:spacing w:after="0"/>
              <w:jc w:val="left"/>
            </w:pPr>
            <w:r>
              <w:rPr>
                <w:rFonts w:ascii="微软雅黑" w:hAnsi="微软雅黑" w:eastAsia="微软雅黑"/>
                <w:b w:val="0"/>
                <w:sz w:val="21"/>
              </w:rPr>
              <w:t>WADI</w:t>
            </w:r>
          </w:p>
        </w:tc>
        <w:tc>
          <w:tcPr>
            <w:tcW w:w="1915" w:type="dxa"/>
            <w:tcMar>
              <w:top w:w="90" w:type="dxa"/>
              <w:left w:w="120" w:type="dxa"/>
              <w:bottom w:w="90" w:type="dxa"/>
              <w:right w:w="120" w:type="dxa"/>
            </w:tcMar>
            <w:vAlign w:val="center"/>
          </w:tcPr>
          <w:p w14:paraId="727CA34D">
            <w:pPr>
              <w:spacing w:after="0"/>
              <w:jc w:val="left"/>
            </w:pPr>
            <w:r>
              <w:rPr>
                <w:rFonts w:ascii="微软雅黑" w:hAnsi="微软雅黑" w:eastAsia="微软雅黑"/>
                <w:b w:val="0"/>
                <w:sz w:val="21"/>
              </w:rPr>
              <w:t>source-bottleneck-specificity, 8 epoch</w:t>
            </w:r>
          </w:p>
        </w:tc>
        <w:tc>
          <w:tcPr>
            <w:tcW w:w="1915" w:type="dxa"/>
            <w:tcMar>
              <w:top w:w="90" w:type="dxa"/>
              <w:left w:w="120" w:type="dxa"/>
              <w:bottom w:w="90" w:type="dxa"/>
              <w:right w:w="120" w:type="dxa"/>
            </w:tcMar>
            <w:vAlign w:val="center"/>
          </w:tcPr>
          <w:p w14:paraId="0947CD97">
            <w:pPr>
              <w:spacing w:after="0"/>
              <w:jc w:val="left"/>
            </w:pPr>
            <w:r>
              <w:rPr>
                <w:rFonts w:ascii="微软雅黑" w:hAnsi="微软雅黑" w:eastAsia="微软雅黑"/>
                <w:b w:val="0"/>
                <w:sz w:val="21"/>
              </w:rPr>
              <w:t>0.7569</w:t>
            </w:r>
          </w:p>
        </w:tc>
        <w:tc>
          <w:tcPr>
            <w:tcW w:w="1915" w:type="dxa"/>
            <w:tcMar>
              <w:top w:w="90" w:type="dxa"/>
              <w:left w:w="120" w:type="dxa"/>
              <w:bottom w:w="90" w:type="dxa"/>
              <w:right w:w="120" w:type="dxa"/>
            </w:tcMar>
            <w:vAlign w:val="center"/>
          </w:tcPr>
          <w:p w14:paraId="57AC968C">
            <w:pPr>
              <w:spacing w:after="0"/>
              <w:jc w:val="left"/>
            </w:pPr>
            <w:r>
              <w:rPr>
                <w:rFonts w:ascii="微软雅黑" w:hAnsi="微软雅黑" w:eastAsia="微软雅黑"/>
                <w:b w:val="0"/>
                <w:sz w:val="21"/>
              </w:rPr>
              <w:t>0.0975</w:t>
            </w:r>
          </w:p>
        </w:tc>
        <w:tc>
          <w:tcPr>
            <w:tcW w:w="1915" w:type="dxa"/>
            <w:tcMar>
              <w:top w:w="90" w:type="dxa"/>
              <w:left w:w="120" w:type="dxa"/>
              <w:bottom w:w="90" w:type="dxa"/>
              <w:right w:w="120" w:type="dxa"/>
            </w:tcMar>
            <w:vAlign w:val="center"/>
          </w:tcPr>
          <w:p w14:paraId="635BC0E3">
            <w:pPr>
              <w:spacing w:after="0"/>
              <w:jc w:val="left"/>
            </w:pPr>
            <w:r>
              <w:rPr>
                <w:rFonts w:ascii="微软雅黑" w:hAnsi="微软雅黑" w:eastAsia="微软雅黑"/>
                <w:b w:val="0"/>
                <w:sz w:val="21"/>
              </w:rPr>
              <w:t>事件级触发尚可，点级 raw F1 弱。</w:t>
            </w:r>
          </w:p>
        </w:tc>
      </w:tr>
      <w:tr w14:paraId="6232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Mar>
              <w:top w:w="90" w:type="dxa"/>
              <w:left w:w="120" w:type="dxa"/>
              <w:bottom w:w="90" w:type="dxa"/>
              <w:right w:w="120" w:type="dxa"/>
            </w:tcMar>
            <w:vAlign w:val="center"/>
          </w:tcPr>
          <w:p w14:paraId="4FE5E95F">
            <w:pPr>
              <w:spacing w:after="0"/>
              <w:jc w:val="left"/>
            </w:pPr>
            <w:r>
              <w:rPr>
                <w:rFonts w:ascii="微软雅黑" w:hAnsi="微软雅黑" w:eastAsia="微软雅黑"/>
                <w:b w:val="0"/>
                <w:sz w:val="21"/>
              </w:rPr>
              <w:t>WADI</w:t>
            </w:r>
          </w:p>
        </w:tc>
        <w:tc>
          <w:tcPr>
            <w:tcW w:w="1915" w:type="dxa"/>
            <w:tcMar>
              <w:top w:w="90" w:type="dxa"/>
              <w:left w:w="120" w:type="dxa"/>
              <w:bottom w:w="90" w:type="dxa"/>
              <w:right w:w="120" w:type="dxa"/>
            </w:tcMar>
            <w:vAlign w:val="center"/>
          </w:tcPr>
          <w:p w14:paraId="2BFD3FFE">
            <w:pPr>
              <w:spacing w:after="0"/>
              <w:jc w:val="left"/>
            </w:pPr>
            <w:r>
              <w:rPr>
                <w:rFonts w:ascii="微软雅黑" w:hAnsi="微软雅黑" w:eastAsia="微软雅黑"/>
                <w:b w:val="0"/>
                <w:sz w:val="21"/>
              </w:rPr>
              <w:t>source-bottleneck-specificity, 15 epoch</w:t>
            </w:r>
          </w:p>
        </w:tc>
        <w:tc>
          <w:tcPr>
            <w:tcW w:w="1915" w:type="dxa"/>
            <w:tcMar>
              <w:top w:w="90" w:type="dxa"/>
              <w:left w:w="120" w:type="dxa"/>
              <w:bottom w:w="90" w:type="dxa"/>
              <w:right w:w="120" w:type="dxa"/>
            </w:tcMar>
            <w:vAlign w:val="center"/>
          </w:tcPr>
          <w:p w14:paraId="7C88568D">
            <w:pPr>
              <w:spacing w:after="0"/>
              <w:jc w:val="left"/>
            </w:pPr>
            <w:r>
              <w:rPr>
                <w:rFonts w:ascii="微软雅黑" w:hAnsi="微软雅黑" w:eastAsia="微软雅黑"/>
                <w:b w:val="0"/>
                <w:sz w:val="21"/>
              </w:rPr>
              <w:t>0.7697</w:t>
            </w:r>
          </w:p>
        </w:tc>
        <w:tc>
          <w:tcPr>
            <w:tcW w:w="1915" w:type="dxa"/>
            <w:tcMar>
              <w:top w:w="90" w:type="dxa"/>
              <w:left w:w="120" w:type="dxa"/>
              <w:bottom w:w="90" w:type="dxa"/>
              <w:right w:w="120" w:type="dxa"/>
            </w:tcMar>
            <w:vAlign w:val="center"/>
          </w:tcPr>
          <w:p w14:paraId="65FE9FDB">
            <w:pPr>
              <w:spacing w:after="0"/>
              <w:jc w:val="left"/>
            </w:pPr>
            <w:r>
              <w:rPr>
                <w:rFonts w:ascii="微软雅黑" w:hAnsi="微软雅黑" w:eastAsia="微软雅黑"/>
                <w:b w:val="0"/>
                <w:sz w:val="21"/>
              </w:rPr>
              <w:t>0.1063</w:t>
            </w:r>
          </w:p>
        </w:tc>
        <w:tc>
          <w:tcPr>
            <w:tcW w:w="1915" w:type="dxa"/>
            <w:tcMar>
              <w:top w:w="90" w:type="dxa"/>
              <w:left w:w="120" w:type="dxa"/>
              <w:bottom w:w="90" w:type="dxa"/>
              <w:right w:w="120" w:type="dxa"/>
            </w:tcMar>
            <w:vAlign w:val="center"/>
          </w:tcPr>
          <w:p w14:paraId="1089F1F1">
            <w:pPr>
              <w:spacing w:after="0"/>
              <w:jc w:val="left"/>
            </w:pPr>
            <w:r>
              <w:rPr>
                <w:rFonts w:ascii="微软雅黑" w:hAnsi="微软雅黑" w:eastAsia="微软雅黑"/>
                <w:b w:val="0"/>
                <w:sz w:val="21"/>
              </w:rPr>
              <w:t>检测略好，变量 RCA 也较强。</w:t>
            </w:r>
          </w:p>
        </w:tc>
      </w:tr>
      <w:tr w14:paraId="4868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Mar>
              <w:top w:w="90" w:type="dxa"/>
              <w:left w:w="120" w:type="dxa"/>
              <w:bottom w:w="90" w:type="dxa"/>
              <w:right w:w="120" w:type="dxa"/>
            </w:tcMar>
            <w:vAlign w:val="center"/>
          </w:tcPr>
          <w:p w14:paraId="41AF5438">
            <w:pPr>
              <w:spacing w:after="0"/>
              <w:jc w:val="left"/>
            </w:pPr>
            <w:r>
              <w:rPr>
                <w:rFonts w:ascii="微软雅黑" w:hAnsi="微软雅黑" w:eastAsia="微软雅黑"/>
                <w:b w:val="0"/>
                <w:sz w:val="21"/>
              </w:rPr>
              <w:t>SWaT</w:t>
            </w:r>
          </w:p>
        </w:tc>
        <w:tc>
          <w:tcPr>
            <w:tcW w:w="1915" w:type="dxa"/>
            <w:tcMar>
              <w:top w:w="90" w:type="dxa"/>
              <w:left w:w="120" w:type="dxa"/>
              <w:bottom w:w="90" w:type="dxa"/>
              <w:right w:w="120" w:type="dxa"/>
            </w:tcMar>
            <w:vAlign w:val="center"/>
          </w:tcPr>
          <w:p w14:paraId="25CDAE68">
            <w:pPr>
              <w:spacing w:after="0"/>
              <w:jc w:val="left"/>
            </w:pPr>
            <w:r>
              <w:rPr>
                <w:rFonts w:ascii="微软雅黑" w:hAnsi="微软雅黑" w:eastAsia="微软雅黑"/>
                <w:b w:val="0"/>
                <w:sz w:val="21"/>
              </w:rPr>
              <w:t>source-bottleneck-specificity, 8 epoch</w:t>
            </w:r>
          </w:p>
        </w:tc>
        <w:tc>
          <w:tcPr>
            <w:tcW w:w="1915" w:type="dxa"/>
            <w:tcMar>
              <w:top w:w="90" w:type="dxa"/>
              <w:left w:w="120" w:type="dxa"/>
              <w:bottom w:w="90" w:type="dxa"/>
              <w:right w:w="120" w:type="dxa"/>
            </w:tcMar>
            <w:vAlign w:val="center"/>
          </w:tcPr>
          <w:p w14:paraId="197382E8">
            <w:pPr>
              <w:spacing w:after="0"/>
              <w:jc w:val="left"/>
            </w:pPr>
            <w:r>
              <w:rPr>
                <w:rFonts w:ascii="微软雅黑" w:hAnsi="微软雅黑" w:eastAsia="微软雅黑"/>
                <w:b w:val="0"/>
                <w:sz w:val="21"/>
              </w:rPr>
              <w:t>0.7865</w:t>
            </w:r>
          </w:p>
        </w:tc>
        <w:tc>
          <w:tcPr>
            <w:tcW w:w="1915" w:type="dxa"/>
            <w:tcMar>
              <w:top w:w="90" w:type="dxa"/>
              <w:left w:w="120" w:type="dxa"/>
              <w:bottom w:w="90" w:type="dxa"/>
              <w:right w:w="120" w:type="dxa"/>
            </w:tcMar>
            <w:vAlign w:val="center"/>
          </w:tcPr>
          <w:p w14:paraId="06B9B65C">
            <w:pPr>
              <w:spacing w:after="0"/>
              <w:jc w:val="left"/>
            </w:pPr>
            <w:r>
              <w:rPr>
                <w:rFonts w:ascii="微软雅黑" w:hAnsi="微软雅黑" w:eastAsia="微软雅黑"/>
                <w:b w:val="0"/>
                <w:sz w:val="21"/>
              </w:rPr>
              <w:t>0.1821</w:t>
            </w:r>
          </w:p>
        </w:tc>
        <w:tc>
          <w:tcPr>
            <w:tcW w:w="1915" w:type="dxa"/>
            <w:tcMar>
              <w:top w:w="90" w:type="dxa"/>
              <w:left w:w="120" w:type="dxa"/>
              <w:bottom w:w="90" w:type="dxa"/>
              <w:right w:w="120" w:type="dxa"/>
            </w:tcMar>
            <w:vAlign w:val="center"/>
          </w:tcPr>
          <w:p w14:paraId="1C665E3B">
            <w:pPr>
              <w:spacing w:after="0"/>
              <w:jc w:val="left"/>
            </w:pPr>
            <w:r>
              <w:rPr>
                <w:rFonts w:ascii="微软雅黑" w:hAnsi="微软雅黑" w:eastAsia="微软雅黑"/>
                <w:b w:val="0"/>
                <w:sz w:val="21"/>
              </w:rPr>
              <w:t>Affiliation 可用，raw F1 仍不适合宣称 SOTA。</w:t>
            </w:r>
          </w:p>
        </w:tc>
      </w:tr>
      <w:tr w14:paraId="062F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tcMar>
              <w:top w:w="90" w:type="dxa"/>
              <w:left w:w="120" w:type="dxa"/>
              <w:bottom w:w="90" w:type="dxa"/>
              <w:right w:w="120" w:type="dxa"/>
            </w:tcMar>
            <w:vAlign w:val="center"/>
          </w:tcPr>
          <w:p w14:paraId="58E9779A">
            <w:pPr>
              <w:spacing w:after="0"/>
              <w:jc w:val="left"/>
            </w:pPr>
            <w:r>
              <w:rPr>
                <w:rFonts w:ascii="微软雅黑" w:hAnsi="微软雅黑" w:eastAsia="微软雅黑"/>
                <w:b w:val="0"/>
                <w:sz w:val="21"/>
              </w:rPr>
              <w:t>SWaT</w:t>
            </w:r>
          </w:p>
        </w:tc>
        <w:tc>
          <w:tcPr>
            <w:tcW w:w="1915" w:type="dxa"/>
            <w:tcMar>
              <w:top w:w="90" w:type="dxa"/>
              <w:left w:w="120" w:type="dxa"/>
              <w:bottom w:w="90" w:type="dxa"/>
              <w:right w:w="120" w:type="dxa"/>
            </w:tcMar>
            <w:vAlign w:val="center"/>
          </w:tcPr>
          <w:p w14:paraId="0B863193">
            <w:pPr>
              <w:spacing w:after="0"/>
              <w:jc w:val="left"/>
            </w:pPr>
            <w:r>
              <w:rPr>
                <w:rFonts w:ascii="微软雅黑" w:hAnsi="微软雅黑" w:eastAsia="微软雅黑"/>
                <w:b w:val="0"/>
                <w:sz w:val="21"/>
              </w:rPr>
              <w:t>source-bottleneck-specificity, 15 epoch</w:t>
            </w:r>
          </w:p>
        </w:tc>
        <w:tc>
          <w:tcPr>
            <w:tcW w:w="1915" w:type="dxa"/>
            <w:tcMar>
              <w:top w:w="90" w:type="dxa"/>
              <w:left w:w="120" w:type="dxa"/>
              <w:bottom w:w="90" w:type="dxa"/>
              <w:right w:w="120" w:type="dxa"/>
            </w:tcMar>
            <w:vAlign w:val="center"/>
          </w:tcPr>
          <w:p w14:paraId="03284F6D">
            <w:pPr>
              <w:spacing w:after="0"/>
              <w:jc w:val="left"/>
            </w:pPr>
            <w:r>
              <w:rPr>
                <w:rFonts w:ascii="微软雅黑" w:hAnsi="微软雅黑" w:eastAsia="微软雅黑"/>
                <w:b w:val="0"/>
                <w:sz w:val="21"/>
              </w:rPr>
              <w:t>0.7554</w:t>
            </w:r>
          </w:p>
        </w:tc>
        <w:tc>
          <w:tcPr>
            <w:tcW w:w="1915" w:type="dxa"/>
            <w:tcMar>
              <w:top w:w="90" w:type="dxa"/>
              <w:left w:w="120" w:type="dxa"/>
              <w:bottom w:w="90" w:type="dxa"/>
              <w:right w:w="120" w:type="dxa"/>
            </w:tcMar>
            <w:vAlign w:val="center"/>
          </w:tcPr>
          <w:p w14:paraId="1001AC6F">
            <w:pPr>
              <w:spacing w:after="0"/>
              <w:jc w:val="left"/>
            </w:pPr>
            <w:r>
              <w:rPr>
                <w:rFonts w:ascii="微软雅黑" w:hAnsi="微软雅黑" w:eastAsia="微软雅黑"/>
                <w:b w:val="0"/>
                <w:sz w:val="21"/>
              </w:rPr>
              <w:t>0.2411</w:t>
            </w:r>
          </w:p>
        </w:tc>
        <w:tc>
          <w:tcPr>
            <w:tcW w:w="1915" w:type="dxa"/>
            <w:tcMar>
              <w:top w:w="90" w:type="dxa"/>
              <w:left w:w="120" w:type="dxa"/>
              <w:bottom w:w="90" w:type="dxa"/>
              <w:right w:w="120" w:type="dxa"/>
            </w:tcMar>
            <w:vAlign w:val="center"/>
          </w:tcPr>
          <w:p w14:paraId="37135586">
            <w:pPr>
              <w:spacing w:after="0"/>
              <w:jc w:val="left"/>
            </w:pPr>
            <w:r>
              <w:rPr>
                <w:rFonts w:ascii="微软雅黑" w:hAnsi="微软雅黑" w:eastAsia="微软雅黑"/>
                <w:b w:val="0"/>
                <w:sz w:val="21"/>
              </w:rPr>
              <w:t>raw F1 上升但 RCA 下降，说明训练更久不一定更利于源变量排序。</w:t>
            </w:r>
          </w:p>
        </w:tc>
      </w:tr>
    </w:tbl>
    <w:p w14:paraId="717CD121"/>
    <w:p w14:paraId="5E36F019">
      <w:pPr>
        <w:pBdr>
          <w:left w:val="single" w:color="2E74B5" w:sz="12" w:space="8"/>
        </w:pBdr>
        <w:spacing w:before="100" w:after="160"/>
        <w:ind w:left="216" w:right="72"/>
      </w:pPr>
      <w:r>
        <w:rPr>
          <w:rFonts w:ascii="微软雅黑" w:hAnsi="微软雅黑" w:eastAsia="微软雅黑"/>
          <w:b w:val="0"/>
          <w:color w:val="111827"/>
          <w:sz w:val="24"/>
        </w:rPr>
        <w:br w:type="textWrapping"/>
      </w:r>
      <w:r>
        <w:rPr>
          <w:rFonts w:ascii="微软雅黑" w:hAnsi="微软雅黑" w:eastAsia="微软雅黑"/>
          <w:b w:val="0"/>
          <w:color w:val="111827"/>
          <w:sz w:val="24"/>
        </w:rPr>
        <w:t xml:space="preserve">      风险点：正式论文不能隐藏 raw F1。应把 raw F1、adjusted F1、Affiliation F1、AUROC/AUPRC 一起报告；</w:t>
      </w:r>
      <w:r>
        <w:rPr>
          <w:rFonts w:ascii="微软雅黑" w:hAnsi="微软雅黑" w:eastAsia="微软雅黑"/>
          <w:b w:val="0"/>
          <w:color w:val="111827"/>
          <w:sz w:val="24"/>
        </w:rPr>
        <w:br w:type="textWrapping"/>
      </w:r>
      <w:r>
        <w:rPr>
          <w:rFonts w:ascii="微软雅黑" w:hAnsi="微软雅黑" w:eastAsia="微软雅黑"/>
          <w:b w:val="0"/>
          <w:color w:val="111827"/>
          <w:sz w:val="24"/>
        </w:rPr>
        <w:t xml:space="preserve">      论文主张应是 “检测提供诊断入口”，不是 “检测性能全面领先”。</w:t>
      </w:r>
      <w:r>
        <w:rPr>
          <w:rFonts w:ascii="微软雅黑" w:hAnsi="微软雅黑" w:eastAsia="微软雅黑"/>
          <w:b w:val="0"/>
          <w:color w:val="111827"/>
          <w:sz w:val="24"/>
        </w:rPr>
        <w:br w:type="textWrapping"/>
      </w:r>
      <w:r>
        <w:rPr>
          <w:rFonts w:ascii="微软雅黑" w:hAnsi="微软雅黑" w:eastAsia="微软雅黑"/>
          <w:b w:val="0"/>
          <w:color w:val="111827"/>
          <w:sz w:val="24"/>
        </w:rPr>
        <w:t xml:space="preserve">    </w:t>
      </w:r>
    </w:p>
    <w:p w14:paraId="15065A5D">
      <w:pPr>
        <w:pStyle w:val="4"/>
        <w:spacing w:before="160" w:after="120"/>
      </w:pPr>
      <w:r>
        <w:rPr>
          <w:rFonts w:ascii="微软雅黑" w:hAnsi="微软雅黑" w:eastAsia="微软雅黑"/>
          <w:b/>
          <w:color w:val="2E5E8D"/>
          <w:sz w:val="32"/>
        </w:rPr>
        <w:t>7.2 变量级 RCA：当前主结果</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233"/>
        <w:gridCol w:w="1120"/>
        <w:gridCol w:w="1011"/>
        <w:gridCol w:w="1011"/>
        <w:gridCol w:w="1011"/>
        <w:gridCol w:w="1012"/>
        <w:gridCol w:w="1985"/>
      </w:tblGrid>
      <w:tr w14:paraId="3D94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shd w:val="clear" w:color="auto" w:fill="F2F4F7"/>
            <w:tcMar>
              <w:top w:w="90" w:type="dxa"/>
              <w:left w:w="120" w:type="dxa"/>
              <w:bottom w:w="90" w:type="dxa"/>
              <w:right w:w="120" w:type="dxa"/>
            </w:tcMar>
            <w:vAlign w:val="center"/>
          </w:tcPr>
          <w:p w14:paraId="7EE941D8">
            <w:pPr>
              <w:spacing w:after="0"/>
              <w:jc w:val="left"/>
            </w:pPr>
            <w:r>
              <w:rPr>
                <w:rFonts w:ascii="微软雅黑" w:hAnsi="微软雅黑" w:eastAsia="微软雅黑"/>
                <w:b/>
                <w:sz w:val="18"/>
              </w:rPr>
              <w:t>数据集</w:t>
            </w:r>
          </w:p>
        </w:tc>
        <w:tc>
          <w:tcPr>
            <w:tcW w:w="1197" w:type="dxa"/>
            <w:shd w:val="clear" w:color="auto" w:fill="F2F4F7"/>
            <w:tcMar>
              <w:top w:w="90" w:type="dxa"/>
              <w:left w:w="120" w:type="dxa"/>
              <w:bottom w:w="90" w:type="dxa"/>
              <w:right w:w="120" w:type="dxa"/>
            </w:tcMar>
            <w:vAlign w:val="center"/>
          </w:tcPr>
          <w:p w14:paraId="497A96C8">
            <w:pPr>
              <w:spacing w:after="0"/>
              <w:jc w:val="left"/>
            </w:pPr>
            <w:r>
              <w:rPr>
                <w:rFonts w:ascii="微软雅黑" w:hAnsi="微软雅黑" w:eastAsia="微软雅黑"/>
                <w:b/>
                <w:sz w:val="18"/>
              </w:rPr>
              <w:t>方法</w:t>
            </w:r>
          </w:p>
        </w:tc>
        <w:tc>
          <w:tcPr>
            <w:tcW w:w="1197" w:type="dxa"/>
            <w:shd w:val="clear" w:color="auto" w:fill="F2F4F7"/>
            <w:tcMar>
              <w:top w:w="90" w:type="dxa"/>
              <w:left w:w="120" w:type="dxa"/>
              <w:bottom w:w="90" w:type="dxa"/>
              <w:right w:w="120" w:type="dxa"/>
            </w:tcMar>
            <w:vAlign w:val="center"/>
          </w:tcPr>
          <w:p w14:paraId="0C15C8B2">
            <w:pPr>
              <w:spacing w:after="0"/>
              <w:jc w:val="left"/>
            </w:pPr>
            <w:r>
              <w:rPr>
                <w:rFonts w:ascii="微软雅黑" w:hAnsi="微软雅黑" w:eastAsia="微软雅黑"/>
                <w:b/>
                <w:sz w:val="18"/>
              </w:rPr>
              <w:t>Matched</w:t>
            </w:r>
          </w:p>
        </w:tc>
        <w:tc>
          <w:tcPr>
            <w:tcW w:w="1197" w:type="dxa"/>
            <w:shd w:val="clear" w:color="auto" w:fill="F2F4F7"/>
            <w:tcMar>
              <w:top w:w="90" w:type="dxa"/>
              <w:left w:w="120" w:type="dxa"/>
              <w:bottom w:w="90" w:type="dxa"/>
              <w:right w:w="120" w:type="dxa"/>
            </w:tcMar>
            <w:vAlign w:val="center"/>
          </w:tcPr>
          <w:p w14:paraId="3E09734F">
            <w:pPr>
              <w:spacing w:after="0"/>
              <w:jc w:val="left"/>
            </w:pPr>
            <w:r>
              <w:rPr>
                <w:rFonts w:ascii="微软雅黑" w:hAnsi="微软雅黑" w:eastAsia="微软雅黑"/>
                <w:b/>
                <w:sz w:val="18"/>
              </w:rPr>
              <w:t>MRR</w:t>
            </w:r>
          </w:p>
        </w:tc>
        <w:tc>
          <w:tcPr>
            <w:tcW w:w="1197" w:type="dxa"/>
            <w:shd w:val="clear" w:color="auto" w:fill="F2F4F7"/>
            <w:tcMar>
              <w:top w:w="90" w:type="dxa"/>
              <w:left w:w="120" w:type="dxa"/>
              <w:bottom w:w="90" w:type="dxa"/>
              <w:right w:w="120" w:type="dxa"/>
            </w:tcMar>
            <w:vAlign w:val="center"/>
          </w:tcPr>
          <w:p w14:paraId="3494D936">
            <w:pPr>
              <w:spacing w:after="0"/>
              <w:jc w:val="left"/>
            </w:pPr>
            <w:r>
              <w:rPr>
                <w:rFonts w:ascii="微软雅黑" w:hAnsi="微软雅黑" w:eastAsia="微软雅黑"/>
                <w:b/>
                <w:sz w:val="18"/>
              </w:rPr>
              <w:t>Hit@1</w:t>
            </w:r>
          </w:p>
        </w:tc>
        <w:tc>
          <w:tcPr>
            <w:tcW w:w="1197" w:type="dxa"/>
            <w:shd w:val="clear" w:color="auto" w:fill="F2F4F7"/>
            <w:tcMar>
              <w:top w:w="90" w:type="dxa"/>
              <w:left w:w="120" w:type="dxa"/>
              <w:bottom w:w="90" w:type="dxa"/>
              <w:right w:w="120" w:type="dxa"/>
            </w:tcMar>
            <w:vAlign w:val="center"/>
          </w:tcPr>
          <w:p w14:paraId="68DA542F">
            <w:pPr>
              <w:spacing w:after="0"/>
              <w:jc w:val="left"/>
            </w:pPr>
            <w:r>
              <w:rPr>
                <w:rFonts w:ascii="微软雅黑" w:hAnsi="微软雅黑" w:eastAsia="微软雅黑"/>
                <w:b/>
                <w:sz w:val="18"/>
              </w:rPr>
              <w:t>Hit@3</w:t>
            </w:r>
          </w:p>
        </w:tc>
        <w:tc>
          <w:tcPr>
            <w:tcW w:w="1197" w:type="dxa"/>
            <w:shd w:val="clear" w:color="auto" w:fill="F2F4F7"/>
            <w:tcMar>
              <w:top w:w="90" w:type="dxa"/>
              <w:left w:w="120" w:type="dxa"/>
              <w:bottom w:w="90" w:type="dxa"/>
              <w:right w:w="120" w:type="dxa"/>
            </w:tcMar>
            <w:vAlign w:val="center"/>
          </w:tcPr>
          <w:p w14:paraId="45C70241">
            <w:pPr>
              <w:spacing w:after="0"/>
              <w:jc w:val="left"/>
            </w:pPr>
            <w:r>
              <w:rPr>
                <w:rFonts w:ascii="微软雅黑" w:hAnsi="微软雅黑" w:eastAsia="微软雅黑"/>
                <w:b/>
                <w:sz w:val="18"/>
              </w:rPr>
              <w:t>Hit@5</w:t>
            </w:r>
          </w:p>
        </w:tc>
        <w:tc>
          <w:tcPr>
            <w:tcW w:w="1197" w:type="dxa"/>
            <w:shd w:val="clear" w:color="auto" w:fill="F2F4F7"/>
            <w:tcMar>
              <w:top w:w="90" w:type="dxa"/>
              <w:left w:w="120" w:type="dxa"/>
              <w:bottom w:w="90" w:type="dxa"/>
              <w:right w:w="120" w:type="dxa"/>
            </w:tcMar>
            <w:vAlign w:val="center"/>
          </w:tcPr>
          <w:p w14:paraId="594C76B0">
            <w:pPr>
              <w:spacing w:after="0"/>
              <w:jc w:val="left"/>
            </w:pPr>
            <w:r>
              <w:rPr>
                <w:rFonts w:ascii="微软雅黑" w:hAnsi="微软雅黑" w:eastAsia="微软雅黑"/>
                <w:b/>
                <w:sz w:val="18"/>
              </w:rPr>
              <w:t>说明</w:t>
            </w:r>
          </w:p>
        </w:tc>
      </w:tr>
      <w:tr w14:paraId="5DB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tcMar>
              <w:top w:w="90" w:type="dxa"/>
              <w:left w:w="120" w:type="dxa"/>
              <w:bottom w:w="90" w:type="dxa"/>
              <w:right w:w="120" w:type="dxa"/>
            </w:tcMar>
            <w:vAlign w:val="center"/>
          </w:tcPr>
          <w:p w14:paraId="5846848E">
            <w:pPr>
              <w:spacing w:after="0"/>
              <w:jc w:val="left"/>
            </w:pPr>
            <w:r>
              <w:rPr>
                <w:rFonts w:ascii="微软雅黑" w:hAnsi="微软雅黑" w:eastAsia="微软雅黑"/>
                <w:b w:val="0"/>
                <w:sz w:val="18"/>
              </w:rPr>
              <w:t>WADI</w:t>
            </w:r>
          </w:p>
        </w:tc>
        <w:tc>
          <w:tcPr>
            <w:tcW w:w="1197" w:type="dxa"/>
            <w:tcMar>
              <w:top w:w="90" w:type="dxa"/>
              <w:left w:w="120" w:type="dxa"/>
              <w:bottom w:w="90" w:type="dxa"/>
              <w:right w:w="120" w:type="dxa"/>
            </w:tcMar>
            <w:vAlign w:val="center"/>
          </w:tcPr>
          <w:p w14:paraId="4CA6952D">
            <w:pPr>
              <w:spacing w:after="0"/>
              <w:jc w:val="left"/>
            </w:pPr>
            <w:r>
              <w:rPr>
                <w:rFonts w:ascii="微软雅黑" w:hAnsi="微软雅黑" w:eastAsia="微软雅黑"/>
                <w:b w:val="0"/>
                <w:sz w:val="18"/>
              </w:rPr>
              <w:t>z-score baseline</w:t>
            </w:r>
          </w:p>
        </w:tc>
        <w:tc>
          <w:tcPr>
            <w:tcW w:w="1197" w:type="dxa"/>
            <w:tcMar>
              <w:top w:w="90" w:type="dxa"/>
              <w:left w:w="120" w:type="dxa"/>
              <w:bottom w:w="90" w:type="dxa"/>
              <w:right w:w="120" w:type="dxa"/>
            </w:tcMar>
            <w:vAlign w:val="center"/>
          </w:tcPr>
          <w:p w14:paraId="1D3817F8">
            <w:pPr>
              <w:spacing w:after="0"/>
              <w:jc w:val="left"/>
            </w:pPr>
            <w:r>
              <w:rPr>
                <w:rFonts w:ascii="微软雅黑" w:hAnsi="微软雅黑" w:eastAsia="微软雅黑"/>
                <w:b w:val="0"/>
                <w:sz w:val="18"/>
              </w:rPr>
              <w:t>待补</w:t>
            </w:r>
          </w:p>
        </w:tc>
        <w:tc>
          <w:tcPr>
            <w:tcW w:w="1197" w:type="dxa"/>
            <w:tcMar>
              <w:top w:w="90" w:type="dxa"/>
              <w:left w:w="120" w:type="dxa"/>
              <w:bottom w:w="90" w:type="dxa"/>
              <w:right w:w="120" w:type="dxa"/>
            </w:tcMar>
            <w:vAlign w:val="center"/>
          </w:tcPr>
          <w:p w14:paraId="12413DBE">
            <w:pPr>
              <w:spacing w:after="0"/>
              <w:jc w:val="left"/>
            </w:pPr>
            <w:r>
              <w:rPr>
                <w:rFonts w:ascii="微软雅黑" w:hAnsi="微软雅黑" w:eastAsia="微软雅黑"/>
                <w:b w:val="0"/>
                <w:sz w:val="18"/>
              </w:rPr>
              <w:t>0.1934</w:t>
            </w:r>
          </w:p>
        </w:tc>
        <w:tc>
          <w:tcPr>
            <w:tcW w:w="1197" w:type="dxa"/>
            <w:tcMar>
              <w:top w:w="90" w:type="dxa"/>
              <w:left w:w="120" w:type="dxa"/>
              <w:bottom w:w="90" w:type="dxa"/>
              <w:right w:w="120" w:type="dxa"/>
            </w:tcMar>
            <w:vAlign w:val="center"/>
          </w:tcPr>
          <w:p w14:paraId="404AA934">
            <w:pPr>
              <w:spacing w:after="0"/>
              <w:jc w:val="left"/>
            </w:pPr>
            <w:r>
              <w:rPr>
                <w:rFonts w:ascii="微软雅黑" w:hAnsi="微软雅黑" w:eastAsia="微软雅黑"/>
                <w:b w:val="0"/>
                <w:sz w:val="18"/>
              </w:rPr>
              <w:t>0.0714</w:t>
            </w:r>
          </w:p>
        </w:tc>
        <w:tc>
          <w:tcPr>
            <w:tcW w:w="1197" w:type="dxa"/>
            <w:tcMar>
              <w:top w:w="90" w:type="dxa"/>
              <w:left w:w="120" w:type="dxa"/>
              <w:bottom w:w="90" w:type="dxa"/>
              <w:right w:w="120" w:type="dxa"/>
            </w:tcMar>
            <w:vAlign w:val="center"/>
          </w:tcPr>
          <w:p w14:paraId="613F7FB1">
            <w:pPr>
              <w:spacing w:after="0"/>
              <w:jc w:val="left"/>
            </w:pPr>
            <w:r>
              <w:rPr>
                <w:rFonts w:ascii="微软雅黑" w:hAnsi="微软雅黑" w:eastAsia="微软雅黑"/>
                <w:b w:val="0"/>
                <w:sz w:val="18"/>
              </w:rPr>
              <w:t>0.1429</w:t>
            </w:r>
          </w:p>
        </w:tc>
        <w:tc>
          <w:tcPr>
            <w:tcW w:w="1197" w:type="dxa"/>
            <w:tcMar>
              <w:top w:w="90" w:type="dxa"/>
              <w:left w:w="120" w:type="dxa"/>
              <w:bottom w:w="90" w:type="dxa"/>
              <w:right w:w="120" w:type="dxa"/>
            </w:tcMar>
            <w:vAlign w:val="center"/>
          </w:tcPr>
          <w:p w14:paraId="1FDC7E03">
            <w:pPr>
              <w:spacing w:after="0"/>
              <w:jc w:val="left"/>
            </w:pPr>
            <w:r>
              <w:rPr>
                <w:rFonts w:ascii="微软雅黑" w:hAnsi="微软雅黑" w:eastAsia="微软雅黑"/>
                <w:b w:val="0"/>
                <w:sz w:val="18"/>
              </w:rPr>
              <w:t>0.4286</w:t>
            </w:r>
          </w:p>
        </w:tc>
        <w:tc>
          <w:tcPr>
            <w:tcW w:w="1197" w:type="dxa"/>
            <w:tcMar>
              <w:top w:w="90" w:type="dxa"/>
              <w:left w:w="120" w:type="dxa"/>
              <w:bottom w:w="90" w:type="dxa"/>
              <w:right w:w="120" w:type="dxa"/>
            </w:tcMar>
            <w:vAlign w:val="center"/>
          </w:tcPr>
          <w:p w14:paraId="7EBDF048">
            <w:pPr>
              <w:spacing w:after="0"/>
              <w:jc w:val="left"/>
            </w:pPr>
            <w:r>
              <w:rPr>
                <w:rFonts w:ascii="微软雅黑" w:hAnsi="微软雅黑" w:eastAsia="微软雅黑"/>
                <w:b w:val="0"/>
                <w:sz w:val="18"/>
              </w:rPr>
              <w:t>简单统计偏离很弱。</w:t>
            </w:r>
          </w:p>
        </w:tc>
      </w:tr>
      <w:tr w14:paraId="3FE0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tcMar>
              <w:top w:w="90" w:type="dxa"/>
              <w:left w:w="120" w:type="dxa"/>
              <w:bottom w:w="90" w:type="dxa"/>
              <w:right w:w="120" w:type="dxa"/>
            </w:tcMar>
            <w:vAlign w:val="center"/>
          </w:tcPr>
          <w:p w14:paraId="48958445">
            <w:pPr>
              <w:spacing w:after="0"/>
              <w:jc w:val="left"/>
            </w:pPr>
            <w:r>
              <w:rPr>
                <w:rFonts w:ascii="微软雅黑" w:hAnsi="微软雅黑" w:eastAsia="微软雅黑"/>
                <w:b w:val="0"/>
                <w:sz w:val="18"/>
              </w:rPr>
              <w:t>WADI</w:t>
            </w:r>
          </w:p>
        </w:tc>
        <w:tc>
          <w:tcPr>
            <w:tcW w:w="1197" w:type="dxa"/>
            <w:tcMar>
              <w:top w:w="90" w:type="dxa"/>
              <w:left w:w="120" w:type="dxa"/>
              <w:bottom w:w="90" w:type="dxa"/>
              <w:right w:w="120" w:type="dxa"/>
            </w:tcMar>
            <w:vAlign w:val="center"/>
          </w:tcPr>
          <w:p w14:paraId="24BEA745">
            <w:pPr>
              <w:spacing w:after="0"/>
              <w:jc w:val="left"/>
            </w:pPr>
            <w:r>
              <w:rPr>
                <w:rFonts w:ascii="微软雅黑" w:hAnsi="微软雅黑" w:eastAsia="微软雅黑"/>
                <w:b w:val="0"/>
                <w:sz w:val="18"/>
              </w:rPr>
              <w:t>source-bottleneck-balanced</w:t>
            </w:r>
          </w:p>
        </w:tc>
        <w:tc>
          <w:tcPr>
            <w:tcW w:w="1197" w:type="dxa"/>
            <w:tcMar>
              <w:top w:w="90" w:type="dxa"/>
              <w:left w:w="120" w:type="dxa"/>
              <w:bottom w:w="90" w:type="dxa"/>
              <w:right w:w="120" w:type="dxa"/>
            </w:tcMar>
            <w:vAlign w:val="center"/>
          </w:tcPr>
          <w:p w14:paraId="34D0893F">
            <w:pPr>
              <w:spacing w:after="0"/>
              <w:jc w:val="left"/>
            </w:pPr>
            <w:r>
              <w:rPr>
                <w:rFonts w:ascii="微软雅黑" w:hAnsi="微软雅黑" w:eastAsia="微软雅黑"/>
                <w:b w:val="0"/>
                <w:sz w:val="18"/>
              </w:rPr>
              <w:t>1.0000</w:t>
            </w:r>
          </w:p>
        </w:tc>
        <w:tc>
          <w:tcPr>
            <w:tcW w:w="1197" w:type="dxa"/>
            <w:tcMar>
              <w:top w:w="90" w:type="dxa"/>
              <w:left w:w="120" w:type="dxa"/>
              <w:bottom w:w="90" w:type="dxa"/>
              <w:right w:w="120" w:type="dxa"/>
            </w:tcMar>
            <w:vAlign w:val="center"/>
          </w:tcPr>
          <w:p w14:paraId="6A3702C1">
            <w:pPr>
              <w:spacing w:after="0"/>
              <w:jc w:val="left"/>
            </w:pPr>
            <w:r>
              <w:rPr>
                <w:rFonts w:ascii="微软雅黑" w:hAnsi="微软雅黑" w:eastAsia="微软雅黑"/>
                <w:b w:val="0"/>
                <w:sz w:val="18"/>
              </w:rPr>
              <w:t>0.5268</w:t>
            </w:r>
          </w:p>
        </w:tc>
        <w:tc>
          <w:tcPr>
            <w:tcW w:w="1197" w:type="dxa"/>
            <w:tcMar>
              <w:top w:w="90" w:type="dxa"/>
              <w:left w:w="120" w:type="dxa"/>
              <w:bottom w:w="90" w:type="dxa"/>
              <w:right w:w="120" w:type="dxa"/>
            </w:tcMar>
            <w:vAlign w:val="center"/>
          </w:tcPr>
          <w:p w14:paraId="47B9808A">
            <w:pPr>
              <w:spacing w:after="0"/>
              <w:jc w:val="left"/>
            </w:pPr>
            <w:r>
              <w:rPr>
                <w:rFonts w:ascii="微软雅黑" w:hAnsi="微软雅黑" w:eastAsia="微软雅黑"/>
                <w:b w:val="0"/>
                <w:sz w:val="18"/>
              </w:rPr>
              <w:t>0.3571</w:t>
            </w:r>
          </w:p>
        </w:tc>
        <w:tc>
          <w:tcPr>
            <w:tcW w:w="1197" w:type="dxa"/>
            <w:tcMar>
              <w:top w:w="90" w:type="dxa"/>
              <w:left w:w="120" w:type="dxa"/>
              <w:bottom w:w="90" w:type="dxa"/>
              <w:right w:w="120" w:type="dxa"/>
            </w:tcMar>
            <w:vAlign w:val="center"/>
          </w:tcPr>
          <w:p w14:paraId="434992FC">
            <w:pPr>
              <w:spacing w:after="0"/>
              <w:jc w:val="left"/>
            </w:pPr>
            <w:r>
              <w:rPr>
                <w:rFonts w:ascii="微软雅黑" w:hAnsi="微软雅黑" w:eastAsia="微软雅黑"/>
                <w:b w:val="0"/>
                <w:sz w:val="18"/>
              </w:rPr>
              <w:t>0.6429</w:t>
            </w:r>
          </w:p>
        </w:tc>
        <w:tc>
          <w:tcPr>
            <w:tcW w:w="1197" w:type="dxa"/>
            <w:tcMar>
              <w:top w:w="90" w:type="dxa"/>
              <w:left w:w="120" w:type="dxa"/>
              <w:bottom w:w="90" w:type="dxa"/>
              <w:right w:w="120" w:type="dxa"/>
            </w:tcMar>
            <w:vAlign w:val="center"/>
          </w:tcPr>
          <w:p w14:paraId="28B840E4">
            <w:pPr>
              <w:spacing w:after="0"/>
              <w:jc w:val="left"/>
            </w:pPr>
            <w:r>
              <w:rPr>
                <w:rFonts w:ascii="微软雅黑" w:hAnsi="微软雅黑" w:eastAsia="微软雅黑"/>
                <w:b w:val="0"/>
                <w:sz w:val="18"/>
              </w:rPr>
              <w:t>0.7143</w:t>
            </w:r>
          </w:p>
        </w:tc>
        <w:tc>
          <w:tcPr>
            <w:tcW w:w="1197" w:type="dxa"/>
            <w:tcMar>
              <w:top w:w="90" w:type="dxa"/>
              <w:left w:w="120" w:type="dxa"/>
              <w:bottom w:w="90" w:type="dxa"/>
              <w:right w:w="120" w:type="dxa"/>
            </w:tcMar>
            <w:vAlign w:val="center"/>
          </w:tcPr>
          <w:p w14:paraId="53BD3FFE">
            <w:pPr>
              <w:spacing w:after="0"/>
              <w:jc w:val="left"/>
            </w:pPr>
            <w:r>
              <w:rPr>
                <w:rFonts w:ascii="微软雅黑" w:hAnsi="微软雅黑" w:eastAsia="微软雅黑"/>
                <w:b w:val="0"/>
                <w:sz w:val="18"/>
              </w:rPr>
              <w:t>源瓶颈有效。</w:t>
            </w:r>
          </w:p>
        </w:tc>
      </w:tr>
      <w:tr w14:paraId="5E6A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tcMar>
              <w:top w:w="90" w:type="dxa"/>
              <w:left w:w="120" w:type="dxa"/>
              <w:bottom w:w="90" w:type="dxa"/>
              <w:right w:w="120" w:type="dxa"/>
            </w:tcMar>
            <w:vAlign w:val="center"/>
          </w:tcPr>
          <w:p w14:paraId="35D26118">
            <w:pPr>
              <w:spacing w:after="0"/>
              <w:jc w:val="left"/>
            </w:pPr>
            <w:r>
              <w:rPr>
                <w:rFonts w:ascii="微软雅黑" w:hAnsi="微软雅黑" w:eastAsia="微软雅黑"/>
                <w:b w:val="0"/>
                <w:sz w:val="18"/>
              </w:rPr>
              <w:t>WADI</w:t>
            </w:r>
          </w:p>
        </w:tc>
        <w:tc>
          <w:tcPr>
            <w:tcW w:w="1197" w:type="dxa"/>
            <w:tcMar>
              <w:top w:w="90" w:type="dxa"/>
              <w:left w:w="120" w:type="dxa"/>
              <w:bottom w:w="90" w:type="dxa"/>
              <w:right w:w="120" w:type="dxa"/>
            </w:tcMar>
            <w:vAlign w:val="center"/>
          </w:tcPr>
          <w:p w14:paraId="6ED3FC65">
            <w:pPr>
              <w:spacing w:after="0"/>
              <w:jc w:val="left"/>
            </w:pPr>
            <w:r>
              <w:rPr>
                <w:rFonts w:ascii="微软雅黑" w:hAnsi="微软雅黑" w:eastAsia="微软雅黑"/>
                <w:b w:val="0"/>
                <w:sz w:val="18"/>
              </w:rPr>
              <w:t>source-bottleneck-specificity</w:t>
            </w:r>
          </w:p>
        </w:tc>
        <w:tc>
          <w:tcPr>
            <w:tcW w:w="1197" w:type="dxa"/>
            <w:tcMar>
              <w:top w:w="90" w:type="dxa"/>
              <w:left w:w="120" w:type="dxa"/>
              <w:bottom w:w="90" w:type="dxa"/>
              <w:right w:w="120" w:type="dxa"/>
            </w:tcMar>
            <w:vAlign w:val="center"/>
          </w:tcPr>
          <w:p w14:paraId="05F90982">
            <w:pPr>
              <w:spacing w:after="0"/>
              <w:jc w:val="left"/>
            </w:pPr>
            <w:r>
              <w:rPr>
                <w:rFonts w:ascii="微软雅黑" w:hAnsi="微软雅黑" w:eastAsia="微软雅黑"/>
                <w:b w:val="0"/>
                <w:sz w:val="18"/>
              </w:rPr>
              <w:t>1.0000</w:t>
            </w:r>
          </w:p>
        </w:tc>
        <w:tc>
          <w:tcPr>
            <w:tcW w:w="1197" w:type="dxa"/>
            <w:tcMar>
              <w:top w:w="90" w:type="dxa"/>
              <w:left w:w="120" w:type="dxa"/>
              <w:bottom w:w="90" w:type="dxa"/>
              <w:right w:w="120" w:type="dxa"/>
            </w:tcMar>
            <w:vAlign w:val="center"/>
          </w:tcPr>
          <w:p w14:paraId="2B2E0C4E">
            <w:pPr>
              <w:spacing w:after="0"/>
              <w:jc w:val="left"/>
            </w:pPr>
            <w:r>
              <w:rPr>
                <w:rFonts w:ascii="微软雅黑" w:hAnsi="微软雅黑" w:eastAsia="微软雅黑"/>
                <w:b w:val="0"/>
                <w:sz w:val="18"/>
              </w:rPr>
              <w:t>0.5960</w:t>
            </w:r>
          </w:p>
        </w:tc>
        <w:tc>
          <w:tcPr>
            <w:tcW w:w="1197" w:type="dxa"/>
            <w:tcMar>
              <w:top w:w="90" w:type="dxa"/>
              <w:left w:w="120" w:type="dxa"/>
              <w:bottom w:w="90" w:type="dxa"/>
              <w:right w:w="120" w:type="dxa"/>
            </w:tcMar>
            <w:vAlign w:val="center"/>
          </w:tcPr>
          <w:p w14:paraId="512901B5">
            <w:pPr>
              <w:spacing w:after="0"/>
              <w:jc w:val="left"/>
            </w:pPr>
            <w:r>
              <w:rPr>
                <w:rFonts w:ascii="微软雅黑" w:hAnsi="微软雅黑" w:eastAsia="微软雅黑"/>
                <w:b w:val="0"/>
                <w:sz w:val="18"/>
              </w:rPr>
              <w:t>0.5000</w:t>
            </w:r>
          </w:p>
        </w:tc>
        <w:tc>
          <w:tcPr>
            <w:tcW w:w="1197" w:type="dxa"/>
            <w:tcMar>
              <w:top w:w="90" w:type="dxa"/>
              <w:left w:w="120" w:type="dxa"/>
              <w:bottom w:w="90" w:type="dxa"/>
              <w:right w:w="120" w:type="dxa"/>
            </w:tcMar>
            <w:vAlign w:val="center"/>
          </w:tcPr>
          <w:p w14:paraId="04949CC3">
            <w:pPr>
              <w:spacing w:after="0"/>
              <w:jc w:val="left"/>
            </w:pPr>
            <w:r>
              <w:rPr>
                <w:rFonts w:ascii="微软雅黑" w:hAnsi="微软雅黑" w:eastAsia="微软雅黑"/>
                <w:b w:val="0"/>
                <w:sz w:val="18"/>
              </w:rPr>
              <w:t>0.7143</w:t>
            </w:r>
          </w:p>
        </w:tc>
        <w:tc>
          <w:tcPr>
            <w:tcW w:w="1197" w:type="dxa"/>
            <w:tcMar>
              <w:top w:w="90" w:type="dxa"/>
              <w:left w:w="120" w:type="dxa"/>
              <w:bottom w:w="90" w:type="dxa"/>
              <w:right w:w="120" w:type="dxa"/>
            </w:tcMar>
            <w:vAlign w:val="center"/>
          </w:tcPr>
          <w:p w14:paraId="349FC1E6">
            <w:pPr>
              <w:spacing w:after="0"/>
              <w:jc w:val="left"/>
            </w:pPr>
            <w:r>
              <w:rPr>
                <w:rFonts w:ascii="微软雅黑" w:hAnsi="微软雅黑" w:eastAsia="微软雅黑"/>
                <w:b w:val="0"/>
                <w:sz w:val="18"/>
              </w:rPr>
              <w:t>0.7143</w:t>
            </w:r>
          </w:p>
        </w:tc>
        <w:tc>
          <w:tcPr>
            <w:tcW w:w="1197" w:type="dxa"/>
            <w:tcMar>
              <w:top w:w="90" w:type="dxa"/>
              <w:left w:w="120" w:type="dxa"/>
              <w:bottom w:w="90" w:type="dxa"/>
              <w:right w:w="120" w:type="dxa"/>
            </w:tcMar>
            <w:vAlign w:val="center"/>
          </w:tcPr>
          <w:p w14:paraId="43CB5CD3">
            <w:pPr>
              <w:spacing w:after="0"/>
              <w:jc w:val="left"/>
            </w:pPr>
            <w:r>
              <w:rPr>
                <w:rFonts w:ascii="微软雅黑" w:hAnsi="微软雅黑" w:eastAsia="微软雅黑"/>
                <w:b w:val="0"/>
                <w:sz w:val="18"/>
              </w:rPr>
              <w:t>文档中最强变量级结果；journal validation 15 epoch 为 MRR 0.5873。</w:t>
            </w:r>
          </w:p>
        </w:tc>
      </w:tr>
      <w:tr w14:paraId="3808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tcMar>
              <w:top w:w="90" w:type="dxa"/>
              <w:left w:w="120" w:type="dxa"/>
              <w:bottom w:w="90" w:type="dxa"/>
              <w:right w:w="120" w:type="dxa"/>
            </w:tcMar>
            <w:vAlign w:val="center"/>
          </w:tcPr>
          <w:p w14:paraId="14E5F384">
            <w:pPr>
              <w:spacing w:after="0"/>
              <w:jc w:val="left"/>
            </w:pPr>
            <w:r>
              <w:rPr>
                <w:rFonts w:ascii="微软雅黑" w:hAnsi="微软雅黑" w:eastAsia="微软雅黑"/>
                <w:b w:val="0"/>
                <w:sz w:val="18"/>
              </w:rPr>
              <w:t>SWaT</w:t>
            </w:r>
          </w:p>
        </w:tc>
        <w:tc>
          <w:tcPr>
            <w:tcW w:w="1197" w:type="dxa"/>
            <w:tcMar>
              <w:top w:w="90" w:type="dxa"/>
              <w:left w:w="120" w:type="dxa"/>
              <w:bottom w:w="90" w:type="dxa"/>
              <w:right w:w="120" w:type="dxa"/>
            </w:tcMar>
            <w:vAlign w:val="center"/>
          </w:tcPr>
          <w:p w14:paraId="2599A3CA">
            <w:pPr>
              <w:spacing w:after="0"/>
              <w:jc w:val="left"/>
            </w:pPr>
            <w:r>
              <w:rPr>
                <w:rFonts w:ascii="微软雅黑" w:hAnsi="微软雅黑" w:eastAsia="微软雅黑"/>
                <w:b w:val="0"/>
                <w:sz w:val="18"/>
              </w:rPr>
              <w:t>z-score baseline</w:t>
            </w:r>
          </w:p>
        </w:tc>
        <w:tc>
          <w:tcPr>
            <w:tcW w:w="1197" w:type="dxa"/>
            <w:tcMar>
              <w:top w:w="90" w:type="dxa"/>
              <w:left w:w="120" w:type="dxa"/>
              <w:bottom w:w="90" w:type="dxa"/>
              <w:right w:w="120" w:type="dxa"/>
            </w:tcMar>
            <w:vAlign w:val="center"/>
          </w:tcPr>
          <w:p w14:paraId="4ABF1AFE">
            <w:pPr>
              <w:spacing w:after="0"/>
              <w:jc w:val="left"/>
            </w:pPr>
            <w:r>
              <w:rPr>
                <w:rFonts w:ascii="微软雅黑" w:hAnsi="微软雅黑" w:eastAsia="微软雅黑"/>
                <w:b w:val="0"/>
                <w:sz w:val="18"/>
              </w:rPr>
              <w:t>0.9394</w:t>
            </w:r>
          </w:p>
        </w:tc>
        <w:tc>
          <w:tcPr>
            <w:tcW w:w="1197" w:type="dxa"/>
            <w:tcMar>
              <w:top w:w="90" w:type="dxa"/>
              <w:left w:w="120" w:type="dxa"/>
              <w:bottom w:w="90" w:type="dxa"/>
              <w:right w:w="120" w:type="dxa"/>
            </w:tcMar>
            <w:vAlign w:val="center"/>
          </w:tcPr>
          <w:p w14:paraId="43D54D77">
            <w:pPr>
              <w:spacing w:after="0"/>
              <w:jc w:val="left"/>
            </w:pPr>
            <w:r>
              <w:rPr>
                <w:rFonts w:ascii="微软雅黑" w:hAnsi="微软雅黑" w:eastAsia="微软雅黑"/>
                <w:b w:val="0"/>
                <w:sz w:val="18"/>
              </w:rPr>
              <w:t>0.3201</w:t>
            </w:r>
          </w:p>
        </w:tc>
        <w:tc>
          <w:tcPr>
            <w:tcW w:w="1197" w:type="dxa"/>
            <w:tcMar>
              <w:top w:w="90" w:type="dxa"/>
              <w:left w:w="120" w:type="dxa"/>
              <w:bottom w:w="90" w:type="dxa"/>
              <w:right w:w="120" w:type="dxa"/>
            </w:tcMar>
            <w:vAlign w:val="center"/>
          </w:tcPr>
          <w:p w14:paraId="78855184">
            <w:pPr>
              <w:spacing w:after="0"/>
              <w:jc w:val="left"/>
            </w:pPr>
            <w:r>
              <w:rPr>
                <w:rFonts w:ascii="微软雅黑" w:hAnsi="微软雅黑" w:eastAsia="微软雅黑"/>
                <w:b w:val="0"/>
                <w:sz w:val="18"/>
              </w:rPr>
              <w:t>0.1515</w:t>
            </w:r>
          </w:p>
        </w:tc>
        <w:tc>
          <w:tcPr>
            <w:tcW w:w="1197" w:type="dxa"/>
            <w:tcMar>
              <w:top w:w="90" w:type="dxa"/>
              <w:left w:w="120" w:type="dxa"/>
              <w:bottom w:w="90" w:type="dxa"/>
              <w:right w:w="120" w:type="dxa"/>
            </w:tcMar>
            <w:vAlign w:val="center"/>
          </w:tcPr>
          <w:p w14:paraId="4B960F87">
            <w:pPr>
              <w:spacing w:after="0"/>
              <w:jc w:val="left"/>
            </w:pPr>
            <w:r>
              <w:rPr>
                <w:rFonts w:ascii="微软雅黑" w:hAnsi="微软雅黑" w:eastAsia="微软雅黑"/>
                <w:b w:val="0"/>
                <w:sz w:val="18"/>
              </w:rPr>
              <w:t>0.4242</w:t>
            </w:r>
          </w:p>
        </w:tc>
        <w:tc>
          <w:tcPr>
            <w:tcW w:w="1197" w:type="dxa"/>
            <w:tcMar>
              <w:top w:w="90" w:type="dxa"/>
              <w:left w:w="120" w:type="dxa"/>
              <w:bottom w:w="90" w:type="dxa"/>
              <w:right w:w="120" w:type="dxa"/>
            </w:tcMar>
            <w:vAlign w:val="center"/>
          </w:tcPr>
          <w:p w14:paraId="3C63DEA3">
            <w:pPr>
              <w:spacing w:after="0"/>
              <w:jc w:val="left"/>
            </w:pPr>
            <w:r>
              <w:rPr>
                <w:rFonts w:ascii="微软雅黑" w:hAnsi="微软雅黑" w:eastAsia="微软雅黑"/>
                <w:b w:val="0"/>
                <w:sz w:val="18"/>
              </w:rPr>
              <w:t>0.4848</w:t>
            </w:r>
          </w:p>
        </w:tc>
        <w:tc>
          <w:tcPr>
            <w:tcW w:w="1197" w:type="dxa"/>
            <w:tcMar>
              <w:top w:w="90" w:type="dxa"/>
              <w:left w:w="120" w:type="dxa"/>
              <w:bottom w:w="90" w:type="dxa"/>
              <w:right w:w="120" w:type="dxa"/>
            </w:tcMar>
            <w:vAlign w:val="center"/>
          </w:tcPr>
          <w:p w14:paraId="366D7A4B">
            <w:pPr>
              <w:spacing w:after="0"/>
              <w:jc w:val="left"/>
            </w:pPr>
            <w:r>
              <w:rPr>
                <w:rFonts w:ascii="微软雅黑" w:hAnsi="微软雅黑" w:eastAsia="微软雅黑"/>
                <w:b w:val="0"/>
                <w:sz w:val="18"/>
              </w:rPr>
              <w:t>统计偏离有一定效果，但 top-1 明显弱。</w:t>
            </w:r>
          </w:p>
        </w:tc>
      </w:tr>
      <w:tr w14:paraId="0A78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tcMar>
              <w:top w:w="90" w:type="dxa"/>
              <w:left w:w="120" w:type="dxa"/>
              <w:bottom w:w="90" w:type="dxa"/>
              <w:right w:w="120" w:type="dxa"/>
            </w:tcMar>
            <w:vAlign w:val="center"/>
          </w:tcPr>
          <w:p w14:paraId="0230A394">
            <w:pPr>
              <w:spacing w:after="0"/>
              <w:jc w:val="left"/>
            </w:pPr>
            <w:r>
              <w:rPr>
                <w:rFonts w:ascii="微软雅黑" w:hAnsi="微软雅黑" w:eastAsia="微软雅黑"/>
                <w:b w:val="0"/>
                <w:sz w:val="18"/>
              </w:rPr>
              <w:t>SWaT</w:t>
            </w:r>
          </w:p>
        </w:tc>
        <w:tc>
          <w:tcPr>
            <w:tcW w:w="1197" w:type="dxa"/>
            <w:tcMar>
              <w:top w:w="90" w:type="dxa"/>
              <w:left w:w="120" w:type="dxa"/>
              <w:bottom w:w="90" w:type="dxa"/>
              <w:right w:w="120" w:type="dxa"/>
            </w:tcMar>
            <w:vAlign w:val="center"/>
          </w:tcPr>
          <w:p w14:paraId="1E27890D">
            <w:pPr>
              <w:spacing w:after="0"/>
              <w:jc w:val="left"/>
            </w:pPr>
            <w:r>
              <w:rPr>
                <w:rFonts w:ascii="微软雅黑" w:hAnsi="微软雅黑" w:eastAsia="微软雅黑"/>
                <w:b w:val="0"/>
                <w:sz w:val="18"/>
              </w:rPr>
              <w:t>correlation prior</w:t>
            </w:r>
          </w:p>
        </w:tc>
        <w:tc>
          <w:tcPr>
            <w:tcW w:w="1197" w:type="dxa"/>
            <w:tcMar>
              <w:top w:w="90" w:type="dxa"/>
              <w:left w:w="120" w:type="dxa"/>
              <w:bottom w:w="90" w:type="dxa"/>
              <w:right w:w="120" w:type="dxa"/>
            </w:tcMar>
            <w:vAlign w:val="center"/>
          </w:tcPr>
          <w:p w14:paraId="2778461E">
            <w:pPr>
              <w:spacing w:after="0"/>
              <w:jc w:val="left"/>
            </w:pPr>
            <w:r>
              <w:rPr>
                <w:rFonts w:ascii="微软雅黑" w:hAnsi="微软雅黑" w:eastAsia="微软雅黑"/>
                <w:b w:val="0"/>
                <w:sz w:val="18"/>
              </w:rPr>
              <w:t>0.9394</w:t>
            </w:r>
          </w:p>
        </w:tc>
        <w:tc>
          <w:tcPr>
            <w:tcW w:w="1197" w:type="dxa"/>
            <w:tcMar>
              <w:top w:w="90" w:type="dxa"/>
              <w:left w:w="120" w:type="dxa"/>
              <w:bottom w:w="90" w:type="dxa"/>
              <w:right w:w="120" w:type="dxa"/>
            </w:tcMar>
            <w:vAlign w:val="center"/>
          </w:tcPr>
          <w:p w14:paraId="266F1FA8">
            <w:pPr>
              <w:spacing w:after="0"/>
              <w:jc w:val="left"/>
            </w:pPr>
            <w:r>
              <w:rPr>
                <w:rFonts w:ascii="微软雅黑" w:hAnsi="微软雅黑" w:eastAsia="微软雅黑"/>
                <w:b w:val="0"/>
                <w:sz w:val="18"/>
              </w:rPr>
              <w:t>0.2550</w:t>
            </w:r>
          </w:p>
        </w:tc>
        <w:tc>
          <w:tcPr>
            <w:tcW w:w="1197" w:type="dxa"/>
            <w:tcMar>
              <w:top w:w="90" w:type="dxa"/>
              <w:left w:w="120" w:type="dxa"/>
              <w:bottom w:w="90" w:type="dxa"/>
              <w:right w:w="120" w:type="dxa"/>
            </w:tcMar>
            <w:vAlign w:val="center"/>
          </w:tcPr>
          <w:p w14:paraId="43D19ED2">
            <w:pPr>
              <w:spacing w:after="0"/>
              <w:jc w:val="left"/>
            </w:pPr>
            <w:r>
              <w:rPr>
                <w:rFonts w:ascii="微软雅黑" w:hAnsi="微软雅黑" w:eastAsia="微软雅黑"/>
                <w:b w:val="0"/>
                <w:sz w:val="18"/>
              </w:rPr>
              <w:t>0.1212</w:t>
            </w:r>
          </w:p>
        </w:tc>
        <w:tc>
          <w:tcPr>
            <w:tcW w:w="1197" w:type="dxa"/>
            <w:tcMar>
              <w:top w:w="90" w:type="dxa"/>
              <w:left w:w="120" w:type="dxa"/>
              <w:bottom w:w="90" w:type="dxa"/>
              <w:right w:w="120" w:type="dxa"/>
            </w:tcMar>
            <w:vAlign w:val="center"/>
          </w:tcPr>
          <w:p w14:paraId="3314B963">
            <w:pPr>
              <w:spacing w:after="0"/>
              <w:jc w:val="left"/>
            </w:pPr>
            <w:r>
              <w:rPr>
                <w:rFonts w:ascii="微软雅黑" w:hAnsi="微软雅黑" w:eastAsia="微软雅黑"/>
                <w:b w:val="0"/>
                <w:sz w:val="18"/>
              </w:rPr>
              <w:t>0.2727</w:t>
            </w:r>
          </w:p>
        </w:tc>
        <w:tc>
          <w:tcPr>
            <w:tcW w:w="1197" w:type="dxa"/>
            <w:tcMar>
              <w:top w:w="90" w:type="dxa"/>
              <w:left w:w="120" w:type="dxa"/>
              <w:bottom w:w="90" w:type="dxa"/>
              <w:right w:w="120" w:type="dxa"/>
            </w:tcMar>
            <w:vAlign w:val="center"/>
          </w:tcPr>
          <w:p w14:paraId="64222372">
            <w:pPr>
              <w:spacing w:after="0"/>
              <w:jc w:val="left"/>
            </w:pPr>
            <w:r>
              <w:rPr>
                <w:rFonts w:ascii="微软雅黑" w:hAnsi="微软雅黑" w:eastAsia="微软雅黑"/>
                <w:b w:val="0"/>
                <w:sz w:val="18"/>
              </w:rPr>
              <w:t>0.2727</w:t>
            </w:r>
          </w:p>
        </w:tc>
        <w:tc>
          <w:tcPr>
            <w:tcW w:w="1197" w:type="dxa"/>
            <w:tcMar>
              <w:top w:w="90" w:type="dxa"/>
              <w:left w:w="120" w:type="dxa"/>
              <w:bottom w:w="90" w:type="dxa"/>
              <w:right w:w="120" w:type="dxa"/>
            </w:tcMar>
            <w:vAlign w:val="center"/>
          </w:tcPr>
          <w:p w14:paraId="2094B18D">
            <w:pPr>
              <w:spacing w:after="0"/>
              <w:jc w:val="left"/>
            </w:pPr>
            <w:r>
              <w:rPr>
                <w:rFonts w:ascii="微软雅黑" w:hAnsi="微软雅黑" w:eastAsia="微软雅黑"/>
                <w:b w:val="0"/>
                <w:sz w:val="18"/>
              </w:rPr>
              <w:t>静态相关图不能直接解决源变量排序。</w:t>
            </w:r>
          </w:p>
        </w:tc>
      </w:tr>
      <w:tr w14:paraId="66A8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7" w:type="dxa"/>
            <w:tcMar>
              <w:top w:w="90" w:type="dxa"/>
              <w:left w:w="120" w:type="dxa"/>
              <w:bottom w:w="90" w:type="dxa"/>
              <w:right w:w="120" w:type="dxa"/>
            </w:tcMar>
            <w:vAlign w:val="center"/>
          </w:tcPr>
          <w:p w14:paraId="58B9AD57">
            <w:pPr>
              <w:spacing w:after="0"/>
              <w:jc w:val="left"/>
            </w:pPr>
            <w:r>
              <w:rPr>
                <w:rFonts w:ascii="微软雅黑" w:hAnsi="微软雅黑" w:eastAsia="微软雅黑"/>
                <w:b w:val="0"/>
                <w:sz w:val="18"/>
              </w:rPr>
              <w:t>SWaT</w:t>
            </w:r>
          </w:p>
        </w:tc>
        <w:tc>
          <w:tcPr>
            <w:tcW w:w="1197" w:type="dxa"/>
            <w:tcMar>
              <w:top w:w="90" w:type="dxa"/>
              <w:left w:w="120" w:type="dxa"/>
              <w:bottom w:w="90" w:type="dxa"/>
              <w:right w:w="120" w:type="dxa"/>
            </w:tcMar>
            <w:vAlign w:val="center"/>
          </w:tcPr>
          <w:p w14:paraId="0E07F5AB">
            <w:pPr>
              <w:spacing w:after="0"/>
              <w:jc w:val="left"/>
            </w:pPr>
            <w:r>
              <w:rPr>
                <w:rFonts w:ascii="微软雅黑" w:hAnsi="微软雅黑" w:eastAsia="微软雅黑"/>
                <w:b w:val="0"/>
                <w:sz w:val="18"/>
              </w:rPr>
              <w:t>source-bottleneck-specificity</w:t>
            </w:r>
          </w:p>
        </w:tc>
        <w:tc>
          <w:tcPr>
            <w:tcW w:w="1197" w:type="dxa"/>
            <w:tcMar>
              <w:top w:w="90" w:type="dxa"/>
              <w:left w:w="120" w:type="dxa"/>
              <w:bottom w:w="90" w:type="dxa"/>
              <w:right w:w="120" w:type="dxa"/>
            </w:tcMar>
            <w:vAlign w:val="center"/>
          </w:tcPr>
          <w:p w14:paraId="401B1BE4">
            <w:pPr>
              <w:spacing w:after="0"/>
              <w:jc w:val="left"/>
            </w:pPr>
            <w:r>
              <w:rPr>
                <w:rFonts w:ascii="微软雅黑" w:hAnsi="微软雅黑" w:eastAsia="微软雅黑"/>
                <w:b w:val="0"/>
                <w:sz w:val="18"/>
              </w:rPr>
              <w:t>0.9394</w:t>
            </w:r>
          </w:p>
        </w:tc>
        <w:tc>
          <w:tcPr>
            <w:tcW w:w="1197" w:type="dxa"/>
            <w:tcMar>
              <w:top w:w="90" w:type="dxa"/>
              <w:left w:w="120" w:type="dxa"/>
              <w:bottom w:w="90" w:type="dxa"/>
              <w:right w:w="120" w:type="dxa"/>
            </w:tcMar>
            <w:vAlign w:val="center"/>
          </w:tcPr>
          <w:p w14:paraId="1D4D7104">
            <w:pPr>
              <w:spacing w:after="0"/>
              <w:jc w:val="left"/>
            </w:pPr>
            <w:r>
              <w:rPr>
                <w:rFonts w:ascii="微软雅黑" w:hAnsi="微软雅黑" w:eastAsia="微软雅黑"/>
                <w:b w:val="0"/>
                <w:sz w:val="18"/>
              </w:rPr>
              <w:t>0.5087</w:t>
            </w:r>
          </w:p>
        </w:tc>
        <w:tc>
          <w:tcPr>
            <w:tcW w:w="1197" w:type="dxa"/>
            <w:tcMar>
              <w:top w:w="90" w:type="dxa"/>
              <w:left w:w="120" w:type="dxa"/>
              <w:bottom w:w="90" w:type="dxa"/>
              <w:right w:w="120" w:type="dxa"/>
            </w:tcMar>
            <w:vAlign w:val="center"/>
          </w:tcPr>
          <w:p w14:paraId="3C5454E7">
            <w:pPr>
              <w:spacing w:after="0"/>
              <w:jc w:val="left"/>
            </w:pPr>
            <w:r>
              <w:rPr>
                <w:rFonts w:ascii="微软雅黑" w:hAnsi="微软雅黑" w:eastAsia="微软雅黑"/>
                <w:b w:val="0"/>
                <w:sz w:val="18"/>
              </w:rPr>
              <w:t>0.3939</w:t>
            </w:r>
          </w:p>
        </w:tc>
        <w:tc>
          <w:tcPr>
            <w:tcW w:w="1197" w:type="dxa"/>
            <w:tcMar>
              <w:top w:w="90" w:type="dxa"/>
              <w:left w:w="120" w:type="dxa"/>
              <w:bottom w:w="90" w:type="dxa"/>
              <w:right w:w="120" w:type="dxa"/>
            </w:tcMar>
            <w:vAlign w:val="center"/>
          </w:tcPr>
          <w:p w14:paraId="530C644F">
            <w:pPr>
              <w:spacing w:after="0"/>
              <w:jc w:val="left"/>
            </w:pPr>
            <w:r>
              <w:rPr>
                <w:rFonts w:ascii="微软雅黑" w:hAnsi="微软雅黑" w:eastAsia="微软雅黑"/>
                <w:b w:val="0"/>
                <w:sz w:val="18"/>
              </w:rPr>
              <w:t>0.5758</w:t>
            </w:r>
          </w:p>
        </w:tc>
        <w:tc>
          <w:tcPr>
            <w:tcW w:w="1197" w:type="dxa"/>
            <w:tcMar>
              <w:top w:w="90" w:type="dxa"/>
              <w:left w:w="120" w:type="dxa"/>
              <w:bottom w:w="90" w:type="dxa"/>
              <w:right w:w="120" w:type="dxa"/>
            </w:tcMar>
            <w:vAlign w:val="center"/>
          </w:tcPr>
          <w:p w14:paraId="31F217FB">
            <w:pPr>
              <w:spacing w:after="0"/>
              <w:jc w:val="left"/>
            </w:pPr>
            <w:r>
              <w:rPr>
                <w:rFonts w:ascii="微软雅黑" w:hAnsi="微软雅黑" w:eastAsia="微软雅黑"/>
                <w:b w:val="0"/>
                <w:sz w:val="18"/>
              </w:rPr>
              <w:t>0.6667</w:t>
            </w:r>
          </w:p>
        </w:tc>
        <w:tc>
          <w:tcPr>
            <w:tcW w:w="1197" w:type="dxa"/>
            <w:tcMar>
              <w:top w:w="90" w:type="dxa"/>
              <w:left w:w="120" w:type="dxa"/>
              <w:bottom w:w="90" w:type="dxa"/>
              <w:right w:w="120" w:type="dxa"/>
            </w:tcMar>
            <w:vAlign w:val="center"/>
          </w:tcPr>
          <w:p w14:paraId="601C761D">
            <w:pPr>
              <w:spacing w:after="0"/>
              <w:jc w:val="left"/>
            </w:pPr>
            <w:r>
              <w:rPr>
                <w:rFonts w:ascii="微软雅黑" w:hAnsi="微软雅黑" w:eastAsia="微软雅黑"/>
                <w:b w:val="0"/>
                <w:sz w:val="18"/>
              </w:rPr>
              <w:t>当前 SWaT 主结果；journal validation proof_main_swat_e8 为 MRR 0.5069。</w:t>
            </w:r>
          </w:p>
        </w:tc>
      </w:tr>
    </w:tbl>
    <w:p w14:paraId="5CF81584"/>
    <w:p w14:paraId="15E7BBC7">
      <w:pPr>
        <w:pStyle w:val="4"/>
        <w:spacing w:before="160" w:after="120"/>
      </w:pPr>
      <w:r>
        <w:rPr>
          <w:rFonts w:ascii="微软雅黑" w:hAnsi="微软雅黑" w:eastAsia="微软雅黑"/>
          <w:b/>
          <w:color w:val="2E5E8D"/>
          <w:sz w:val="32"/>
        </w:rPr>
        <w:t>7.3 消融：哪些模块有价值，哪些有风险</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5"/>
        <w:gridCol w:w="2355"/>
        <w:gridCol w:w="2298"/>
        <w:gridCol w:w="2382"/>
      </w:tblGrid>
      <w:tr w14:paraId="4843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shd w:val="clear" w:color="auto" w:fill="F2F4F7"/>
            <w:tcMar>
              <w:top w:w="90" w:type="dxa"/>
              <w:left w:w="120" w:type="dxa"/>
              <w:bottom w:w="90" w:type="dxa"/>
              <w:right w:w="120" w:type="dxa"/>
            </w:tcMar>
            <w:vAlign w:val="center"/>
          </w:tcPr>
          <w:p w14:paraId="213F514D">
            <w:pPr>
              <w:spacing w:after="0"/>
              <w:jc w:val="left"/>
            </w:pPr>
            <w:r>
              <w:rPr>
                <w:rFonts w:ascii="微软雅黑" w:hAnsi="微软雅黑" w:eastAsia="微软雅黑"/>
                <w:b/>
                <w:sz w:val="21"/>
              </w:rPr>
              <w:t>消融/候选</w:t>
            </w:r>
          </w:p>
        </w:tc>
        <w:tc>
          <w:tcPr>
            <w:tcW w:w="2394" w:type="dxa"/>
            <w:shd w:val="clear" w:color="auto" w:fill="F2F4F7"/>
            <w:tcMar>
              <w:top w:w="90" w:type="dxa"/>
              <w:left w:w="120" w:type="dxa"/>
              <w:bottom w:w="90" w:type="dxa"/>
              <w:right w:w="120" w:type="dxa"/>
            </w:tcMar>
            <w:vAlign w:val="center"/>
          </w:tcPr>
          <w:p w14:paraId="72B1107B">
            <w:pPr>
              <w:spacing w:after="0"/>
              <w:jc w:val="left"/>
            </w:pPr>
            <w:r>
              <w:rPr>
                <w:rFonts w:ascii="微软雅黑" w:hAnsi="微软雅黑" w:eastAsia="微软雅黑"/>
                <w:b/>
                <w:sz w:val="21"/>
              </w:rPr>
              <w:t>WADI 观察</w:t>
            </w:r>
          </w:p>
        </w:tc>
        <w:tc>
          <w:tcPr>
            <w:tcW w:w="2394" w:type="dxa"/>
            <w:shd w:val="clear" w:color="auto" w:fill="F2F4F7"/>
            <w:tcMar>
              <w:top w:w="90" w:type="dxa"/>
              <w:left w:w="120" w:type="dxa"/>
              <w:bottom w:w="90" w:type="dxa"/>
              <w:right w:w="120" w:type="dxa"/>
            </w:tcMar>
            <w:vAlign w:val="center"/>
          </w:tcPr>
          <w:p w14:paraId="26D84C69">
            <w:pPr>
              <w:spacing w:after="0"/>
              <w:jc w:val="left"/>
            </w:pPr>
            <w:r>
              <w:rPr>
                <w:rFonts w:ascii="微软雅黑" w:hAnsi="微软雅黑" w:eastAsia="微软雅黑"/>
                <w:b/>
                <w:sz w:val="21"/>
              </w:rPr>
              <w:t>SWaT 观察</w:t>
            </w:r>
          </w:p>
        </w:tc>
        <w:tc>
          <w:tcPr>
            <w:tcW w:w="2394" w:type="dxa"/>
            <w:shd w:val="clear" w:color="auto" w:fill="F2F4F7"/>
            <w:tcMar>
              <w:top w:w="90" w:type="dxa"/>
              <w:left w:w="120" w:type="dxa"/>
              <w:bottom w:w="90" w:type="dxa"/>
              <w:right w:w="120" w:type="dxa"/>
            </w:tcMar>
            <w:vAlign w:val="center"/>
          </w:tcPr>
          <w:p w14:paraId="3B4DC6D4">
            <w:pPr>
              <w:spacing w:after="0"/>
              <w:jc w:val="left"/>
            </w:pPr>
            <w:r>
              <w:rPr>
                <w:rFonts w:ascii="微软雅黑" w:hAnsi="微软雅黑" w:eastAsia="微软雅黑"/>
                <w:b/>
                <w:sz w:val="21"/>
              </w:rPr>
              <w:t>结论</w:t>
            </w:r>
          </w:p>
        </w:tc>
      </w:tr>
      <w:tr w14:paraId="707A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2BD3CAC2">
            <w:pPr>
              <w:spacing w:after="0"/>
              <w:jc w:val="left"/>
            </w:pPr>
            <w:r>
              <w:rPr>
                <w:rFonts w:ascii="微软雅黑" w:hAnsi="微软雅黑" w:eastAsia="微软雅黑"/>
                <w:b w:val="0"/>
                <w:sz w:val="21"/>
              </w:rPr>
              <w:t>no source-propagation</w:t>
            </w:r>
          </w:p>
        </w:tc>
        <w:tc>
          <w:tcPr>
            <w:tcW w:w="2394" w:type="dxa"/>
            <w:tcMar>
              <w:top w:w="90" w:type="dxa"/>
              <w:left w:w="120" w:type="dxa"/>
              <w:bottom w:w="90" w:type="dxa"/>
              <w:right w:w="120" w:type="dxa"/>
            </w:tcMar>
            <w:vAlign w:val="center"/>
          </w:tcPr>
          <w:p w14:paraId="5DEF4226">
            <w:pPr>
              <w:spacing w:after="0"/>
              <w:jc w:val="left"/>
            </w:pPr>
            <w:r>
              <w:rPr>
                <w:rFonts w:ascii="微软雅黑" w:hAnsi="微软雅黑" w:eastAsia="微软雅黑"/>
                <w:b w:val="0"/>
                <w:sz w:val="21"/>
              </w:rPr>
              <w:t>Var-MRR 从主线约 0.560/0.596 降到 0.2417。</w:t>
            </w:r>
          </w:p>
        </w:tc>
        <w:tc>
          <w:tcPr>
            <w:tcW w:w="2394" w:type="dxa"/>
            <w:tcMar>
              <w:top w:w="90" w:type="dxa"/>
              <w:left w:w="120" w:type="dxa"/>
              <w:bottom w:w="90" w:type="dxa"/>
              <w:right w:w="120" w:type="dxa"/>
            </w:tcMar>
            <w:vAlign w:val="center"/>
          </w:tcPr>
          <w:p w14:paraId="37B9473B">
            <w:pPr>
              <w:spacing w:after="0"/>
              <w:jc w:val="left"/>
            </w:pPr>
            <w:r>
              <w:rPr>
                <w:rFonts w:ascii="微软雅黑" w:hAnsi="微软雅黑" w:eastAsia="微软雅黑"/>
                <w:b w:val="0"/>
                <w:sz w:val="21"/>
              </w:rPr>
              <w:t>Var-MRR 降到 0.4429。</w:t>
            </w:r>
          </w:p>
        </w:tc>
        <w:tc>
          <w:tcPr>
            <w:tcW w:w="2394" w:type="dxa"/>
            <w:tcMar>
              <w:top w:w="90" w:type="dxa"/>
              <w:left w:w="120" w:type="dxa"/>
              <w:bottom w:w="90" w:type="dxa"/>
              <w:right w:w="120" w:type="dxa"/>
            </w:tcMar>
            <w:vAlign w:val="center"/>
          </w:tcPr>
          <w:p w14:paraId="3115F359">
            <w:pPr>
              <w:spacing w:after="0"/>
              <w:jc w:val="left"/>
            </w:pPr>
            <w:r>
              <w:rPr>
                <w:rFonts w:ascii="微软雅黑" w:hAnsi="微软雅黑" w:eastAsia="微软雅黑"/>
                <w:b w:val="0"/>
                <w:sz w:val="21"/>
              </w:rPr>
              <w:t>强支持 source/propagation 分解对变量级 RCA 重要。</w:t>
            </w:r>
          </w:p>
        </w:tc>
      </w:tr>
      <w:tr w14:paraId="553C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6FF9D0C9">
            <w:pPr>
              <w:spacing w:after="0"/>
              <w:jc w:val="left"/>
            </w:pPr>
            <w:r>
              <w:rPr>
                <w:rFonts w:ascii="微软雅黑" w:hAnsi="微软雅黑" w:eastAsia="微软雅黑"/>
                <w:b w:val="0"/>
                <w:sz w:val="21"/>
              </w:rPr>
              <w:t>no source gate</w:t>
            </w:r>
          </w:p>
        </w:tc>
        <w:tc>
          <w:tcPr>
            <w:tcW w:w="2394" w:type="dxa"/>
            <w:tcMar>
              <w:top w:w="90" w:type="dxa"/>
              <w:left w:w="120" w:type="dxa"/>
              <w:bottom w:w="90" w:type="dxa"/>
              <w:right w:w="120" w:type="dxa"/>
            </w:tcMar>
            <w:vAlign w:val="center"/>
          </w:tcPr>
          <w:p w14:paraId="6E67D097">
            <w:pPr>
              <w:spacing w:after="0"/>
              <w:jc w:val="left"/>
            </w:pPr>
            <w:r>
              <w:rPr>
                <w:rFonts w:ascii="微软雅黑" w:hAnsi="微软雅黑" w:eastAsia="微软雅黑"/>
                <w:b w:val="0"/>
                <w:sz w:val="21"/>
              </w:rPr>
              <w:t>Var-MRR 降到 0.4447。</w:t>
            </w:r>
          </w:p>
        </w:tc>
        <w:tc>
          <w:tcPr>
            <w:tcW w:w="2394" w:type="dxa"/>
            <w:tcMar>
              <w:top w:w="90" w:type="dxa"/>
              <w:left w:w="120" w:type="dxa"/>
              <w:bottom w:w="90" w:type="dxa"/>
              <w:right w:w="120" w:type="dxa"/>
            </w:tcMar>
            <w:vAlign w:val="center"/>
          </w:tcPr>
          <w:p w14:paraId="4EDA1539">
            <w:pPr>
              <w:spacing w:after="0"/>
              <w:jc w:val="left"/>
            </w:pPr>
            <w:r>
              <w:rPr>
                <w:rFonts w:ascii="微软雅黑" w:hAnsi="微软雅黑" w:eastAsia="微软雅黑"/>
                <w:b w:val="0"/>
                <w:sz w:val="21"/>
              </w:rPr>
              <w:t>Var-MRR 降到 0.4815。</w:t>
            </w:r>
          </w:p>
        </w:tc>
        <w:tc>
          <w:tcPr>
            <w:tcW w:w="2394" w:type="dxa"/>
            <w:tcMar>
              <w:top w:w="90" w:type="dxa"/>
              <w:left w:w="120" w:type="dxa"/>
              <w:bottom w:w="90" w:type="dxa"/>
              <w:right w:w="120" w:type="dxa"/>
            </w:tcMar>
            <w:vAlign w:val="center"/>
          </w:tcPr>
          <w:p w14:paraId="6F711726">
            <w:pPr>
              <w:spacing w:after="0"/>
              <w:jc w:val="left"/>
            </w:pPr>
            <w:r>
              <w:rPr>
                <w:rFonts w:ascii="微软雅黑" w:hAnsi="微软雅黑" w:eastAsia="微软雅黑"/>
                <w:b w:val="0"/>
                <w:sz w:val="21"/>
              </w:rPr>
              <w:t>支持 源门控不是只做展示，对排序有贡献。</w:t>
            </w:r>
          </w:p>
        </w:tc>
      </w:tr>
      <w:tr w14:paraId="4A6A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487B188D">
            <w:pPr>
              <w:spacing w:after="0"/>
              <w:jc w:val="left"/>
            </w:pPr>
            <w:r>
              <w:rPr>
                <w:rFonts w:ascii="微软雅黑" w:hAnsi="微软雅黑" w:eastAsia="微软雅黑"/>
                <w:b w:val="0"/>
                <w:sz w:val="21"/>
              </w:rPr>
              <w:t>no source bottleneck</w:t>
            </w:r>
          </w:p>
        </w:tc>
        <w:tc>
          <w:tcPr>
            <w:tcW w:w="2394" w:type="dxa"/>
            <w:tcMar>
              <w:top w:w="90" w:type="dxa"/>
              <w:left w:w="120" w:type="dxa"/>
              <w:bottom w:w="90" w:type="dxa"/>
              <w:right w:w="120" w:type="dxa"/>
            </w:tcMar>
            <w:vAlign w:val="center"/>
          </w:tcPr>
          <w:p w14:paraId="1F1E8C24">
            <w:pPr>
              <w:spacing w:after="0"/>
              <w:jc w:val="left"/>
            </w:pPr>
            <w:r>
              <w:rPr>
                <w:rFonts w:ascii="微软雅黑" w:hAnsi="微软雅黑" w:eastAsia="微软雅黑"/>
                <w:b w:val="0"/>
                <w:sz w:val="21"/>
              </w:rPr>
              <w:t>Var-MRR 降到 0.4426。</w:t>
            </w:r>
          </w:p>
        </w:tc>
        <w:tc>
          <w:tcPr>
            <w:tcW w:w="2394" w:type="dxa"/>
            <w:tcMar>
              <w:top w:w="90" w:type="dxa"/>
              <w:left w:w="120" w:type="dxa"/>
              <w:bottom w:w="90" w:type="dxa"/>
              <w:right w:w="120" w:type="dxa"/>
            </w:tcMar>
            <w:vAlign w:val="center"/>
          </w:tcPr>
          <w:p w14:paraId="135DA806">
            <w:pPr>
              <w:spacing w:after="0"/>
              <w:jc w:val="left"/>
            </w:pPr>
            <w:r>
              <w:rPr>
                <w:rFonts w:ascii="微软雅黑" w:hAnsi="微软雅黑" w:eastAsia="微软雅黑"/>
                <w:b w:val="0"/>
                <w:sz w:val="21"/>
              </w:rPr>
              <w:t>接近主线，0.4956。</w:t>
            </w:r>
          </w:p>
        </w:tc>
        <w:tc>
          <w:tcPr>
            <w:tcW w:w="2394" w:type="dxa"/>
            <w:tcMar>
              <w:top w:w="90" w:type="dxa"/>
              <w:left w:w="120" w:type="dxa"/>
              <w:bottom w:w="90" w:type="dxa"/>
              <w:right w:w="120" w:type="dxa"/>
            </w:tcMar>
            <w:vAlign w:val="center"/>
          </w:tcPr>
          <w:p w14:paraId="10CB31AA">
            <w:pPr>
              <w:spacing w:after="0"/>
              <w:jc w:val="left"/>
            </w:pPr>
            <w:r>
              <w:rPr>
                <w:rFonts w:ascii="微软雅黑" w:hAnsi="微软雅黑" w:eastAsia="微软雅黑"/>
                <w:b w:val="0"/>
                <w:sz w:val="21"/>
              </w:rPr>
              <w:t>部分支持 WADI 明显，SWaT 不明显。</w:t>
            </w:r>
          </w:p>
        </w:tc>
      </w:tr>
      <w:tr w14:paraId="6445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7CF9DCCD">
            <w:pPr>
              <w:spacing w:after="0"/>
              <w:jc w:val="left"/>
            </w:pPr>
            <w:r>
              <w:rPr>
                <w:rFonts w:ascii="微软雅黑" w:hAnsi="微软雅黑" w:eastAsia="微软雅黑"/>
                <w:b w:val="0"/>
                <w:sz w:val="21"/>
              </w:rPr>
              <w:t>no mechanism</w:t>
            </w:r>
          </w:p>
        </w:tc>
        <w:tc>
          <w:tcPr>
            <w:tcW w:w="2394" w:type="dxa"/>
            <w:tcMar>
              <w:top w:w="90" w:type="dxa"/>
              <w:left w:w="120" w:type="dxa"/>
              <w:bottom w:w="90" w:type="dxa"/>
              <w:right w:w="120" w:type="dxa"/>
            </w:tcMar>
            <w:vAlign w:val="center"/>
          </w:tcPr>
          <w:p w14:paraId="32861CC6">
            <w:pPr>
              <w:spacing w:after="0"/>
              <w:jc w:val="left"/>
            </w:pPr>
            <w:r>
              <w:rPr>
                <w:rFonts w:ascii="微软雅黑" w:hAnsi="微软雅黑" w:eastAsia="微软雅黑"/>
                <w:b w:val="0"/>
                <w:sz w:val="21"/>
              </w:rPr>
              <w:t>WADI 降到约 0.4575/0.4680。</w:t>
            </w:r>
          </w:p>
        </w:tc>
        <w:tc>
          <w:tcPr>
            <w:tcW w:w="2394" w:type="dxa"/>
            <w:tcMar>
              <w:top w:w="90" w:type="dxa"/>
              <w:left w:w="120" w:type="dxa"/>
              <w:bottom w:w="90" w:type="dxa"/>
              <w:right w:w="120" w:type="dxa"/>
            </w:tcMar>
            <w:vAlign w:val="center"/>
          </w:tcPr>
          <w:p w14:paraId="1886AD18">
            <w:pPr>
              <w:spacing w:after="0"/>
              <w:jc w:val="left"/>
            </w:pPr>
            <w:r>
              <w:rPr>
                <w:rFonts w:ascii="微软雅黑" w:hAnsi="微软雅黑" w:eastAsia="微软雅黑"/>
                <w:b w:val="0"/>
                <w:sz w:val="21"/>
              </w:rPr>
              <w:t>SWaT 反而高于主线，0.5547 或 proof 0.5421。</w:t>
            </w:r>
          </w:p>
        </w:tc>
        <w:tc>
          <w:tcPr>
            <w:tcW w:w="2394" w:type="dxa"/>
            <w:tcMar>
              <w:top w:w="90" w:type="dxa"/>
              <w:left w:w="120" w:type="dxa"/>
              <w:bottom w:w="90" w:type="dxa"/>
              <w:right w:w="120" w:type="dxa"/>
            </w:tcMar>
            <w:vAlign w:val="center"/>
          </w:tcPr>
          <w:p w14:paraId="48C7B5A1">
            <w:pPr>
              <w:spacing w:after="0"/>
              <w:jc w:val="left"/>
            </w:pPr>
            <w:r>
              <w:rPr>
                <w:rFonts w:ascii="微软雅黑" w:hAnsi="微软雅黑" w:eastAsia="微软雅黑"/>
                <w:b w:val="0"/>
                <w:sz w:val="21"/>
              </w:rPr>
              <w:t>主要风险 机制分量对 WADI 有用，但 SWaT 上可能伤害排序。</w:t>
            </w:r>
          </w:p>
        </w:tc>
      </w:tr>
      <w:tr w14:paraId="093C1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42233860">
            <w:pPr>
              <w:spacing w:after="0"/>
              <w:jc w:val="left"/>
            </w:pPr>
            <w:r>
              <w:rPr>
                <w:rFonts w:ascii="微软雅黑" w:hAnsi="微软雅黑" w:eastAsia="微软雅黑"/>
                <w:b w:val="0"/>
                <w:sz w:val="21"/>
              </w:rPr>
              <w:t>source-preserving fusion</w:t>
            </w:r>
          </w:p>
        </w:tc>
        <w:tc>
          <w:tcPr>
            <w:tcW w:w="2394" w:type="dxa"/>
            <w:tcMar>
              <w:top w:w="90" w:type="dxa"/>
              <w:left w:w="120" w:type="dxa"/>
              <w:bottom w:w="90" w:type="dxa"/>
              <w:right w:w="120" w:type="dxa"/>
            </w:tcMar>
            <w:vAlign w:val="center"/>
          </w:tcPr>
          <w:p w14:paraId="2CF46481">
            <w:pPr>
              <w:spacing w:after="0"/>
              <w:jc w:val="left"/>
            </w:pPr>
            <w:r>
              <w:rPr>
                <w:rFonts w:ascii="微软雅黑" w:hAnsi="微软雅黑" w:eastAsia="微软雅黑"/>
                <w:b w:val="0"/>
                <w:sz w:val="21"/>
              </w:rPr>
              <w:t>WADI e15 接近主线，0.5871。</w:t>
            </w:r>
          </w:p>
        </w:tc>
        <w:tc>
          <w:tcPr>
            <w:tcW w:w="2394" w:type="dxa"/>
            <w:tcMar>
              <w:top w:w="90" w:type="dxa"/>
              <w:left w:w="120" w:type="dxa"/>
              <w:bottom w:w="90" w:type="dxa"/>
              <w:right w:w="120" w:type="dxa"/>
            </w:tcMar>
            <w:vAlign w:val="center"/>
          </w:tcPr>
          <w:p w14:paraId="3E7F57C0">
            <w:pPr>
              <w:spacing w:after="0"/>
              <w:jc w:val="left"/>
            </w:pPr>
            <w:r>
              <w:rPr>
                <w:rFonts w:ascii="微软雅黑" w:hAnsi="微软雅黑" w:eastAsia="微软雅黑"/>
                <w:b w:val="0"/>
                <w:sz w:val="21"/>
              </w:rPr>
              <w:t>SWaT e8 到 0.5130，略高于主线 e8。</w:t>
            </w:r>
          </w:p>
        </w:tc>
        <w:tc>
          <w:tcPr>
            <w:tcW w:w="2394" w:type="dxa"/>
            <w:tcMar>
              <w:top w:w="90" w:type="dxa"/>
              <w:left w:w="120" w:type="dxa"/>
              <w:bottom w:w="90" w:type="dxa"/>
              <w:right w:w="120" w:type="dxa"/>
            </w:tcMar>
            <w:vAlign w:val="center"/>
          </w:tcPr>
          <w:p w14:paraId="10E673DA">
            <w:pPr>
              <w:spacing w:after="0"/>
              <w:jc w:val="left"/>
            </w:pPr>
            <w:r>
              <w:rPr>
                <w:rFonts w:ascii="微软雅黑" w:hAnsi="微软雅黑" w:eastAsia="微软雅黑"/>
                <w:b w:val="0"/>
                <w:sz w:val="21"/>
              </w:rPr>
              <w:t>候选 有潜力，但不是压倒性提升。</w:t>
            </w:r>
          </w:p>
        </w:tc>
      </w:tr>
      <w:tr w14:paraId="43B3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4" w:type="dxa"/>
            <w:tcMar>
              <w:top w:w="90" w:type="dxa"/>
              <w:left w:w="120" w:type="dxa"/>
              <w:bottom w:w="90" w:type="dxa"/>
              <w:right w:w="120" w:type="dxa"/>
            </w:tcMar>
            <w:vAlign w:val="center"/>
          </w:tcPr>
          <w:p w14:paraId="68FFAE92">
            <w:pPr>
              <w:spacing w:after="0"/>
              <w:jc w:val="left"/>
            </w:pPr>
            <w:r>
              <w:rPr>
                <w:rFonts w:ascii="微软雅黑" w:hAnsi="微软雅黑" w:eastAsia="微软雅黑"/>
                <w:b w:val="0"/>
                <w:sz w:val="21"/>
              </w:rPr>
              <w:t>mechanism-prior-graph</w:t>
            </w:r>
          </w:p>
        </w:tc>
        <w:tc>
          <w:tcPr>
            <w:tcW w:w="2394" w:type="dxa"/>
            <w:tcMar>
              <w:top w:w="90" w:type="dxa"/>
              <w:left w:w="120" w:type="dxa"/>
              <w:bottom w:w="90" w:type="dxa"/>
              <w:right w:w="120" w:type="dxa"/>
            </w:tcMar>
            <w:vAlign w:val="center"/>
          </w:tcPr>
          <w:p w14:paraId="0D388841">
            <w:pPr>
              <w:spacing w:after="0"/>
              <w:jc w:val="left"/>
            </w:pPr>
            <w:r>
              <w:rPr>
                <w:rFonts w:ascii="微软雅黑" w:hAnsi="微软雅黑" w:eastAsia="微软雅黑"/>
                <w:b w:val="0"/>
                <w:sz w:val="21"/>
              </w:rPr>
              <w:t>早期主要用于图边 faithfulness。</w:t>
            </w:r>
          </w:p>
        </w:tc>
        <w:tc>
          <w:tcPr>
            <w:tcW w:w="2394" w:type="dxa"/>
            <w:tcMar>
              <w:top w:w="90" w:type="dxa"/>
              <w:left w:w="120" w:type="dxa"/>
              <w:bottom w:w="90" w:type="dxa"/>
              <w:right w:w="120" w:type="dxa"/>
            </w:tcMar>
            <w:vAlign w:val="center"/>
          </w:tcPr>
          <w:p w14:paraId="0335F35E">
            <w:pPr>
              <w:spacing w:after="0"/>
              <w:jc w:val="left"/>
            </w:pPr>
            <w:r>
              <w:rPr>
                <w:rFonts w:ascii="微软雅黑" w:hAnsi="微软雅黑" w:eastAsia="微软雅黑"/>
                <w:b w:val="0"/>
                <w:sz w:val="21"/>
              </w:rPr>
              <w:t>检测/RCA 基本持平。</w:t>
            </w:r>
          </w:p>
        </w:tc>
        <w:tc>
          <w:tcPr>
            <w:tcW w:w="2394" w:type="dxa"/>
            <w:tcMar>
              <w:top w:w="90" w:type="dxa"/>
              <w:left w:w="120" w:type="dxa"/>
              <w:bottom w:w="90" w:type="dxa"/>
              <w:right w:w="120" w:type="dxa"/>
            </w:tcMar>
            <w:vAlign w:val="center"/>
          </w:tcPr>
          <w:p w14:paraId="62CAC064">
            <w:pPr>
              <w:spacing w:after="0"/>
              <w:jc w:val="left"/>
            </w:pPr>
            <w:r>
              <w:rPr>
                <w:rFonts w:ascii="微软雅黑" w:hAnsi="微软雅黑" w:eastAsia="微软雅黑"/>
                <w:b w:val="0"/>
                <w:sz w:val="21"/>
              </w:rPr>
              <w:t>解释候选 价值在 learned-edge faithfulness，而非检测提升。</w:t>
            </w:r>
          </w:p>
        </w:tc>
      </w:tr>
    </w:tbl>
    <w:p w14:paraId="2E6E95DD"/>
    <w:p w14:paraId="67C213E3">
      <w:pPr>
        <w:pStyle w:val="4"/>
        <w:spacing w:before="160" w:after="120"/>
      </w:pPr>
      <w:r>
        <w:rPr>
          <w:rFonts w:ascii="微软雅黑" w:hAnsi="微软雅黑" w:eastAsia="微软雅黑"/>
          <w:b/>
          <w:color w:val="2E5E8D"/>
          <w:sz w:val="32"/>
        </w:rPr>
        <w:t>7.4 子系统级 RCA：好看但不是主贡献</w:t>
      </w:r>
    </w:p>
    <w:p w14:paraId="70B1BF67">
      <w:pPr>
        <w:spacing w:after="120" w:line="283" w:lineRule="auto"/>
      </w:pPr>
      <w:r>
        <w:rPr>
          <w:rFonts w:ascii="微软雅黑" w:hAnsi="微软雅黑" w:eastAsia="微软雅黑"/>
          <w:sz w:val="25"/>
        </w:rPr>
        <w:br w:type="textWrapping"/>
      </w:r>
      <w:r>
        <w:rPr>
          <w:rFonts w:ascii="微软雅黑" w:hAnsi="微软雅黑" w:eastAsia="微软雅黑"/>
          <w:sz w:val="25"/>
        </w:rPr>
        <w:t xml:space="preserve">      子系统级结果整体较好，例如 SWaT 主线 Subsys-MRR 可到 0.8102 左右，WADI 约 0.79。</w:t>
      </w:r>
      <w:r>
        <w:rPr>
          <w:rFonts w:ascii="微软雅黑" w:hAnsi="微软雅黑" w:eastAsia="微软雅黑"/>
          <w:sz w:val="25"/>
        </w:rPr>
        <w:br w:type="textWrapping"/>
      </w:r>
      <w:r>
        <w:rPr>
          <w:rFonts w:ascii="微软雅黑" w:hAnsi="微软雅黑" w:eastAsia="微软雅黑"/>
          <w:sz w:val="25"/>
        </w:rPr>
        <w:t xml:space="preserve">      但 WADI 的 z-score 子系统 MRR 已达到 0.7679，说明粗粒度定位并不难。</w:t>
      </w:r>
      <w:r>
        <w:rPr>
          <w:rFonts w:ascii="微软雅黑" w:hAnsi="微软雅黑" w:eastAsia="微软雅黑"/>
          <w:sz w:val="25"/>
        </w:rPr>
        <w:br w:type="textWrapping"/>
      </w:r>
      <w:r>
        <w:rPr>
          <w:rFonts w:ascii="微软雅黑" w:hAnsi="微软雅黑" w:eastAsia="微软雅黑"/>
          <w:sz w:val="25"/>
        </w:rPr>
        <w:t xml:space="preserve">      因此子系统级结果适合作为“层级诊断”辅助证据，不应替代变量级 RCA 主表。</w:t>
      </w:r>
      <w:r>
        <w:rPr>
          <w:rFonts w:ascii="微软雅黑" w:hAnsi="微软雅黑" w:eastAsia="微软雅黑"/>
          <w:sz w:val="25"/>
        </w:rPr>
        <w:br w:type="textWrapping"/>
      </w:r>
      <w:r>
        <w:rPr>
          <w:rFonts w:ascii="微软雅黑" w:hAnsi="微软雅黑" w:eastAsia="微软雅黑"/>
          <w:sz w:val="25"/>
        </w:rPr>
        <w:t xml:space="preserve">    </w:t>
      </w:r>
    </w:p>
    <w:p w14:paraId="568742D0">
      <w:pPr>
        <w:pStyle w:val="3"/>
        <w:spacing w:before="240" w:after="120"/>
      </w:pPr>
      <w:r>
        <w:rPr>
          <w:rFonts w:ascii="微软雅黑" w:hAnsi="微软雅黑" w:eastAsia="微软雅黑"/>
          <w:b/>
          <w:color w:val="1F4D78"/>
          <w:sz w:val="40"/>
        </w:rPr>
        <w:t>8. 不足</w:t>
      </w:r>
      <w:bookmarkStart w:id="0" w:name="_GoBack"/>
      <w:bookmarkEnd w:id="0"/>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5"/>
        <w:gridCol w:w="4355"/>
        <w:gridCol w:w="2620"/>
      </w:tblGrid>
      <w:tr w14:paraId="7DF7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shd w:val="clear" w:color="auto" w:fill="F2F4F7"/>
            <w:tcMar>
              <w:top w:w="90" w:type="dxa"/>
              <w:left w:w="120" w:type="dxa"/>
              <w:bottom w:w="90" w:type="dxa"/>
              <w:right w:w="120" w:type="dxa"/>
            </w:tcMar>
            <w:vAlign w:val="center"/>
          </w:tcPr>
          <w:p w14:paraId="68744CF5">
            <w:pPr>
              <w:spacing w:after="0"/>
              <w:jc w:val="left"/>
            </w:pPr>
            <w:r>
              <w:rPr>
                <w:rFonts w:ascii="微软雅黑" w:hAnsi="微软雅黑" w:eastAsia="微软雅黑"/>
                <w:b/>
                <w:sz w:val="21"/>
              </w:rPr>
              <w:t>风险</w:t>
            </w:r>
          </w:p>
        </w:tc>
        <w:tc>
          <w:tcPr>
            <w:tcW w:w="3192" w:type="dxa"/>
            <w:shd w:val="clear" w:color="auto" w:fill="F2F4F7"/>
            <w:tcMar>
              <w:top w:w="90" w:type="dxa"/>
              <w:left w:w="120" w:type="dxa"/>
              <w:bottom w:w="90" w:type="dxa"/>
              <w:right w:w="120" w:type="dxa"/>
            </w:tcMar>
            <w:vAlign w:val="center"/>
          </w:tcPr>
          <w:p w14:paraId="6FCAA963">
            <w:pPr>
              <w:spacing w:after="0"/>
              <w:jc w:val="left"/>
            </w:pPr>
            <w:r>
              <w:rPr>
                <w:rFonts w:ascii="微软雅黑" w:hAnsi="微软雅黑" w:eastAsia="微软雅黑"/>
                <w:b/>
                <w:sz w:val="21"/>
              </w:rPr>
              <w:t>当前状态</w:t>
            </w:r>
          </w:p>
        </w:tc>
        <w:tc>
          <w:tcPr>
            <w:tcW w:w="3192" w:type="dxa"/>
            <w:shd w:val="clear" w:color="auto" w:fill="F2F4F7"/>
            <w:tcMar>
              <w:top w:w="90" w:type="dxa"/>
              <w:left w:w="120" w:type="dxa"/>
              <w:bottom w:w="90" w:type="dxa"/>
              <w:right w:w="120" w:type="dxa"/>
            </w:tcMar>
            <w:vAlign w:val="center"/>
          </w:tcPr>
          <w:p w14:paraId="76A34FD0">
            <w:pPr>
              <w:spacing w:after="0"/>
              <w:jc w:val="left"/>
            </w:pPr>
            <w:r>
              <w:rPr>
                <w:rFonts w:ascii="微软雅黑" w:hAnsi="微软雅黑" w:eastAsia="微软雅黑"/>
                <w:b/>
                <w:sz w:val="21"/>
              </w:rPr>
              <w:t>导师讨论要点/应对策略</w:t>
            </w:r>
          </w:p>
        </w:tc>
      </w:tr>
      <w:tr w14:paraId="5B1B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41E95EEC">
            <w:pPr>
              <w:spacing w:after="0"/>
              <w:jc w:val="left"/>
            </w:pPr>
            <w:r>
              <w:rPr>
                <w:rFonts w:ascii="微软雅黑" w:hAnsi="微软雅黑" w:eastAsia="微软雅黑"/>
                <w:b w:val="0"/>
                <w:sz w:val="21"/>
              </w:rPr>
              <w:t>检测不是 SOTA</w:t>
            </w:r>
          </w:p>
        </w:tc>
        <w:tc>
          <w:tcPr>
            <w:tcW w:w="3192" w:type="dxa"/>
            <w:tcMar>
              <w:top w:w="90" w:type="dxa"/>
              <w:left w:w="120" w:type="dxa"/>
              <w:bottom w:w="90" w:type="dxa"/>
              <w:right w:w="120" w:type="dxa"/>
            </w:tcMar>
            <w:vAlign w:val="center"/>
          </w:tcPr>
          <w:p w14:paraId="751C15C3">
            <w:pPr>
              <w:spacing w:after="0"/>
              <w:jc w:val="left"/>
            </w:pPr>
            <w:r>
              <w:rPr>
                <w:rFonts w:ascii="微软雅黑" w:hAnsi="微软雅黑" w:eastAsia="微软雅黑"/>
                <w:b w:val="0"/>
                <w:sz w:val="21"/>
              </w:rPr>
              <w:t>WADI/SWaT raw F1 明显弱于常见检测论文；Affiliation F1 较可用。</w:t>
            </w:r>
          </w:p>
        </w:tc>
        <w:tc>
          <w:tcPr>
            <w:tcW w:w="3192" w:type="dxa"/>
            <w:tcMar>
              <w:top w:w="90" w:type="dxa"/>
              <w:left w:w="120" w:type="dxa"/>
              <w:bottom w:w="90" w:type="dxa"/>
              <w:right w:w="120" w:type="dxa"/>
            </w:tcMar>
            <w:vAlign w:val="center"/>
          </w:tcPr>
          <w:p w14:paraId="721F4552">
            <w:pPr>
              <w:spacing w:after="0"/>
              <w:jc w:val="left"/>
            </w:pPr>
            <w:r>
              <w:rPr>
                <w:rFonts w:ascii="微软雅黑" w:hAnsi="微软雅黑" w:eastAsia="微软雅黑"/>
                <w:b w:val="0"/>
                <w:sz w:val="21"/>
              </w:rPr>
              <w:t>论文定位为诊断/RCA，不与 GDN、TranAD 等正面比检测 SOTA；透明报告 raw 与 adjusted。</w:t>
            </w:r>
          </w:p>
        </w:tc>
      </w:tr>
      <w:tr w14:paraId="1F33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712B0AD6">
            <w:pPr>
              <w:spacing w:after="0"/>
              <w:jc w:val="left"/>
            </w:pPr>
            <w:r>
              <w:rPr>
                <w:rFonts w:ascii="微软雅黑" w:hAnsi="微软雅黑" w:eastAsia="微软雅黑"/>
                <w:b w:val="0"/>
                <w:sz w:val="21"/>
              </w:rPr>
              <w:t>机制分量不稳定</w:t>
            </w:r>
          </w:p>
        </w:tc>
        <w:tc>
          <w:tcPr>
            <w:tcW w:w="3192" w:type="dxa"/>
            <w:tcMar>
              <w:top w:w="90" w:type="dxa"/>
              <w:left w:w="120" w:type="dxa"/>
              <w:bottom w:w="90" w:type="dxa"/>
              <w:right w:w="120" w:type="dxa"/>
            </w:tcMar>
            <w:vAlign w:val="center"/>
          </w:tcPr>
          <w:p w14:paraId="33243D90">
            <w:pPr>
              <w:spacing w:after="0"/>
              <w:jc w:val="left"/>
            </w:pPr>
            <w:r>
              <w:rPr>
                <w:rFonts w:ascii="微软雅黑" w:hAnsi="微软雅黑" w:eastAsia="微软雅黑"/>
                <w:b w:val="0"/>
                <w:sz w:val="21"/>
              </w:rPr>
              <w:t>WADI 上 no mechanism 明显变差，但 SWaT 上 no mechanism 反而更好。</w:t>
            </w:r>
          </w:p>
        </w:tc>
        <w:tc>
          <w:tcPr>
            <w:tcW w:w="3192" w:type="dxa"/>
            <w:tcMar>
              <w:top w:w="90" w:type="dxa"/>
              <w:left w:w="120" w:type="dxa"/>
              <w:bottom w:w="90" w:type="dxa"/>
              <w:right w:w="120" w:type="dxa"/>
            </w:tcMar>
            <w:vAlign w:val="center"/>
          </w:tcPr>
          <w:p w14:paraId="37494907">
            <w:pPr>
              <w:spacing w:after="0"/>
              <w:jc w:val="left"/>
            </w:pPr>
            <w:r>
              <w:rPr>
                <w:rFonts w:ascii="微软雅黑" w:hAnsi="微软雅黑" w:eastAsia="微软雅黑"/>
                <w:b w:val="0"/>
                <w:sz w:val="21"/>
              </w:rPr>
              <w:t>机制证据不能写成普适提升；需要自适应机制强度或数据集条件分析。</w:t>
            </w:r>
          </w:p>
        </w:tc>
      </w:tr>
      <w:tr w14:paraId="3958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27CB3D85">
            <w:pPr>
              <w:spacing w:after="0"/>
              <w:jc w:val="left"/>
            </w:pPr>
            <w:r>
              <w:rPr>
                <w:rFonts w:ascii="微软雅黑" w:hAnsi="微软雅黑" w:eastAsia="微软雅黑"/>
                <w:b w:val="0"/>
                <w:sz w:val="21"/>
              </w:rPr>
              <w:t>不能声称因果发现</w:t>
            </w:r>
          </w:p>
        </w:tc>
        <w:tc>
          <w:tcPr>
            <w:tcW w:w="3192" w:type="dxa"/>
            <w:tcMar>
              <w:top w:w="90" w:type="dxa"/>
              <w:left w:w="120" w:type="dxa"/>
              <w:bottom w:w="90" w:type="dxa"/>
              <w:right w:w="120" w:type="dxa"/>
            </w:tcMar>
            <w:vAlign w:val="center"/>
          </w:tcPr>
          <w:p w14:paraId="7339EE07">
            <w:pPr>
              <w:spacing w:after="0"/>
              <w:jc w:val="left"/>
            </w:pPr>
            <w:r>
              <w:rPr>
                <w:rFonts w:ascii="微软雅黑" w:hAnsi="微软雅黑" w:eastAsia="微软雅黑"/>
                <w:b w:val="0"/>
                <w:sz w:val="21"/>
              </w:rPr>
              <w:t>当前通道图主要是依赖图/机制图，缺少严格干预或识别假设。</w:t>
            </w:r>
          </w:p>
        </w:tc>
        <w:tc>
          <w:tcPr>
            <w:tcW w:w="3192" w:type="dxa"/>
            <w:tcMar>
              <w:top w:w="90" w:type="dxa"/>
              <w:left w:w="120" w:type="dxa"/>
              <w:bottom w:w="90" w:type="dxa"/>
              <w:right w:w="120" w:type="dxa"/>
            </w:tcMar>
            <w:vAlign w:val="center"/>
          </w:tcPr>
          <w:p w14:paraId="3BD27777">
            <w:pPr>
              <w:spacing w:after="0"/>
              <w:jc w:val="left"/>
            </w:pPr>
            <w:r>
              <w:rPr>
                <w:rFonts w:ascii="微软雅黑" w:hAnsi="微软雅黑" w:eastAsia="微软雅黑"/>
                <w:b w:val="0"/>
                <w:sz w:val="21"/>
              </w:rPr>
              <w:t>用 “mechanism-aware”、 “causal-inspired”、 “graph-guided”，避免 “causal discovery”。</w:t>
            </w:r>
          </w:p>
        </w:tc>
      </w:tr>
      <w:tr w14:paraId="704A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092F7650">
            <w:pPr>
              <w:spacing w:after="0"/>
              <w:jc w:val="left"/>
            </w:pPr>
            <w:r>
              <w:rPr>
                <w:rFonts w:ascii="微软雅黑" w:hAnsi="微软雅黑" w:eastAsia="微软雅黑"/>
                <w:b w:val="0"/>
                <w:sz w:val="21"/>
              </w:rPr>
              <w:t>事件特异性可能像后处理校准</w:t>
            </w:r>
          </w:p>
        </w:tc>
        <w:tc>
          <w:tcPr>
            <w:tcW w:w="3192" w:type="dxa"/>
            <w:tcMar>
              <w:top w:w="90" w:type="dxa"/>
              <w:left w:w="120" w:type="dxa"/>
              <w:bottom w:w="90" w:type="dxa"/>
              <w:right w:w="120" w:type="dxa"/>
            </w:tcMar>
            <w:vAlign w:val="center"/>
          </w:tcPr>
          <w:p w14:paraId="668E9E16">
            <w:pPr>
              <w:spacing w:after="0"/>
              <w:jc w:val="left"/>
            </w:pPr>
            <w:r>
              <w:rPr>
                <w:rFonts w:ascii="微软雅黑" w:hAnsi="微软雅黑" w:eastAsia="微软雅黑"/>
                <w:b w:val="0"/>
                <w:sz w:val="21"/>
              </w:rPr>
              <w:t>specificity 对 WADI 有提升，但属于导出阶段约束。</w:t>
            </w:r>
          </w:p>
        </w:tc>
        <w:tc>
          <w:tcPr>
            <w:tcW w:w="3192" w:type="dxa"/>
            <w:tcMar>
              <w:top w:w="90" w:type="dxa"/>
              <w:left w:w="120" w:type="dxa"/>
              <w:bottom w:w="90" w:type="dxa"/>
              <w:right w:w="120" w:type="dxa"/>
            </w:tcMar>
            <w:vAlign w:val="center"/>
          </w:tcPr>
          <w:p w14:paraId="3A188DF0">
            <w:pPr>
              <w:spacing w:after="0"/>
              <w:jc w:val="left"/>
            </w:pPr>
            <w:r>
              <w:rPr>
                <w:rFonts w:ascii="微软雅黑" w:hAnsi="微软雅黑" w:eastAsia="微软雅黑"/>
                <w:b w:val="0"/>
                <w:sz w:val="21"/>
              </w:rPr>
              <w:t>补 no-specificity、在线历史事件版本、seed 稳定性，说明没有用标签调单事件。</w:t>
            </w:r>
          </w:p>
        </w:tc>
      </w:tr>
      <w:tr w14:paraId="211F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4D9B12DC">
            <w:pPr>
              <w:spacing w:after="0"/>
              <w:jc w:val="left"/>
            </w:pPr>
            <w:r>
              <w:rPr>
                <w:rFonts w:ascii="微软雅黑" w:hAnsi="微软雅黑" w:eastAsia="微软雅黑"/>
                <w:b w:val="0"/>
                <w:sz w:val="21"/>
              </w:rPr>
              <w:t>外部强 RCA baseline 未统一复现</w:t>
            </w:r>
          </w:p>
        </w:tc>
        <w:tc>
          <w:tcPr>
            <w:tcW w:w="3192" w:type="dxa"/>
            <w:tcMar>
              <w:top w:w="90" w:type="dxa"/>
              <w:left w:w="120" w:type="dxa"/>
              <w:bottom w:w="90" w:type="dxa"/>
              <w:right w:w="120" w:type="dxa"/>
            </w:tcMar>
            <w:vAlign w:val="center"/>
          </w:tcPr>
          <w:p w14:paraId="23042429">
            <w:pPr>
              <w:spacing w:after="0"/>
              <w:jc w:val="left"/>
            </w:pPr>
            <w:r>
              <w:rPr>
                <w:rFonts w:ascii="微软雅黑" w:hAnsi="微软雅黑" w:eastAsia="微软雅黑"/>
                <w:b w:val="0"/>
                <w:sz w:val="21"/>
              </w:rPr>
              <w:t>AERCA/CIRCA/REASON/CORAL/LEMMA-RCA 等主要是背景对齐。</w:t>
            </w:r>
          </w:p>
        </w:tc>
        <w:tc>
          <w:tcPr>
            <w:tcW w:w="3192" w:type="dxa"/>
            <w:tcMar>
              <w:top w:w="90" w:type="dxa"/>
              <w:left w:w="120" w:type="dxa"/>
              <w:bottom w:w="90" w:type="dxa"/>
              <w:right w:w="120" w:type="dxa"/>
            </w:tcMar>
            <w:vAlign w:val="center"/>
          </w:tcPr>
          <w:p w14:paraId="1F178BE1">
            <w:pPr>
              <w:spacing w:after="0"/>
              <w:jc w:val="left"/>
            </w:pPr>
            <w:r>
              <w:rPr>
                <w:rFonts w:ascii="微软雅黑" w:hAnsi="微软雅黑" w:eastAsia="微软雅黑"/>
                <w:b w:val="0"/>
                <w:sz w:val="21"/>
              </w:rPr>
              <w:t>正式投稿前至少复现 1-2 个强 RCA baseline 到本文 predicted-event 协议。</w:t>
            </w:r>
          </w:p>
        </w:tc>
      </w:tr>
      <w:tr w14:paraId="03FE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7CCDC294">
            <w:pPr>
              <w:spacing w:after="0"/>
              <w:jc w:val="left"/>
            </w:pPr>
            <w:r>
              <w:rPr>
                <w:rFonts w:ascii="微软雅黑" w:hAnsi="微软雅黑" w:eastAsia="微软雅黑"/>
                <w:b w:val="0"/>
                <w:sz w:val="21"/>
              </w:rPr>
              <w:t>seed 稳定性不足</w:t>
            </w:r>
          </w:p>
        </w:tc>
        <w:tc>
          <w:tcPr>
            <w:tcW w:w="3192" w:type="dxa"/>
            <w:tcMar>
              <w:top w:w="90" w:type="dxa"/>
              <w:left w:w="120" w:type="dxa"/>
              <w:bottom w:w="90" w:type="dxa"/>
              <w:right w:w="120" w:type="dxa"/>
            </w:tcMar>
            <w:vAlign w:val="center"/>
          </w:tcPr>
          <w:p w14:paraId="3A201775">
            <w:pPr>
              <w:spacing w:after="0"/>
              <w:jc w:val="left"/>
            </w:pPr>
            <w:r>
              <w:rPr>
                <w:rFonts w:ascii="微软雅黑" w:hAnsi="微软雅黑" w:eastAsia="微软雅黑"/>
                <w:b w:val="0"/>
                <w:sz w:val="21"/>
              </w:rPr>
              <w:t>当前大量结果是单 seed 或少量筛选实验。</w:t>
            </w:r>
          </w:p>
        </w:tc>
        <w:tc>
          <w:tcPr>
            <w:tcW w:w="3192" w:type="dxa"/>
            <w:tcMar>
              <w:top w:w="90" w:type="dxa"/>
              <w:left w:w="120" w:type="dxa"/>
              <w:bottom w:w="90" w:type="dxa"/>
              <w:right w:w="120" w:type="dxa"/>
            </w:tcMar>
            <w:vAlign w:val="center"/>
          </w:tcPr>
          <w:p w14:paraId="288C03E6">
            <w:pPr>
              <w:spacing w:after="0"/>
              <w:jc w:val="left"/>
            </w:pPr>
            <w:r>
              <w:rPr>
                <w:rFonts w:ascii="微软雅黑" w:hAnsi="微软雅黑" w:eastAsia="微软雅黑"/>
                <w:b w:val="0"/>
                <w:sz w:val="21"/>
              </w:rPr>
              <w:t>需要 3-5 seed 均值、标准差、bootstrap CI 或 paired test。</w:t>
            </w:r>
          </w:p>
        </w:tc>
      </w:tr>
      <w:tr w14:paraId="5724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227EE718">
            <w:pPr>
              <w:spacing w:after="0"/>
              <w:jc w:val="left"/>
            </w:pPr>
            <w:r>
              <w:rPr>
                <w:rFonts w:ascii="微软雅黑" w:hAnsi="微软雅黑" w:eastAsia="微软雅黑"/>
                <w:b w:val="0"/>
                <w:sz w:val="21"/>
              </w:rPr>
              <w:t>标签粒度不一致</w:t>
            </w:r>
          </w:p>
        </w:tc>
        <w:tc>
          <w:tcPr>
            <w:tcW w:w="3192" w:type="dxa"/>
            <w:tcMar>
              <w:top w:w="90" w:type="dxa"/>
              <w:left w:w="120" w:type="dxa"/>
              <w:bottom w:w="90" w:type="dxa"/>
              <w:right w:w="120" w:type="dxa"/>
            </w:tcMar>
            <w:vAlign w:val="center"/>
          </w:tcPr>
          <w:p w14:paraId="277C7B23">
            <w:pPr>
              <w:spacing w:after="0"/>
              <w:jc w:val="left"/>
            </w:pPr>
            <w:r>
              <w:rPr>
                <w:rFonts w:ascii="微软雅黑" w:hAnsi="微软雅黑" w:eastAsia="微软雅黑"/>
                <w:b w:val="0"/>
                <w:sz w:val="21"/>
              </w:rPr>
              <w:t>WADI/SWaT 可做变量级，HAI 主要是子系统级。</w:t>
            </w:r>
          </w:p>
        </w:tc>
        <w:tc>
          <w:tcPr>
            <w:tcW w:w="3192" w:type="dxa"/>
            <w:tcMar>
              <w:top w:w="90" w:type="dxa"/>
              <w:left w:w="120" w:type="dxa"/>
              <w:bottom w:w="90" w:type="dxa"/>
              <w:right w:w="120" w:type="dxa"/>
            </w:tcMar>
            <w:vAlign w:val="center"/>
          </w:tcPr>
          <w:p w14:paraId="4C6FF171">
            <w:pPr>
              <w:spacing w:after="0"/>
              <w:jc w:val="left"/>
            </w:pPr>
            <w:r>
              <w:rPr>
                <w:rFonts w:ascii="微软雅黑" w:hAnsi="微软雅黑" w:eastAsia="微软雅黑"/>
                <w:b w:val="0"/>
                <w:sz w:val="21"/>
              </w:rPr>
              <w:t>主表只放 WADI/SWaT 变量级；HAI 作为粗粒度/faithfulness 补充。</w:t>
            </w:r>
          </w:p>
        </w:tc>
      </w:tr>
      <w:tr w14:paraId="5B12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tcMar>
              <w:top w:w="90" w:type="dxa"/>
              <w:left w:w="120" w:type="dxa"/>
              <w:bottom w:w="90" w:type="dxa"/>
              <w:right w:w="120" w:type="dxa"/>
            </w:tcMar>
            <w:vAlign w:val="center"/>
          </w:tcPr>
          <w:p w14:paraId="0F5C0F16">
            <w:pPr>
              <w:spacing w:after="0"/>
              <w:jc w:val="left"/>
            </w:pPr>
            <w:r>
              <w:rPr>
                <w:rFonts w:ascii="微软雅黑" w:hAnsi="微软雅黑" w:eastAsia="微软雅黑"/>
                <w:b w:val="0"/>
                <w:sz w:val="21"/>
              </w:rPr>
              <w:t>系统开关过多，像模块堆叠</w:t>
            </w:r>
          </w:p>
        </w:tc>
        <w:tc>
          <w:tcPr>
            <w:tcW w:w="3192" w:type="dxa"/>
            <w:tcMar>
              <w:top w:w="90" w:type="dxa"/>
              <w:left w:w="120" w:type="dxa"/>
              <w:bottom w:w="90" w:type="dxa"/>
              <w:right w:w="120" w:type="dxa"/>
            </w:tcMar>
            <w:vAlign w:val="center"/>
          </w:tcPr>
          <w:p w14:paraId="271BAC47">
            <w:pPr>
              <w:spacing w:after="0"/>
              <w:jc w:val="left"/>
            </w:pPr>
            <w:r>
              <w:rPr>
                <w:rFonts w:ascii="微软雅黑" w:hAnsi="微软雅黑" w:eastAsia="微软雅黑"/>
                <w:b w:val="0"/>
                <w:sz w:val="21"/>
              </w:rPr>
              <w:t>代码 profile 很多，文档也有大量候选。</w:t>
            </w:r>
          </w:p>
        </w:tc>
        <w:tc>
          <w:tcPr>
            <w:tcW w:w="3192" w:type="dxa"/>
            <w:tcMar>
              <w:top w:w="90" w:type="dxa"/>
              <w:left w:w="120" w:type="dxa"/>
              <w:bottom w:w="90" w:type="dxa"/>
              <w:right w:w="120" w:type="dxa"/>
            </w:tcMar>
            <w:vAlign w:val="center"/>
          </w:tcPr>
          <w:p w14:paraId="147E703C">
            <w:pPr>
              <w:spacing w:after="0"/>
              <w:jc w:val="left"/>
            </w:pPr>
            <w:r>
              <w:rPr>
                <w:rFonts w:ascii="微软雅黑" w:hAnsi="微软雅黑" w:eastAsia="微软雅黑"/>
                <w:b w:val="0"/>
                <w:sz w:val="21"/>
              </w:rPr>
              <w:t>论文必须冻结一个主 profile，其余放消融或失败实验，不把所有模块都写成贡献。</w:t>
            </w:r>
          </w:p>
        </w:tc>
      </w:tr>
    </w:tbl>
    <w:p w14:paraId="5C176BDF"/>
    <w:p w14:paraId="6C70DF2A">
      <w:pPr>
        <w:pStyle w:val="3"/>
        <w:spacing w:before="240" w:after="120"/>
      </w:pPr>
      <w:r>
        <w:rPr>
          <w:rFonts w:ascii="微软雅黑" w:hAnsi="微软雅黑" w:eastAsia="微软雅黑"/>
          <w:b/>
          <w:color w:val="1F4D78"/>
          <w:sz w:val="40"/>
        </w:rPr>
        <w:t>9. 下一步计划</w:t>
      </w:r>
    </w:p>
    <w:p w14:paraId="7878AF49">
      <w:pPr>
        <w:pStyle w:val="4"/>
        <w:spacing w:before="160" w:after="120"/>
      </w:pPr>
      <w:r>
        <w:rPr>
          <w:rFonts w:ascii="微软雅黑" w:hAnsi="微软雅黑" w:eastAsia="微软雅黑"/>
          <w:b/>
          <w:color w:val="2E5E8D"/>
          <w:sz w:val="32"/>
        </w:rPr>
        <w:t>9.1 最优先补强</w:t>
      </w:r>
    </w:p>
    <w:p w14:paraId="1C5387DC">
      <w:pPr>
        <w:pStyle w:val="14"/>
        <w:spacing w:after="60" w:line="276" w:lineRule="auto"/>
      </w:pPr>
      <w:r>
        <w:rPr>
          <w:rFonts w:ascii="微软雅黑" w:hAnsi="微软雅黑" w:eastAsia="微软雅黑"/>
          <w:sz w:val="24"/>
        </w:rPr>
        <w:t>冻结主实验协议： 明确默认 profile、epoch、checkpoint policy、prediction key、RCA label registry、事件匹配规则。</w:t>
      </w:r>
    </w:p>
    <w:p w14:paraId="6EB5189B">
      <w:pPr>
        <w:pStyle w:val="14"/>
        <w:spacing w:after="60" w:line="276" w:lineRule="auto"/>
      </w:pPr>
      <w:r>
        <w:rPr>
          <w:rFonts w:ascii="微软雅黑" w:hAnsi="微软雅黑" w:eastAsia="微软雅黑"/>
          <w:sz w:val="24"/>
        </w:rPr>
        <w:t>补齐主表： WADI/SWaT 变量级 predicted-event RCA，外加 raw/adjusted/Affiliation 检测完整表。</w:t>
      </w:r>
    </w:p>
    <w:p w14:paraId="35E09A99">
      <w:pPr>
        <w:pStyle w:val="14"/>
        <w:spacing w:after="60" w:line="276" w:lineRule="auto"/>
      </w:pPr>
      <w:r>
        <w:rPr>
          <w:rFonts w:ascii="微软雅黑" w:hAnsi="微软雅黑" w:eastAsia="微软雅黑"/>
          <w:sz w:val="24"/>
        </w:rPr>
        <w:t>补核心消融： residual-only、z-score、correlation graph、random graph、no source gate、no bottleneck、no propagation、no specificity、no mechanism。</w:t>
      </w:r>
    </w:p>
    <w:p w14:paraId="3F1235A1">
      <w:pPr>
        <w:pStyle w:val="14"/>
        <w:spacing w:after="60" w:line="276" w:lineRule="auto"/>
      </w:pPr>
      <w:r>
        <w:rPr>
          <w:rFonts w:ascii="微软雅黑" w:hAnsi="微软雅黑" w:eastAsia="微软雅黑"/>
          <w:sz w:val="24"/>
        </w:rPr>
        <w:t>补稳定性： 至少 3 seed，报告 MRR/Hit@K 的均值、标准差、置信区间。</w:t>
      </w:r>
    </w:p>
    <w:p w14:paraId="41CCC902">
      <w:pPr>
        <w:pStyle w:val="14"/>
        <w:spacing w:after="60" w:line="276" w:lineRule="auto"/>
      </w:pPr>
      <w:r>
        <w:rPr>
          <w:rFonts w:ascii="微软雅黑" w:hAnsi="微软雅黑" w:eastAsia="微软雅黑"/>
          <w:sz w:val="24"/>
        </w:rPr>
        <w:t>补案例图： WADI 成功案例、SWaT 成功/近失误案例、失败案例，展示真实根因、top-k 排名、残差排序和 LaGraph 排序差异。</w:t>
      </w:r>
    </w:p>
    <w:p w14:paraId="1A9858B3">
      <w:pPr>
        <w:pStyle w:val="4"/>
        <w:spacing w:before="160" w:after="120"/>
      </w:pPr>
      <w:r>
        <w:rPr>
          <w:rFonts w:ascii="微软雅黑" w:hAnsi="微软雅黑" w:eastAsia="微软雅黑"/>
          <w:b/>
          <w:color w:val="2E5E8D"/>
          <w:sz w:val="32"/>
        </w:rPr>
        <w:t>9.2 中期补强</w:t>
      </w:r>
    </w:p>
    <w:p w14:paraId="548A586C">
      <w:pPr>
        <w:pStyle w:val="16"/>
        <w:spacing w:after="60" w:line="276" w:lineRule="auto"/>
      </w:pPr>
      <w:r>
        <w:rPr>
          <w:rFonts w:ascii="微软雅黑" w:hAnsi="微软雅黑" w:eastAsia="微软雅黑"/>
          <w:sz w:val="24"/>
        </w:rPr>
        <w:t>把 AERCA/RCD/CIRCA/REASON/CORAL 中至少 1-2 个代表性 RCA baseline 迁移到当前 predicted-event 协议。</w:t>
      </w:r>
    </w:p>
    <w:p w14:paraId="6D2535F1">
      <w:pPr>
        <w:pStyle w:val="16"/>
        <w:spacing w:after="60" w:line="276" w:lineRule="auto"/>
      </w:pPr>
      <w:r>
        <w:rPr>
          <w:rFonts w:ascii="微软雅黑" w:hAnsi="微软雅黑" w:eastAsia="微软雅黑"/>
          <w:sz w:val="24"/>
        </w:rPr>
        <w:t>对 mechanism 分量做数据集条件分析：什么时候机制分量有用，什么时候会把 SWaT 排名带偏。</w:t>
      </w:r>
    </w:p>
    <w:p w14:paraId="177CD045">
      <w:pPr>
        <w:pStyle w:val="16"/>
        <w:spacing w:after="60" w:line="276" w:lineRule="auto"/>
      </w:pPr>
      <w:r>
        <w:rPr>
          <w:rFonts w:ascii="微软雅黑" w:hAnsi="微软雅黑" w:eastAsia="微软雅黑"/>
          <w:sz w:val="24"/>
        </w:rPr>
        <w:t>将 event-specificity 从批量后处理改成在线历史事件版本，降低审稿风险。</w:t>
      </w:r>
    </w:p>
    <w:p w14:paraId="4EAC1028">
      <w:pPr>
        <w:pStyle w:val="16"/>
        <w:spacing w:after="60" w:line="276" w:lineRule="auto"/>
      </w:pPr>
      <w:r>
        <w:rPr>
          <w:rFonts w:ascii="微软雅黑" w:hAnsi="微软雅黑" w:eastAsia="微软雅黑"/>
          <w:sz w:val="24"/>
        </w:rPr>
        <w:t>补充 graph-edge faithfulness 正式实验，不停留在 smoke check。</w:t>
      </w:r>
    </w:p>
    <w:p w14:paraId="1FAD41D8">
      <w:pPr>
        <w:pStyle w:val="4"/>
        <w:spacing w:before="160" w:after="120"/>
      </w:pPr>
      <w:r>
        <w:rPr>
          <w:rFonts w:ascii="微软雅黑" w:hAnsi="微软雅黑" w:eastAsia="微软雅黑"/>
          <w:b/>
          <w:color w:val="2E5E8D"/>
          <w:sz w:val="32"/>
        </w:rPr>
        <w:t>9.3 长期方向</w:t>
      </w:r>
    </w:p>
    <w:p w14:paraId="74C8A1EE">
      <w:pPr>
        <w:pStyle w:val="16"/>
        <w:spacing w:after="60" w:line="276" w:lineRule="auto"/>
      </w:pPr>
      <w:r>
        <w:rPr>
          <w:rFonts w:ascii="微软雅黑" w:hAnsi="微软雅黑" w:eastAsia="微软雅黑"/>
          <w:sz w:val="24"/>
        </w:rPr>
        <w:t>从同时间依赖图发展到 lagged mechanism / Granger-style 约束，使“机制”更接近可检验因果结构。</w:t>
      </w:r>
    </w:p>
    <w:p w14:paraId="244005B3">
      <w:pPr>
        <w:pStyle w:val="16"/>
        <w:spacing w:after="60" w:line="276" w:lineRule="auto"/>
      </w:pPr>
      <w:r>
        <w:rPr>
          <w:rFonts w:ascii="微软雅黑" w:hAnsi="微软雅黑" w:eastAsia="微软雅黑"/>
          <w:sz w:val="24"/>
        </w:rPr>
        <w:t>引入 edge-level counterfactual 或 interventional masking，证明图边不是装饰性解释。</w:t>
      </w:r>
    </w:p>
    <w:p w14:paraId="1BF85733">
      <w:pPr>
        <w:pStyle w:val="16"/>
        <w:spacing w:after="60" w:line="276" w:lineRule="auto"/>
      </w:pPr>
      <w:r>
        <w:rPr>
          <w:rFonts w:ascii="微软雅黑" w:hAnsi="微软雅黑" w:eastAsia="微软雅黑"/>
          <w:sz w:val="24"/>
        </w:rPr>
        <w:t>寻找更多带变量级 RCA 标签的工业控制数据集，避免 WADI/SWaT 过窄。</w:t>
      </w:r>
    </w:p>
    <w:p w14:paraId="371D3F41">
      <w:pPr>
        <w:pStyle w:val="16"/>
        <w:spacing w:after="60" w:line="276" w:lineRule="auto"/>
      </w:pPr>
    </w:p>
    <w:sectPr>
      <w:footerReference r:id="rId5" w:type="default"/>
      <w:pgSz w:w="12240" w:h="15840"/>
      <w:pgMar w:top="1247" w:right="1332" w:bottom="1247" w:left="1332"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22961">
    <w:pPr>
      <w:pStyle w:val="24"/>
      <w:jc w:val="center"/>
    </w:pPr>
    <w:r>
      <w:rPr>
        <w:rFonts w:ascii="微软雅黑" w:hAnsi="微软雅黑" w:eastAsia="微软雅黑"/>
        <w:color w:val="666666"/>
        <w:sz w:val="19"/>
      </w:rPr>
      <w:t>LaGraph 项目汇报与论文问题梳理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F6EDA"/>
    <w:rsid w:val="15496F89"/>
    <w:rsid w:val="759233F8"/>
    <w:rsid w:val="7D735D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3" w:lineRule="auto"/>
    </w:pPr>
    <w:rPr>
      <w:rFonts w:ascii="微软雅黑" w:hAnsi="微软雅黑" w:eastAsia="微软雅黑" w:cstheme="minorBidi"/>
      <w:sz w:val="2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微软雅黑" w:hAnsi="微软雅黑" w:eastAsia="微软雅黑"/>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4"/>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3826</Words>
  <Characters>6325</Characters>
  <Lines>0</Lines>
  <Paragraphs>0</Paragraphs>
  <TotalTime>5</TotalTime>
  <ScaleCrop>false</ScaleCrop>
  <LinksUpToDate>false</LinksUpToDate>
  <CharactersWithSpaces>7053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孙宇洁</cp:lastModifiedBy>
  <dcterms:modified xsi:type="dcterms:W3CDTF">2026-06-13T01:23:15Z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eyJoZGlkIjoiNGQ1NGVmNjU4MWZkZjQ3MDFmNDVmZTBiYjcyNWI3NzgiLCJ1c2VySWQiOiIxNzUwNDA4MjU2In0=</vt:lpwstr>
  </property>
  <property fmtid="{D5CDD505-2E9C-101B-9397-08002B2CF9AE}" pid="3" name="KSOProductBuildVer">
    <vt:lpwstr>2052-12.1.0.26895</vt:lpwstr>
  </property>
  <property fmtid="{D5CDD505-2E9C-101B-9397-08002B2CF9AE}" pid="4" name="ICV">
    <vt:lpwstr>06CD213DDEC144D09C361D2EA4EF3F3D_12</vt:lpwstr>
  </property>
</Properties>
</file>