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9D359">
      <w:pPr>
        <w:jc w:val="center"/>
      </w:pPr>
      <w:r>
        <w:rPr>
          <w:rFonts w:ascii="Times New Roman" w:hAnsi="Times New Roman"/>
          <w:b/>
          <w:sz w:val="44"/>
        </w:rPr>
        <w:t>Gaze2Guide: Memory-Augmented Gaze Reasoning for Exhibit-to-Exhibit Decision</w:t>
      </w:r>
      <w:r>
        <w:rPr>
          <w:rFonts w:ascii="Times New Roman" w:hAnsi="Times New Roman"/>
          <w:b/>
          <w:sz w:val="44"/>
        </w:rPr>
        <w:br w:type="textWrapping"/>
      </w:r>
      <w:r>
        <w:rPr>
          <w:rFonts w:ascii="Times New Roman" w:hAnsi="Times New Roman"/>
          <w:b/>
          <w:sz w:val="44"/>
        </w:rPr>
        <w:t>and Dwell-Time Prediction in Real Exhibition Spaces</w:t>
      </w:r>
    </w:p>
    <w:p w14:paraId="7BA0FAD5">
      <w:pPr>
        <w:pStyle w:val="37"/>
        <w:jc w:val="center"/>
        <w:rPr>
          <w:rFonts w:hint="default"/>
          <w:lang w:val="en-US"/>
        </w:rPr>
      </w:pPr>
      <w:r>
        <w:rPr>
          <w:rFonts w:hint="eastAsia" w:eastAsia="宋体"/>
          <w:sz w:val="22"/>
          <w:lang w:val="en-US" w:eastAsia="zh-CN"/>
        </w:rPr>
        <w:t>Xijing Wang, Lei He, Nianxiong Liu</w:t>
      </w:r>
    </w:p>
    <w:p w14:paraId="22A5E313">
      <w:pPr>
        <w:sectPr>
          <w:headerReference r:id="rId3" w:type="default"/>
          <w:footnotePr>
            <w:numFmt w:val="decimal"/>
          </w:footnotePr>
          <w:pgSz w:w="11906" w:h="16838"/>
          <w:pgMar w:top="2074" w:right="662" w:bottom="1080" w:left="1080" w:header="432" w:footer="0" w:gutter="0"/>
          <w:pgNumType w:fmt="decimal"/>
          <w:cols w:space="288" w:num="1"/>
          <w:formProt w:val="0"/>
          <w:docGrid w:linePitch="360" w:charSpace="0"/>
        </w:sectPr>
      </w:pPr>
    </w:p>
    <w:p w14:paraId="54C16C36">
      <w:pPr>
        <w:pStyle w:val="2"/>
        <w:numPr>
          <w:numId w:val="0"/>
        </w:numPr>
        <w:ind w:leftChars="0" w:firstLine="400" w:firstLineChars="200"/>
        <w:jc w:val="both"/>
        <w:rPr>
          <w:rFonts w:hint="eastAsia" w:eastAsia="宋体"/>
          <w:lang w:val="en-US" w:eastAsia="zh-CN"/>
        </w:rPr>
      </w:pPr>
      <w:r>
        <w:rPr>
          <w:rFonts w:hint="eastAsia"/>
        </w:rPr>
        <w:t>Abstract— Museum guide and service robots need human goal and timing priors to decide where to guide and when to intervene without being intrusive. We propose IROS_gaze, a memory-augmented gaze reasoning framework that predicts (i) the visitor’s next exhibit (topological goal), (ii) dwell time and an ordinal attention level, and (iii) a K-step rollout of future viewing trajectories. The system integrates exhibit semantics, an exhibit-level neighbor graph, and real eye-tracking observations through a modular pipeline: ContextBuilder, a dual-layer Memory (short-term window N=5 and long-term statistics), an LLMReasoner, and an iterative SequencePredictor (K=5). We construct instruction-style training data from real eye-tracking collected in two venues (Tsinghua Art Museum and an Osaka exhibition), resulting in 8,159 high-quality labeled segments after cleaning from 9,158 raw records. Across three tasks (scan-path planning, next-step prediction, and attribution), we report improvements over strong baselines under both random and cross-subject splits, and demonstrate a robot-facing topological guide simulation where the learned priors reduce regret and improve intervention timing.Video demonstrations can be found on the supplementary website1</w:t>
      </w:r>
      <w:r>
        <w:rPr>
          <w:rFonts w:hint="eastAsia" w:eastAsia="宋体"/>
          <w:lang w:val="en-US" w:eastAsia="zh-CN"/>
        </w:rPr>
        <w:t>.</w:t>
      </w:r>
      <w:bookmarkStart w:id="0" w:name="_GoBack"/>
      <w:bookmarkEnd w:id="0"/>
    </w:p>
    <w:p w14:paraId="74ADD543">
      <w:pPr>
        <w:pStyle w:val="2"/>
      </w:pPr>
      <w:r>
        <w:t>INTRODUCTION</w:t>
      </w:r>
    </w:p>
    <w:p w14:paraId="20D709EC">
      <w:pPr>
        <w:pStyle w:val="12"/>
      </w:pPr>
      <w:r>
        <w:t>Robots operating in public indoor environments (e.g., museums and exhibitions) must anticipate where a visitor will go next and how long they will stay, to plan socially appropriate guidance, explanation, and collision-free motion. While gaze is a rich signal of human attention, prior work often uses it only for visualization (heatmaps) or isolated intent cues, without producing robot-consumable goal and timing priors constrained by the environment’s topology.</w:t>
      </w:r>
    </w:p>
    <w:p w14:paraId="240CA25A">
      <w:pPr>
        <w:pStyle w:val="12"/>
      </w:pPr>
      <w:r>
        <w:t>We treat gaze as a cognitive sensor for embodied spatial reasoning. Our key idea is to combine (i) an exhibit-level neighbor graph, (ii) short- and long-term memory of viewing history, and (iii) LLM-based constrained reasoning, to jointly predict next exhibit, dwell time, and attention level, and to roll out future viewing trajectories. This yields a plug-in prior module that can bias a guide agent’s action selection and intervention timing.</w:t>
      </w:r>
    </w:p>
    <w:p w14:paraId="70F09596">
      <w:pPr>
        <w:pStyle w:val="12"/>
      </w:pPr>
      <w:r>
        <w:t>Our contributions are: (1) a modular gaze reasoning pipeline with dual-layer memory (N=5) and multi-step rollout (K=5); (2) an instruction-style dataset built from real eye-tracking in two venues, with 8,159 labeled segments and three complementary tasks; and (3) robot-facing evaluation through a topological guide simulation demonstrating improved goal prediction and timing decisions.</w:t>
      </w:r>
    </w:p>
    <w:p w14:paraId="33F33F8E">
      <w:pPr>
        <w:pStyle w:val="2"/>
      </w:pPr>
      <w:r>
        <w:t>RELATED WORK</w:t>
      </w:r>
    </w:p>
    <w:p w14:paraId="159E8D7C">
      <w:pPr>
        <w:pStyle w:val="12"/>
      </w:pPr>
      <w:r>
        <w:t>We relate to work on gaze-based intention and engagement modeling, egocentric gaze datasets, and topological navigation / goal prediction in indoor spaces. We also build on recent robotics systems that use language models for constrained reasoning under structured context and memory. In contrast to purely visual saliency modeling, our focus is on robot-consumable priors over next goals and dwell time under topological constraints.</w:t>
      </w:r>
    </w:p>
    <w:p w14:paraId="62864B17">
      <w:pPr>
        <w:pStyle w:val="2"/>
      </w:pPr>
      <w:r>
        <w:t>DATA AND PROBLEM SETUP</w:t>
      </w:r>
    </w:p>
    <w:p w14:paraId="2E2D5512">
      <w:pPr>
        <w:pStyle w:val="3"/>
      </w:pPr>
      <w:r>
        <w:t>Multi-modal Inputs</w:t>
      </w:r>
    </w:p>
    <w:p w14:paraId="7677F7AB">
      <w:pPr>
        <w:pStyle w:val="12"/>
      </w:pPr>
      <w:r>
        <w:t>Each training segment corresponds to an exhibit visit interval. Inputs include: (i) exhibit semantic descriptions, (ii) an exhibit-level neighbor graph (IDs with neighboring exhibit IDs), and (iii) eye-tracking signals aligned to egocentric video time, including gaze points (x,y), fixation/saccade events, validity, and pupil/blink measurements.</w:t>
      </w:r>
    </w:p>
    <w:p w14:paraId="0D57AF28">
      <w:pPr>
        <w:pStyle w:val="3"/>
      </w:pPr>
      <w:r>
        <w:t>Dataset Construction</w:t>
      </w:r>
    </w:p>
    <w:p w14:paraId="51A8DD79">
      <w:pPr>
        <w:pStyle w:val="12"/>
      </w:pPr>
      <w:r>
        <w:t>We derive exhibit visit intervals using hotkey annotations aligned with an exhibit dictionary. Raw eye-tracking records (30 Hz) yield 9,158 records; after cleaning and aggregation we obtain 8,159 high-quality labeled segments. We discretize dwell time into an ordinal 5-level attention scale (A–E) using an exponential decay mapping (details in Sec. IV).</w:t>
      </w:r>
    </w:p>
    <w:p w14:paraId="47DAB630">
      <w:pPr>
        <w:pStyle w:val="43"/>
      </w:pPr>
      <w:r>
        <w:t>TABLE I</w:t>
      </w:r>
      <w:r>
        <w:br w:type="textWrapping"/>
      </w:r>
      <w:r>
        <w:t>DATASET STATISTICS (TO FILL)</w:t>
      </w:r>
    </w:p>
    <w:tbl>
      <w:tblPr>
        <w:tblStyle w:val="1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58"/>
        <w:gridCol w:w="2500"/>
      </w:tblGrid>
      <w:tr w14:paraId="01910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82" w:type="dxa"/>
          </w:tcPr>
          <w:p w14:paraId="607DFCF9">
            <w:r>
              <w:rPr>
                <w:rFonts w:ascii="Times New Roman" w:hAnsi="Times New Roman"/>
                <w:b/>
                <w:sz w:val="18"/>
              </w:rPr>
              <w:t>Venues</w:t>
            </w:r>
          </w:p>
        </w:tc>
        <w:tc>
          <w:tcPr>
            <w:tcW w:w="5082" w:type="dxa"/>
          </w:tcPr>
          <w:p w14:paraId="5514CA8C">
            <w:r>
              <w:rPr>
                <w:rFonts w:ascii="Times New Roman" w:hAnsi="Times New Roman"/>
                <w:b w:val="0"/>
                <w:sz w:val="18"/>
              </w:rPr>
              <w:t>Tsinghua Art Museum; Osaka exhibition</w:t>
            </w:r>
          </w:p>
        </w:tc>
      </w:tr>
      <w:tr w14:paraId="72248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82" w:type="dxa"/>
          </w:tcPr>
          <w:p w14:paraId="6D6CE6C1">
            <w:r>
              <w:rPr>
                <w:rFonts w:ascii="Times New Roman" w:hAnsi="Times New Roman"/>
                <w:b/>
                <w:sz w:val="18"/>
              </w:rPr>
              <w:t>Sampling rate</w:t>
            </w:r>
          </w:p>
        </w:tc>
        <w:tc>
          <w:tcPr>
            <w:tcW w:w="5082" w:type="dxa"/>
          </w:tcPr>
          <w:p w14:paraId="63C39F64">
            <w:r>
              <w:rPr>
                <w:rFonts w:ascii="Times New Roman" w:hAnsi="Times New Roman"/>
                <w:b w:val="0"/>
                <w:sz w:val="18"/>
              </w:rPr>
              <w:t>30 Hz</w:t>
            </w:r>
          </w:p>
        </w:tc>
      </w:tr>
      <w:tr w14:paraId="361DE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82" w:type="dxa"/>
          </w:tcPr>
          <w:p w14:paraId="5D1905EC">
            <w:r>
              <w:rPr>
                <w:rFonts w:ascii="Times New Roman" w:hAnsi="Times New Roman"/>
                <w:b/>
                <w:sz w:val="18"/>
              </w:rPr>
              <w:t>Raw / Clean segments</w:t>
            </w:r>
          </w:p>
        </w:tc>
        <w:tc>
          <w:tcPr>
            <w:tcW w:w="5082" w:type="dxa"/>
          </w:tcPr>
          <w:p w14:paraId="61DBBC29">
            <w:r>
              <w:rPr>
                <w:rFonts w:ascii="Times New Roman" w:hAnsi="Times New Roman"/>
                <w:b w:val="0"/>
                <w:sz w:val="18"/>
              </w:rPr>
              <w:t>9,158 / 8,159</w:t>
            </w:r>
          </w:p>
        </w:tc>
      </w:tr>
      <w:tr w14:paraId="457B7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82" w:type="dxa"/>
          </w:tcPr>
          <w:p w14:paraId="6886216E">
            <w:r>
              <w:rPr>
                <w:rFonts w:ascii="Times New Roman" w:hAnsi="Times New Roman"/>
                <w:b/>
                <w:sz w:val="18"/>
              </w:rPr>
              <w:t>Tasks</w:t>
            </w:r>
          </w:p>
        </w:tc>
        <w:tc>
          <w:tcPr>
            <w:tcW w:w="5082" w:type="dxa"/>
          </w:tcPr>
          <w:p w14:paraId="07F3D1D1">
            <w:r>
              <w:rPr>
                <w:rFonts w:ascii="Times New Roman" w:hAnsi="Times New Roman"/>
                <w:b w:val="0"/>
                <w:sz w:val="18"/>
              </w:rPr>
              <w:t>Scan-path; Next-step; Attribution</w:t>
            </w:r>
          </w:p>
        </w:tc>
      </w:tr>
      <w:tr w14:paraId="44853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82" w:type="dxa"/>
          </w:tcPr>
          <w:p w14:paraId="3C0AEB2D">
            <w:r>
              <w:rPr>
                <w:rFonts w:ascii="Times New Roman" w:hAnsi="Times New Roman"/>
                <w:b/>
                <w:sz w:val="18"/>
              </w:rPr>
              <w:t>Task counts</w:t>
            </w:r>
          </w:p>
        </w:tc>
        <w:tc>
          <w:tcPr>
            <w:tcW w:w="5082" w:type="dxa"/>
          </w:tcPr>
          <w:p w14:paraId="448A1207">
            <w:r>
              <w:rPr>
                <w:rFonts w:ascii="Times New Roman" w:hAnsi="Times New Roman"/>
                <w:b w:val="0"/>
                <w:sz w:val="18"/>
              </w:rPr>
              <w:t>3,038 / 3,038 / 2,083</w:t>
            </w:r>
          </w:p>
        </w:tc>
      </w:tr>
      <w:tr w14:paraId="524BC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82" w:type="dxa"/>
          </w:tcPr>
          <w:p w14:paraId="098C2235">
            <w:r>
              <w:rPr>
                <w:rFonts w:ascii="Times New Roman" w:hAnsi="Times New Roman"/>
                <w:b/>
                <w:sz w:val="18"/>
              </w:rPr>
              <w:t>Splits reported</w:t>
            </w:r>
          </w:p>
        </w:tc>
        <w:tc>
          <w:tcPr>
            <w:tcW w:w="5082" w:type="dxa"/>
          </w:tcPr>
          <w:p w14:paraId="7B3CAE0A">
            <w:r>
              <w:rPr>
                <w:rFonts w:ascii="Times New Roman" w:hAnsi="Times New Roman"/>
                <w:b w:val="0"/>
                <w:sz w:val="18"/>
              </w:rPr>
              <w:t>Random 9:1; Leave-subject-out (optional leave-venue-out)</w:t>
            </w:r>
          </w:p>
        </w:tc>
      </w:tr>
    </w:tbl>
    <w:p w14:paraId="4BABF71E">
      <w:pPr>
        <w:pStyle w:val="3"/>
      </w:pPr>
      <w:r>
        <w:t>Tasks</w:t>
      </w:r>
    </w:p>
    <w:p w14:paraId="2863B759">
      <w:pPr>
        <w:pStyle w:val="12"/>
      </w:pPr>
      <w:r>
        <w:t>T1 (Scan-path planning): given visible exhibits, predict an ordered scan path with attention levels. T2 (Next-step prediction): given gaze history and context, predict the next exhibit and attention level. T3 (Attribution): generate an explanation for why an exhibit receives a given attention level.</w:t>
      </w:r>
    </w:p>
    <w:p w14:paraId="7DFFA708">
      <w:pPr>
        <w:pStyle w:val="3"/>
      </w:pPr>
      <w:r>
        <w:t>Evaluation Splits</w:t>
      </w:r>
    </w:p>
    <w:p w14:paraId="7A6E837D">
      <w:pPr>
        <w:pStyle w:val="12"/>
      </w:pPr>
      <w:r>
        <w:t>We report results on a random 9:1 split (7,343 train / 816 validation). To assess generalization, we additionally report leave-subject-out splits (and, when available, leave-venue-out between venues).</w:t>
      </w:r>
    </w:p>
    <w:p w14:paraId="18C21FB1">
      <w:pPr>
        <w:pStyle w:val="2"/>
      </w:pPr>
      <w:r>
        <w:t>METHOD</w:t>
      </w:r>
    </w:p>
    <w:p w14:paraId="0AAE94E7">
      <w:pPr>
        <w:pStyle w:val="3"/>
      </w:pPr>
      <w:r>
        <w:t>System Overview</w:t>
      </w:r>
    </w:p>
    <w:p w14:paraId="01133169">
      <w:pPr>
        <w:pStyle w:val="12"/>
      </w:pPr>
      <w:r>
        <w:t>IROS_gaze consists of four layers: data input, memory management, reasoning and prediction, and visualization output. ContextBuilder fuses viewing history with topological constraints and produces a structured context; Memory stores both a short-term window (N=5) and long-term statistics; LLMReasoner predicts dwell time, attention level, and gaze order; SequencePredictor iteratively performs K-step rollout (K=5).</w:t>
      </w:r>
    </w:p>
    <w:p w14:paraId="6A331DE3">
      <w:pPr>
        <w:pStyle w:val="3"/>
      </w:pPr>
      <w:r>
        <w:t>Dual-layer Memory</w:t>
      </w:r>
    </w:p>
    <w:p w14:paraId="081CBAE0">
      <w:pPr>
        <w:pStyle w:val="12"/>
      </w:pPr>
      <w:r>
        <w:t>Short-term memory stores the most recent N=5 observations. Long-term memory maintains global statistics, including exhibit visit frequency, cumulative dwell time, and attention-level distributions. These statistics provide strong priors for both prediction and explanation.</w:t>
      </w:r>
    </w:p>
    <w:p w14:paraId="5A7A5BD8">
      <w:pPr>
        <w:pStyle w:val="3"/>
      </w:pPr>
      <w:r>
        <w:t>Constrained Reasoning and Rollout</w:t>
      </w:r>
    </w:p>
    <w:p w14:paraId="568760F6">
      <w:pPr>
        <w:pStyle w:val="12"/>
      </w:pPr>
      <w:r>
        <w:t>Given the structured context, LLMReasoner performs constrained reasoning over semantic coherence, spatial flow (neighbor constraints), and gaze saliency cues. SequencePredictor applies the single-step predictor iteratively to generate a K-step future trajectory used for planning.</w:t>
      </w:r>
    </w:p>
    <w:p w14:paraId="227E1F2C">
      <w:pPr>
        <w:pStyle w:val="3"/>
      </w:pPr>
      <w:r>
        <w:t>Robot-facing Interface</w:t>
      </w:r>
    </w:p>
    <w:p w14:paraId="06469C5B">
      <w:pPr>
        <w:pStyle w:val="12"/>
      </w:pPr>
      <w:r>
        <w:t>At each step, the system outputs: (i) a distribution over the next exhibit among feasible candidates, (ii) predicted dwell time, and (iii) an ordinal attention/engagement level. These outputs can be plugged into a guide agent to bias action selection and intervention timing.</w:t>
      </w:r>
    </w:p>
    <w:p w14:paraId="7142AAF3">
      <w:pPr>
        <w:pStyle w:val="2"/>
      </w:pPr>
      <w:r>
        <w:t>EXPERIMENTS</w:t>
      </w:r>
    </w:p>
    <w:p w14:paraId="7421324F">
      <w:pPr>
        <w:pStyle w:val="3"/>
      </w:pPr>
      <w:r>
        <w:t>Metrics</w:t>
      </w:r>
    </w:p>
    <w:p w14:paraId="26CF72FE">
      <w:pPr>
        <w:pStyle w:val="12"/>
      </w:pPr>
      <w:r>
        <w:t>For next-step prediction we report Hit@1, Hit@5 and Mean Reciprocal Rank (MRR) under candidate sets derived from the neighbor graph. For dwell time we report MAE (seconds). For attention level we report accuracy and macro-F1 (and Cohen’s κ when applicable).</w:t>
      </w:r>
    </w:p>
    <w:p w14:paraId="75081303">
      <w:pPr>
        <w:pStyle w:val="3"/>
      </w:pPr>
      <w:r>
        <w:t>Baselines and Ablations</w:t>
      </w:r>
    </w:p>
    <w:p w14:paraId="3DA43CEF">
      <w:pPr>
        <w:pStyle w:val="12"/>
      </w:pPr>
      <w:r>
        <w:t>We compare against strong baselines: (i) Markov / transition-frequency policy on the exhibit graph, (ii) no-memory variant, (iii) no-topology variant, and (iv) no-LLM variant replacing LLMReasoner with lightweight predictors. Ablations remove short-term memory (N=5→0), remove long-term statistics, and compare K=1 vs K=5 rollout.</w:t>
      </w:r>
    </w:p>
    <w:p w14:paraId="595EDD37">
      <w:pPr>
        <w:pStyle w:val="43"/>
      </w:pPr>
      <w:r>
        <w:t>TABLE II</w:t>
      </w:r>
      <w:r>
        <w:br w:type="textWrapping"/>
      </w:r>
      <w:r>
        <w:t>MAIN RESULTS (TO FILL)</w:t>
      </w:r>
    </w:p>
    <w:tbl>
      <w:tblPr>
        <w:tblStyle w:val="1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11"/>
        <w:gridCol w:w="738"/>
        <w:gridCol w:w="700"/>
        <w:gridCol w:w="632"/>
        <w:gridCol w:w="700"/>
        <w:gridCol w:w="623"/>
        <w:gridCol w:w="510"/>
        <w:gridCol w:w="344"/>
      </w:tblGrid>
      <w:tr w14:paraId="29908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70" w:type="dxa"/>
          </w:tcPr>
          <w:p w14:paraId="74774D78">
            <w:r>
              <w:rPr>
                <w:rFonts w:ascii="Times New Roman" w:hAnsi="Times New Roman"/>
                <w:b/>
                <w:sz w:val="18"/>
              </w:rPr>
              <w:t>Split</w:t>
            </w:r>
          </w:p>
        </w:tc>
        <w:tc>
          <w:tcPr>
            <w:tcW w:w="1270" w:type="dxa"/>
          </w:tcPr>
          <w:p w14:paraId="750905BE">
            <w:r>
              <w:rPr>
                <w:rFonts w:ascii="Times New Roman" w:hAnsi="Times New Roman"/>
                <w:b/>
                <w:sz w:val="18"/>
              </w:rPr>
              <w:t>Method</w:t>
            </w:r>
          </w:p>
        </w:tc>
        <w:tc>
          <w:tcPr>
            <w:tcW w:w="1270" w:type="dxa"/>
          </w:tcPr>
          <w:p w14:paraId="0FB43954">
            <w:r>
              <w:rPr>
                <w:rFonts w:ascii="Times New Roman" w:hAnsi="Times New Roman"/>
                <w:b/>
                <w:sz w:val="18"/>
              </w:rPr>
              <w:t>Hit@1↑</w:t>
            </w:r>
          </w:p>
        </w:tc>
        <w:tc>
          <w:tcPr>
            <w:tcW w:w="1270" w:type="dxa"/>
          </w:tcPr>
          <w:p w14:paraId="6C8B7D06">
            <w:r>
              <w:rPr>
                <w:rFonts w:ascii="Times New Roman" w:hAnsi="Times New Roman"/>
                <w:b/>
                <w:sz w:val="18"/>
              </w:rPr>
              <w:t>MRR↑</w:t>
            </w:r>
          </w:p>
        </w:tc>
        <w:tc>
          <w:tcPr>
            <w:tcW w:w="1270" w:type="dxa"/>
          </w:tcPr>
          <w:p w14:paraId="4E88C1F1">
            <w:r>
              <w:rPr>
                <w:rFonts w:ascii="Times New Roman" w:hAnsi="Times New Roman"/>
                <w:b/>
                <w:sz w:val="18"/>
              </w:rPr>
              <w:t>Hit@5↑</w:t>
            </w:r>
          </w:p>
        </w:tc>
        <w:tc>
          <w:tcPr>
            <w:tcW w:w="1270" w:type="dxa"/>
          </w:tcPr>
          <w:p w14:paraId="090A5A04">
            <w:r>
              <w:rPr>
                <w:rFonts w:ascii="Times New Roman" w:hAnsi="Times New Roman"/>
                <w:b/>
                <w:sz w:val="18"/>
              </w:rPr>
              <w:t>Dwell MAE↓</w:t>
            </w:r>
          </w:p>
        </w:tc>
        <w:tc>
          <w:tcPr>
            <w:tcW w:w="1270" w:type="dxa"/>
          </w:tcPr>
          <w:p w14:paraId="4860D56D">
            <w:r>
              <w:rPr>
                <w:rFonts w:ascii="Times New Roman" w:hAnsi="Times New Roman"/>
                <w:b/>
                <w:sz w:val="18"/>
              </w:rPr>
              <w:t>Attn Acc↑</w:t>
            </w:r>
          </w:p>
        </w:tc>
        <w:tc>
          <w:tcPr>
            <w:tcW w:w="1270" w:type="dxa"/>
          </w:tcPr>
          <w:p w14:paraId="06BC88C6">
            <w:r>
              <w:rPr>
                <w:rFonts w:ascii="Times New Roman" w:hAnsi="Times New Roman"/>
                <w:b/>
                <w:sz w:val="18"/>
              </w:rPr>
              <w:t>κ↑</w:t>
            </w:r>
          </w:p>
        </w:tc>
      </w:tr>
      <w:tr w14:paraId="0E790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70" w:type="dxa"/>
          </w:tcPr>
          <w:p w14:paraId="3AA83DCB">
            <w:r>
              <w:rPr>
                <w:rFonts w:ascii="Times New Roman" w:hAnsi="Times New Roman"/>
                <w:b w:val="0"/>
                <w:sz w:val="18"/>
              </w:rPr>
              <w:t>Random</w:t>
            </w:r>
          </w:p>
        </w:tc>
        <w:tc>
          <w:tcPr>
            <w:tcW w:w="1270" w:type="dxa"/>
          </w:tcPr>
          <w:p w14:paraId="07DF62A0">
            <w:r>
              <w:rPr>
                <w:rFonts w:ascii="Times New Roman" w:hAnsi="Times New Roman"/>
                <w:b w:val="0"/>
                <w:sz w:val="18"/>
              </w:rPr>
              <w:t>Markov</w:t>
            </w:r>
          </w:p>
        </w:tc>
        <w:tc>
          <w:tcPr>
            <w:tcW w:w="1270" w:type="dxa"/>
          </w:tcPr>
          <w:p w14:paraId="0F32C7E4">
            <w:r>
              <w:rPr>
                <w:rFonts w:ascii="Times New Roman" w:hAnsi="Times New Roman"/>
                <w:b w:val="0"/>
                <w:sz w:val="18"/>
              </w:rPr>
              <w:t>[ ]</w:t>
            </w:r>
          </w:p>
        </w:tc>
        <w:tc>
          <w:tcPr>
            <w:tcW w:w="1270" w:type="dxa"/>
          </w:tcPr>
          <w:p w14:paraId="5FBDCE80">
            <w:r>
              <w:rPr>
                <w:rFonts w:ascii="Times New Roman" w:hAnsi="Times New Roman"/>
                <w:b w:val="0"/>
                <w:sz w:val="18"/>
              </w:rPr>
              <w:t>[ ]</w:t>
            </w:r>
          </w:p>
        </w:tc>
        <w:tc>
          <w:tcPr>
            <w:tcW w:w="1270" w:type="dxa"/>
          </w:tcPr>
          <w:p w14:paraId="62DF5C43">
            <w:r>
              <w:rPr>
                <w:rFonts w:ascii="Times New Roman" w:hAnsi="Times New Roman"/>
                <w:b w:val="0"/>
                <w:sz w:val="18"/>
              </w:rPr>
              <w:t>[ ]</w:t>
            </w:r>
          </w:p>
        </w:tc>
        <w:tc>
          <w:tcPr>
            <w:tcW w:w="1270" w:type="dxa"/>
          </w:tcPr>
          <w:p w14:paraId="14711438">
            <w:r>
              <w:rPr>
                <w:rFonts w:ascii="Times New Roman" w:hAnsi="Times New Roman"/>
                <w:b w:val="0"/>
                <w:sz w:val="18"/>
              </w:rPr>
              <w:t>–</w:t>
            </w:r>
          </w:p>
        </w:tc>
        <w:tc>
          <w:tcPr>
            <w:tcW w:w="1270" w:type="dxa"/>
          </w:tcPr>
          <w:p w14:paraId="7FB37917">
            <w:r>
              <w:rPr>
                <w:rFonts w:ascii="Times New Roman" w:hAnsi="Times New Roman"/>
                <w:b w:val="0"/>
                <w:sz w:val="18"/>
              </w:rPr>
              <w:t>–</w:t>
            </w:r>
          </w:p>
        </w:tc>
        <w:tc>
          <w:tcPr>
            <w:tcW w:w="1270" w:type="dxa"/>
          </w:tcPr>
          <w:p w14:paraId="4443C565">
            <w:r>
              <w:rPr>
                <w:rFonts w:ascii="Times New Roman" w:hAnsi="Times New Roman"/>
                <w:b w:val="0"/>
                <w:sz w:val="18"/>
              </w:rPr>
              <w:t>–</w:t>
            </w:r>
          </w:p>
        </w:tc>
      </w:tr>
      <w:tr w14:paraId="24A6A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70" w:type="dxa"/>
          </w:tcPr>
          <w:p w14:paraId="3942B332"/>
        </w:tc>
        <w:tc>
          <w:tcPr>
            <w:tcW w:w="1270" w:type="dxa"/>
          </w:tcPr>
          <w:p w14:paraId="2F7DE71A">
            <w:r>
              <w:rPr>
                <w:rFonts w:ascii="Times New Roman" w:hAnsi="Times New Roman"/>
                <w:b w:val="0"/>
                <w:sz w:val="18"/>
              </w:rPr>
              <w:t>No-memory</w:t>
            </w:r>
          </w:p>
        </w:tc>
        <w:tc>
          <w:tcPr>
            <w:tcW w:w="1270" w:type="dxa"/>
          </w:tcPr>
          <w:p w14:paraId="04F6211B">
            <w:r>
              <w:rPr>
                <w:rFonts w:ascii="Times New Roman" w:hAnsi="Times New Roman"/>
                <w:b w:val="0"/>
                <w:sz w:val="18"/>
              </w:rPr>
              <w:t>[ ]</w:t>
            </w:r>
          </w:p>
        </w:tc>
        <w:tc>
          <w:tcPr>
            <w:tcW w:w="1270" w:type="dxa"/>
          </w:tcPr>
          <w:p w14:paraId="7AD5C746">
            <w:r>
              <w:rPr>
                <w:rFonts w:ascii="Times New Roman" w:hAnsi="Times New Roman"/>
                <w:b w:val="0"/>
                <w:sz w:val="18"/>
              </w:rPr>
              <w:t>[ ]</w:t>
            </w:r>
          </w:p>
        </w:tc>
        <w:tc>
          <w:tcPr>
            <w:tcW w:w="1270" w:type="dxa"/>
          </w:tcPr>
          <w:p w14:paraId="1609154B">
            <w:r>
              <w:rPr>
                <w:rFonts w:ascii="Times New Roman" w:hAnsi="Times New Roman"/>
                <w:b w:val="0"/>
                <w:sz w:val="18"/>
              </w:rPr>
              <w:t>[ ]</w:t>
            </w:r>
          </w:p>
        </w:tc>
        <w:tc>
          <w:tcPr>
            <w:tcW w:w="1270" w:type="dxa"/>
          </w:tcPr>
          <w:p w14:paraId="348CF985">
            <w:r>
              <w:rPr>
                <w:rFonts w:ascii="Times New Roman" w:hAnsi="Times New Roman"/>
                <w:b w:val="0"/>
                <w:sz w:val="18"/>
              </w:rPr>
              <w:t>[ ]</w:t>
            </w:r>
          </w:p>
        </w:tc>
        <w:tc>
          <w:tcPr>
            <w:tcW w:w="1270" w:type="dxa"/>
          </w:tcPr>
          <w:p w14:paraId="2DA9E104">
            <w:r>
              <w:rPr>
                <w:rFonts w:ascii="Times New Roman" w:hAnsi="Times New Roman"/>
                <w:b w:val="0"/>
                <w:sz w:val="18"/>
              </w:rPr>
              <w:t>[ ]</w:t>
            </w:r>
          </w:p>
        </w:tc>
        <w:tc>
          <w:tcPr>
            <w:tcW w:w="1270" w:type="dxa"/>
          </w:tcPr>
          <w:p w14:paraId="69691B8F">
            <w:r>
              <w:rPr>
                <w:rFonts w:ascii="Times New Roman" w:hAnsi="Times New Roman"/>
                <w:b w:val="0"/>
                <w:sz w:val="18"/>
              </w:rPr>
              <w:t>[ ]</w:t>
            </w:r>
          </w:p>
        </w:tc>
      </w:tr>
      <w:tr w14:paraId="6E09F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70" w:type="dxa"/>
          </w:tcPr>
          <w:p w14:paraId="1E2D46A4"/>
        </w:tc>
        <w:tc>
          <w:tcPr>
            <w:tcW w:w="1270" w:type="dxa"/>
          </w:tcPr>
          <w:p w14:paraId="7FA7B450">
            <w:r>
              <w:rPr>
                <w:rFonts w:ascii="Times New Roman" w:hAnsi="Times New Roman"/>
                <w:b w:val="0"/>
                <w:sz w:val="18"/>
              </w:rPr>
              <w:t>No-topology</w:t>
            </w:r>
          </w:p>
        </w:tc>
        <w:tc>
          <w:tcPr>
            <w:tcW w:w="1270" w:type="dxa"/>
          </w:tcPr>
          <w:p w14:paraId="312117D2">
            <w:r>
              <w:rPr>
                <w:rFonts w:ascii="Times New Roman" w:hAnsi="Times New Roman"/>
                <w:b w:val="0"/>
                <w:sz w:val="18"/>
              </w:rPr>
              <w:t>[ ]</w:t>
            </w:r>
          </w:p>
        </w:tc>
        <w:tc>
          <w:tcPr>
            <w:tcW w:w="1270" w:type="dxa"/>
          </w:tcPr>
          <w:p w14:paraId="061D493C">
            <w:r>
              <w:rPr>
                <w:rFonts w:ascii="Times New Roman" w:hAnsi="Times New Roman"/>
                <w:b w:val="0"/>
                <w:sz w:val="18"/>
              </w:rPr>
              <w:t>[ ]</w:t>
            </w:r>
          </w:p>
        </w:tc>
        <w:tc>
          <w:tcPr>
            <w:tcW w:w="1270" w:type="dxa"/>
          </w:tcPr>
          <w:p w14:paraId="3963F71E">
            <w:r>
              <w:rPr>
                <w:rFonts w:ascii="Times New Roman" w:hAnsi="Times New Roman"/>
                <w:b w:val="0"/>
                <w:sz w:val="18"/>
              </w:rPr>
              <w:t>[ ]</w:t>
            </w:r>
          </w:p>
        </w:tc>
        <w:tc>
          <w:tcPr>
            <w:tcW w:w="1270" w:type="dxa"/>
          </w:tcPr>
          <w:p w14:paraId="1A2D517C">
            <w:r>
              <w:rPr>
                <w:rFonts w:ascii="Times New Roman" w:hAnsi="Times New Roman"/>
                <w:b w:val="0"/>
                <w:sz w:val="18"/>
              </w:rPr>
              <w:t>[ ]</w:t>
            </w:r>
          </w:p>
        </w:tc>
        <w:tc>
          <w:tcPr>
            <w:tcW w:w="1270" w:type="dxa"/>
          </w:tcPr>
          <w:p w14:paraId="6857DD7F">
            <w:r>
              <w:rPr>
                <w:rFonts w:ascii="Times New Roman" w:hAnsi="Times New Roman"/>
                <w:b w:val="0"/>
                <w:sz w:val="18"/>
              </w:rPr>
              <w:t>[ ]</w:t>
            </w:r>
          </w:p>
        </w:tc>
        <w:tc>
          <w:tcPr>
            <w:tcW w:w="1270" w:type="dxa"/>
          </w:tcPr>
          <w:p w14:paraId="5F67A46C">
            <w:r>
              <w:rPr>
                <w:rFonts w:ascii="Times New Roman" w:hAnsi="Times New Roman"/>
                <w:b w:val="0"/>
                <w:sz w:val="18"/>
              </w:rPr>
              <w:t>[ ]</w:t>
            </w:r>
          </w:p>
        </w:tc>
      </w:tr>
      <w:tr w14:paraId="08020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70" w:type="dxa"/>
          </w:tcPr>
          <w:p w14:paraId="763000D1"/>
        </w:tc>
        <w:tc>
          <w:tcPr>
            <w:tcW w:w="1270" w:type="dxa"/>
          </w:tcPr>
          <w:p w14:paraId="2FCF20DB">
            <w:r>
              <w:rPr>
                <w:rFonts w:ascii="Times New Roman" w:hAnsi="Times New Roman"/>
                <w:b w:val="0"/>
                <w:sz w:val="18"/>
              </w:rPr>
              <w:t>Ours</w:t>
            </w:r>
          </w:p>
        </w:tc>
        <w:tc>
          <w:tcPr>
            <w:tcW w:w="1270" w:type="dxa"/>
          </w:tcPr>
          <w:p w14:paraId="550202BA">
            <w:r>
              <w:rPr>
                <w:rFonts w:ascii="Times New Roman" w:hAnsi="Times New Roman"/>
                <w:b w:val="0"/>
                <w:sz w:val="18"/>
              </w:rPr>
              <w:t>[ ]</w:t>
            </w:r>
          </w:p>
        </w:tc>
        <w:tc>
          <w:tcPr>
            <w:tcW w:w="1270" w:type="dxa"/>
          </w:tcPr>
          <w:p w14:paraId="18E6C0C1">
            <w:r>
              <w:rPr>
                <w:rFonts w:ascii="Times New Roman" w:hAnsi="Times New Roman"/>
                <w:b w:val="0"/>
                <w:sz w:val="18"/>
              </w:rPr>
              <w:t>[ ]</w:t>
            </w:r>
          </w:p>
        </w:tc>
        <w:tc>
          <w:tcPr>
            <w:tcW w:w="1270" w:type="dxa"/>
          </w:tcPr>
          <w:p w14:paraId="2E88279D">
            <w:r>
              <w:rPr>
                <w:rFonts w:ascii="Times New Roman" w:hAnsi="Times New Roman"/>
                <w:b w:val="0"/>
                <w:sz w:val="18"/>
              </w:rPr>
              <w:t>[ ]</w:t>
            </w:r>
          </w:p>
        </w:tc>
        <w:tc>
          <w:tcPr>
            <w:tcW w:w="1270" w:type="dxa"/>
          </w:tcPr>
          <w:p w14:paraId="14F39623">
            <w:r>
              <w:rPr>
                <w:rFonts w:ascii="Times New Roman" w:hAnsi="Times New Roman"/>
                <w:b w:val="0"/>
                <w:sz w:val="18"/>
              </w:rPr>
              <w:t>[ ]</w:t>
            </w:r>
          </w:p>
        </w:tc>
        <w:tc>
          <w:tcPr>
            <w:tcW w:w="1270" w:type="dxa"/>
          </w:tcPr>
          <w:p w14:paraId="27C7D26F">
            <w:r>
              <w:rPr>
                <w:rFonts w:ascii="Times New Roman" w:hAnsi="Times New Roman"/>
                <w:b w:val="0"/>
                <w:sz w:val="18"/>
              </w:rPr>
              <w:t>[ ]</w:t>
            </w:r>
          </w:p>
        </w:tc>
        <w:tc>
          <w:tcPr>
            <w:tcW w:w="1270" w:type="dxa"/>
          </w:tcPr>
          <w:p w14:paraId="421477B7">
            <w:r>
              <w:rPr>
                <w:rFonts w:ascii="Times New Roman" w:hAnsi="Times New Roman"/>
                <w:b w:val="0"/>
                <w:sz w:val="18"/>
              </w:rPr>
              <w:t>[ ]</w:t>
            </w:r>
          </w:p>
        </w:tc>
      </w:tr>
    </w:tbl>
    <w:p w14:paraId="717CB38F">
      <w:pPr>
        <w:pStyle w:val="3"/>
      </w:pPr>
      <w:r>
        <w:t>Qualitative Results</w:t>
      </w:r>
    </w:p>
    <w:p w14:paraId="2801BC92">
      <w:pPr>
        <w:pStyle w:val="12"/>
      </w:pPr>
      <w:r>
        <w:t>We provide qualitative examples of predicted scan paths and attention levels, illustrating how topology constraints and memory reduce implausible transitions and yield more coherent future rollouts. (Figure placeholders to be replaced with final plots.)</w:t>
      </w:r>
    </w:p>
    <w:p w14:paraId="3333D983">
      <w:pPr>
        <w:pStyle w:val="2"/>
      </w:pPr>
      <w:r>
        <w:t>ROBOT-FACING TOPOLOGICAL GUIDE SIMULATION</w:t>
      </w:r>
    </w:p>
    <w:p w14:paraId="275F84BD">
      <w:pPr>
        <w:pStyle w:val="12"/>
      </w:pPr>
      <w:r>
        <w:t>We evaluate whether the learned priors are useful for a guide agent operating on the exhibit graph. At each step, the agent selects the next exhibit among feasible neighbors using: (i) random policy, (ii) Markov frequency policy, or (iii) our predicted prior. We report goal-hit rate, timing error (MAE), and regret measured in graph steps.</w:t>
      </w:r>
    </w:p>
    <w:p w14:paraId="07F55BA9">
      <w:pPr>
        <w:pStyle w:val="43"/>
      </w:pPr>
      <w:r>
        <w:t>TABLE III</w:t>
      </w:r>
      <w:r>
        <w:br w:type="textWrapping"/>
      </w:r>
      <w:r>
        <w:t>GUIDE SIMULATION (EXPERIMENT-R) (TO FILL)</w:t>
      </w:r>
    </w:p>
    <w:tbl>
      <w:tblPr>
        <w:tblStyle w:val="1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032"/>
        <w:gridCol w:w="986"/>
        <w:gridCol w:w="986"/>
        <w:gridCol w:w="959"/>
        <w:gridCol w:w="995"/>
      </w:tblGrid>
      <w:tr w14:paraId="14AD2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33" w:type="dxa"/>
          </w:tcPr>
          <w:p w14:paraId="25A39C09">
            <w:r>
              <w:rPr>
                <w:rFonts w:ascii="Times New Roman" w:hAnsi="Times New Roman"/>
                <w:b/>
                <w:sz w:val="18"/>
              </w:rPr>
              <w:t>Policy</w:t>
            </w:r>
          </w:p>
        </w:tc>
        <w:tc>
          <w:tcPr>
            <w:tcW w:w="2033" w:type="dxa"/>
          </w:tcPr>
          <w:p w14:paraId="301C5CF3">
            <w:r>
              <w:rPr>
                <w:rFonts w:ascii="Times New Roman" w:hAnsi="Times New Roman"/>
                <w:b/>
                <w:sz w:val="18"/>
              </w:rPr>
              <w:t>Goal Hit@1↑</w:t>
            </w:r>
          </w:p>
        </w:tc>
        <w:tc>
          <w:tcPr>
            <w:tcW w:w="2033" w:type="dxa"/>
          </w:tcPr>
          <w:p w14:paraId="67F7342E">
            <w:r>
              <w:rPr>
                <w:rFonts w:ascii="Times New Roman" w:hAnsi="Times New Roman"/>
                <w:b/>
                <w:sz w:val="18"/>
              </w:rPr>
              <w:t>Goal Hit@5↑</w:t>
            </w:r>
          </w:p>
        </w:tc>
        <w:tc>
          <w:tcPr>
            <w:tcW w:w="2033" w:type="dxa"/>
          </w:tcPr>
          <w:p w14:paraId="35C1C126">
            <w:r>
              <w:rPr>
                <w:rFonts w:ascii="Times New Roman" w:hAnsi="Times New Roman"/>
                <w:b/>
                <w:sz w:val="18"/>
              </w:rPr>
              <w:t>Timing Error↓</w:t>
            </w:r>
          </w:p>
        </w:tc>
        <w:tc>
          <w:tcPr>
            <w:tcW w:w="2033" w:type="dxa"/>
          </w:tcPr>
          <w:p w14:paraId="79472C85">
            <w:r>
              <w:rPr>
                <w:rFonts w:ascii="Times New Roman" w:hAnsi="Times New Roman"/>
                <w:b/>
                <w:sz w:val="18"/>
              </w:rPr>
              <w:t>Regret↓</w:t>
            </w:r>
          </w:p>
        </w:tc>
      </w:tr>
      <w:tr w14:paraId="553D7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33" w:type="dxa"/>
          </w:tcPr>
          <w:p w14:paraId="3BDE56F9">
            <w:r>
              <w:rPr>
                <w:rFonts w:ascii="Times New Roman" w:hAnsi="Times New Roman"/>
                <w:b/>
                <w:sz w:val="18"/>
              </w:rPr>
              <w:t>Random</w:t>
            </w:r>
          </w:p>
        </w:tc>
        <w:tc>
          <w:tcPr>
            <w:tcW w:w="2033" w:type="dxa"/>
          </w:tcPr>
          <w:p w14:paraId="4B4572EE">
            <w:r>
              <w:rPr>
                <w:rFonts w:ascii="Times New Roman" w:hAnsi="Times New Roman"/>
                <w:b w:val="0"/>
                <w:sz w:val="18"/>
              </w:rPr>
              <w:t>[ ]</w:t>
            </w:r>
          </w:p>
        </w:tc>
        <w:tc>
          <w:tcPr>
            <w:tcW w:w="2033" w:type="dxa"/>
          </w:tcPr>
          <w:p w14:paraId="396E838F">
            <w:r>
              <w:rPr>
                <w:rFonts w:ascii="Times New Roman" w:hAnsi="Times New Roman"/>
                <w:b w:val="0"/>
                <w:sz w:val="18"/>
              </w:rPr>
              <w:t>[ ]</w:t>
            </w:r>
          </w:p>
        </w:tc>
        <w:tc>
          <w:tcPr>
            <w:tcW w:w="2033" w:type="dxa"/>
          </w:tcPr>
          <w:p w14:paraId="3BFEC375">
            <w:r>
              <w:rPr>
                <w:rFonts w:ascii="Times New Roman" w:hAnsi="Times New Roman"/>
                <w:b w:val="0"/>
                <w:sz w:val="18"/>
              </w:rPr>
              <w:t>[ ]</w:t>
            </w:r>
          </w:p>
        </w:tc>
        <w:tc>
          <w:tcPr>
            <w:tcW w:w="2033" w:type="dxa"/>
          </w:tcPr>
          <w:p w14:paraId="5504FA7E">
            <w:r>
              <w:rPr>
                <w:rFonts w:ascii="Times New Roman" w:hAnsi="Times New Roman"/>
                <w:b w:val="0"/>
                <w:sz w:val="18"/>
              </w:rPr>
              <w:t>[ ]</w:t>
            </w:r>
          </w:p>
        </w:tc>
      </w:tr>
      <w:tr w14:paraId="7C89C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33" w:type="dxa"/>
          </w:tcPr>
          <w:p w14:paraId="43ABE7B9">
            <w:r>
              <w:rPr>
                <w:rFonts w:ascii="Times New Roman" w:hAnsi="Times New Roman"/>
                <w:b/>
                <w:sz w:val="18"/>
              </w:rPr>
              <w:t>Markov</w:t>
            </w:r>
          </w:p>
        </w:tc>
        <w:tc>
          <w:tcPr>
            <w:tcW w:w="2033" w:type="dxa"/>
          </w:tcPr>
          <w:p w14:paraId="373471A2">
            <w:r>
              <w:rPr>
                <w:rFonts w:ascii="Times New Roman" w:hAnsi="Times New Roman"/>
                <w:b w:val="0"/>
                <w:sz w:val="18"/>
              </w:rPr>
              <w:t>[ ]</w:t>
            </w:r>
          </w:p>
        </w:tc>
        <w:tc>
          <w:tcPr>
            <w:tcW w:w="2033" w:type="dxa"/>
          </w:tcPr>
          <w:p w14:paraId="6EA98632">
            <w:r>
              <w:rPr>
                <w:rFonts w:ascii="Times New Roman" w:hAnsi="Times New Roman"/>
                <w:b w:val="0"/>
                <w:sz w:val="18"/>
              </w:rPr>
              <w:t>[ ]</w:t>
            </w:r>
          </w:p>
        </w:tc>
        <w:tc>
          <w:tcPr>
            <w:tcW w:w="2033" w:type="dxa"/>
          </w:tcPr>
          <w:p w14:paraId="07C93B4E">
            <w:r>
              <w:rPr>
                <w:rFonts w:ascii="Times New Roman" w:hAnsi="Times New Roman"/>
                <w:b w:val="0"/>
                <w:sz w:val="18"/>
              </w:rPr>
              <w:t>[ ]</w:t>
            </w:r>
          </w:p>
        </w:tc>
        <w:tc>
          <w:tcPr>
            <w:tcW w:w="2033" w:type="dxa"/>
          </w:tcPr>
          <w:p w14:paraId="739681AE">
            <w:r>
              <w:rPr>
                <w:rFonts w:ascii="Times New Roman" w:hAnsi="Times New Roman"/>
                <w:b w:val="0"/>
                <w:sz w:val="18"/>
              </w:rPr>
              <w:t>[ ]</w:t>
            </w:r>
          </w:p>
        </w:tc>
      </w:tr>
      <w:tr w14:paraId="75530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33" w:type="dxa"/>
          </w:tcPr>
          <w:p w14:paraId="76F656F2">
            <w:r>
              <w:rPr>
                <w:rFonts w:ascii="Times New Roman" w:hAnsi="Times New Roman"/>
                <w:b/>
                <w:sz w:val="18"/>
              </w:rPr>
              <w:t>Ours</w:t>
            </w:r>
          </w:p>
        </w:tc>
        <w:tc>
          <w:tcPr>
            <w:tcW w:w="2033" w:type="dxa"/>
          </w:tcPr>
          <w:p w14:paraId="12C554F7">
            <w:r>
              <w:rPr>
                <w:rFonts w:ascii="Times New Roman" w:hAnsi="Times New Roman"/>
                <w:b w:val="0"/>
                <w:sz w:val="18"/>
              </w:rPr>
              <w:t>[ ]</w:t>
            </w:r>
          </w:p>
        </w:tc>
        <w:tc>
          <w:tcPr>
            <w:tcW w:w="2033" w:type="dxa"/>
          </w:tcPr>
          <w:p w14:paraId="2259D502">
            <w:r>
              <w:rPr>
                <w:rFonts w:ascii="Times New Roman" w:hAnsi="Times New Roman"/>
                <w:b w:val="0"/>
                <w:sz w:val="18"/>
              </w:rPr>
              <w:t>[ ]</w:t>
            </w:r>
          </w:p>
        </w:tc>
        <w:tc>
          <w:tcPr>
            <w:tcW w:w="2033" w:type="dxa"/>
          </w:tcPr>
          <w:p w14:paraId="68C9BBB6">
            <w:r>
              <w:rPr>
                <w:rFonts w:ascii="Times New Roman" w:hAnsi="Times New Roman"/>
                <w:b w:val="0"/>
                <w:sz w:val="18"/>
              </w:rPr>
              <w:t>[ ]</w:t>
            </w:r>
          </w:p>
        </w:tc>
        <w:tc>
          <w:tcPr>
            <w:tcW w:w="2033" w:type="dxa"/>
          </w:tcPr>
          <w:p w14:paraId="511F236F">
            <w:r>
              <w:rPr>
                <w:rFonts w:ascii="Times New Roman" w:hAnsi="Times New Roman"/>
                <w:b w:val="0"/>
                <w:sz w:val="18"/>
              </w:rPr>
              <w:t>[ ]</w:t>
            </w:r>
          </w:p>
        </w:tc>
      </w:tr>
    </w:tbl>
    <w:p w14:paraId="001DED6F">
      <w:pPr>
        <w:pStyle w:val="2"/>
      </w:pPr>
      <w:r>
        <w:t>DISCUSSION AND LIMITATIONS</w:t>
      </w:r>
    </w:p>
    <w:p w14:paraId="22B7BD39">
      <w:pPr>
        <w:pStyle w:val="12"/>
      </w:pPr>
      <w:r>
        <w:t>Our approach is designed to be robot-consumable and computationally practical, but is limited by dataset scale and venue diversity. Hotkey-based segmentation may introduce boundary noise; we mitigate this via robustness analysis and memory-based smoothing. Future work will expand venue coverage, strengthen cross-venue evaluation, and integrate the priors into richer simulators and real robots.</w:t>
      </w:r>
    </w:p>
    <w:p w14:paraId="18755974">
      <w:pPr>
        <w:pStyle w:val="2"/>
      </w:pPr>
      <w:r>
        <w:t>REFERENCES</w:t>
      </w:r>
    </w:p>
    <w:p w14:paraId="6DB87F33">
      <w:pPr>
        <w:pStyle w:val="38"/>
      </w:pPr>
      <w:r>
        <w:t>[1] TO FILL.</w:t>
      </w:r>
      <w:r>
        <w:br w:type="textWrapping"/>
      </w:r>
      <w:r>
        <w:t>[2] TO FILL.</w:t>
      </w:r>
      <w:r>
        <w:br w:type="textWrapping"/>
      </w:r>
      <w:r>
        <w:t>[3] TO FILL.</w:t>
      </w:r>
      <w:r>
        <w:br w:type="textWrapping"/>
      </w:r>
    </w:p>
    <w:sectPr>
      <w:footnotePr>
        <w:numFmt w:val="decimal"/>
      </w:footnotePr>
      <w:type w:val="continuous"/>
      <w:pgSz w:w="11906" w:h="16838"/>
      <w:pgMar w:top="2074" w:right="662" w:bottom="1080" w:left="1080" w:header="432" w:footer="0" w:gutter="0"/>
      <w:pgNumType w:fmt="decimal"/>
      <w:cols w:space="288" w:num="2"/>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SimSun;宋体">
    <w:altName w:val="宋体"/>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PMingLiU;新細明體">
    <w:altName w:val="Segoe Print"/>
    <w:panose1 w:val="00000000000000000000"/>
    <w:charset w:val="00"/>
    <w:family w:val="auto"/>
    <w:pitch w:val="default"/>
    <w:sig w:usb0="00000000" w:usb1="00000000" w:usb2="00000000" w:usb3="00000000" w:csb0="00000000" w:csb1="00000000"/>
  </w:font>
  <w:font w:name="MS Mincho;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mbusRomNo9L-Medi">
    <w:altName w:val="Segoe Print"/>
    <w:panose1 w:val="00000000000000000000"/>
    <w:charset w:val="00"/>
    <w:family w:val="auto"/>
    <w:pitch w:val="default"/>
    <w:sig w:usb0="00000000" w:usb1="00000000" w:usb2="00000000" w:usb3="00000000" w:csb0="00000000" w:csb1="00000000"/>
  </w:font>
  <w:font w:name="NimbusRomNo9L-Regu">
    <w:altName w:val="Segoe Prin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C7200">
    <w:pPr>
      <w:ind w:right="360"/>
    </w:pPr>
    <w:r>
      <mc:AlternateContent>
        <mc:Choice Requires="wps">
          <w:drawing>
            <wp:anchor distT="0" distB="0" distL="0" distR="0" simplePos="0" relativeHeight="251659264" behindDoc="0" locked="0" layoutInCell="0" allowOverlap="1">
              <wp:simplePos x="0" y="0"/>
              <wp:positionH relativeFrom="margin">
                <wp:align>right</wp:align>
              </wp:positionH>
              <wp:positionV relativeFrom="paragraph">
                <wp:posOffset>635</wp:posOffset>
              </wp:positionV>
              <wp:extent cx="14605" cy="146685"/>
              <wp:effectExtent l="0" t="0" r="0" b="0"/>
              <wp:wrapSquare wrapText="bothSides"/>
              <wp:docPr id="4" name="Frame4"/>
              <wp:cNvGraphicFramePr/>
              <a:graphic xmlns:a="http://schemas.openxmlformats.org/drawingml/2006/main">
                <a:graphicData uri="http://schemas.microsoft.com/office/word/2010/wordprocessingShape">
                  <wps:wsp>
                    <wps:cNvSpPr txBox="1"/>
                    <wps:spPr>
                      <a:xfrm>
                        <a:off x="0" y="0"/>
                        <a:ext cx="14605" cy="146685"/>
                      </a:xfrm>
                      <a:prstGeom prst="rect">
                        <a:avLst/>
                      </a:prstGeom>
                      <a:solidFill>
                        <a:srgbClr val="FFFFFF">
                          <a:alpha val="0"/>
                        </a:srgbClr>
                      </a:solidFill>
                    </wps:spPr>
                    <wps:txbx>
                      <w:txbxContent>
                        <w:p w14:paraId="77A30D7E"/>
                      </w:txbxContent>
                    </wps:txbx>
                    <wps:bodyPr lIns="0" tIns="0" rIns="0" bIns="0" anchor="t">
                      <a:noAutofit/>
                    </wps:bodyPr>
                  </wps:wsp>
                </a:graphicData>
              </a:graphic>
            </wp:anchor>
          </w:drawing>
        </mc:Choice>
        <mc:Fallback>
          <w:pict>
            <v:shape id="Frame4" o:spid="_x0000_s1026" o:spt="202" type="#_x0000_t202" style="position:absolute;left:0pt;margin-top:0.05pt;height:11.55pt;width:1.15pt;mso-position-horizontal:right;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3DD1LNAAAAACAQAADwAAAAAAAAABACAAAAAiAAAAZHJzL2Rvd25yZXYueG1s&#10;UEsBAhQAFAAAAAgAh07iQP6EVqzHAQAAsgMAAA4AAAAAAAAAAQAgAAAAHwEAAGRycy9lMm9Eb2Mu&#10;eG1sUEsFBgAAAAAGAAYAWQEAAFgFAAAAAA==&#10;">
              <v:fill on="t" opacity="0f" focussize="0,0"/>
              <v:stroke on="f"/>
              <v:imagedata o:title=""/>
              <o:lock v:ext="edit" aspectratio="f"/>
              <v:textbox inset="0mm,0mm,0mm,0mm">
                <w:txbxContent>
                  <w:p w14:paraId="77A30D7E"/>
                </w:txbxContent>
              </v:textbox>
              <w10:wrap type="squar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upperRoman"/>
      <w:pStyle w:val="61"/>
      <w:lvlText w:val="TABLE %1. "/>
      <w:lvlJc w:val="left"/>
      <w:pPr>
        <w:tabs>
          <w:tab w:val="left" w:pos="1080"/>
        </w:tabs>
        <w:ind w:left="0" w:firstLine="0"/>
      </w:pPr>
      <w:rPr>
        <w:rFonts w:ascii="Times New Roman" w:hAnsi="Times New Roman" w:cs="Times New Roman"/>
        <w:b w:val="0"/>
        <w:bCs w:val="0"/>
        <w:i w:val="0"/>
        <w:iCs w:val="0"/>
        <w:sz w:val="16"/>
        <w:szCs w:val="16"/>
      </w:rPr>
    </w:lvl>
  </w:abstractNum>
  <w:abstractNum w:abstractNumId="1">
    <w:nsid w:val="BF205925"/>
    <w:multiLevelType w:val="singleLevel"/>
    <w:tmpl w:val="BF205925"/>
    <w:lvl w:ilvl="0" w:tentative="0">
      <w:start w:val="1"/>
      <w:numFmt w:val="decimal"/>
      <w:pStyle w:val="56"/>
      <w:lvlText w:val="Figure %1. "/>
      <w:lvlJc w:val="left"/>
      <w:pPr>
        <w:tabs>
          <w:tab w:val="left" w:pos="720"/>
        </w:tabs>
        <w:ind w:left="0" w:firstLine="0"/>
      </w:pPr>
      <w:rPr>
        <w:rFonts w:ascii="Times New Roman" w:hAnsi="Times New Roman" w:cs="Times New Roman"/>
        <w:b w:val="0"/>
        <w:bCs w:val="0"/>
        <w:i w:val="0"/>
        <w:iCs w:val="0"/>
        <w:color w:val="000000"/>
        <w:sz w:val="16"/>
        <w:szCs w:val="16"/>
      </w:rPr>
    </w:lvl>
  </w:abstractNum>
  <w:abstractNum w:abstractNumId="2">
    <w:nsid w:val="CF092B84"/>
    <w:multiLevelType w:val="singleLevel"/>
    <w:tmpl w:val="CF092B84"/>
    <w:lvl w:ilvl="0" w:tentative="0">
      <w:start w:val="1"/>
      <w:numFmt w:val="decimal"/>
      <w:pStyle w:val="38"/>
      <w:lvlText w:val="[%1]"/>
      <w:lvlJc w:val="left"/>
      <w:pPr>
        <w:tabs>
          <w:tab w:val="left" w:pos="360"/>
        </w:tabs>
        <w:ind w:left="360" w:hanging="360"/>
      </w:pPr>
    </w:lvl>
  </w:abstractNum>
  <w:abstractNum w:abstractNumId="3">
    <w:nsid w:val="0053208E"/>
    <w:multiLevelType w:val="multilevel"/>
    <w:tmpl w:val="0053208E"/>
    <w:lvl w:ilvl="0" w:tentative="0">
      <w:start w:val="1"/>
      <w:numFmt w:val="upperRoman"/>
      <w:pStyle w:val="2"/>
      <w:lvlText w:val="%1."/>
      <w:lvlJc w:val="left"/>
      <w:pPr>
        <w:tabs>
          <w:tab w:val="left" w:pos="144"/>
        </w:tabs>
        <w:ind w:left="0" w:firstLine="0"/>
      </w:pPr>
    </w:lvl>
    <w:lvl w:ilvl="1" w:tentative="0">
      <w:start w:val="1"/>
      <w:numFmt w:val="upperLetter"/>
      <w:pStyle w:val="3"/>
      <w:lvlText w:val="%2."/>
      <w:lvlJc w:val="left"/>
      <w:pPr>
        <w:tabs>
          <w:tab w:val="left" w:pos="144"/>
        </w:tabs>
        <w:ind w:left="0" w:firstLine="0"/>
      </w:pPr>
    </w:lvl>
    <w:lvl w:ilvl="2" w:tentative="0">
      <w:start w:val="1"/>
      <w:numFmt w:val="decimal"/>
      <w:pStyle w:val="4"/>
      <w:lvlText w:val="%3)"/>
      <w:lvlJc w:val="left"/>
      <w:pPr>
        <w:tabs>
          <w:tab w:val="left" w:pos="144"/>
        </w:tabs>
        <w:ind w:left="0" w:firstLine="0"/>
      </w:pPr>
    </w:lvl>
    <w:lvl w:ilvl="3" w:tentative="0">
      <w:start w:val="1"/>
      <w:numFmt w:val="lowerLetter"/>
      <w:pStyle w:val="5"/>
      <w:lvlText w:val="%4)"/>
      <w:lvlJc w:val="left"/>
      <w:pPr>
        <w:tabs>
          <w:tab w:val="left" w:pos="720"/>
        </w:tabs>
        <w:ind w:left="1152" w:hanging="720"/>
      </w:pPr>
    </w:lvl>
    <w:lvl w:ilvl="4" w:tentative="0">
      <w:start w:val="1"/>
      <w:numFmt w:val="decimal"/>
      <w:pStyle w:val="6"/>
      <w:lvlText w:val="(%5)"/>
      <w:lvlJc w:val="left"/>
      <w:pPr>
        <w:tabs>
          <w:tab w:val="left" w:pos="720"/>
        </w:tabs>
        <w:ind w:left="1872" w:hanging="720"/>
      </w:pPr>
    </w:lvl>
    <w:lvl w:ilvl="5" w:tentative="0">
      <w:start w:val="1"/>
      <w:numFmt w:val="lowerLetter"/>
      <w:pStyle w:val="7"/>
      <w:lvlText w:val="(%6)"/>
      <w:lvlJc w:val="left"/>
      <w:pPr>
        <w:tabs>
          <w:tab w:val="left" w:pos="720"/>
        </w:tabs>
        <w:ind w:left="2592" w:hanging="720"/>
      </w:pPr>
    </w:lvl>
    <w:lvl w:ilvl="6" w:tentative="0">
      <w:start w:val="1"/>
      <w:numFmt w:val="lowerRoman"/>
      <w:pStyle w:val="8"/>
      <w:lvlText w:val="(%7)"/>
      <w:lvlJc w:val="left"/>
      <w:pPr>
        <w:tabs>
          <w:tab w:val="left" w:pos="720"/>
        </w:tabs>
        <w:ind w:left="3312" w:hanging="720"/>
      </w:pPr>
    </w:lvl>
    <w:lvl w:ilvl="7" w:tentative="0">
      <w:start w:val="1"/>
      <w:numFmt w:val="lowerLetter"/>
      <w:pStyle w:val="9"/>
      <w:lvlText w:val="(%8)"/>
      <w:lvlJc w:val="left"/>
      <w:pPr>
        <w:tabs>
          <w:tab w:val="left" w:pos="720"/>
        </w:tabs>
        <w:ind w:left="4032" w:hanging="720"/>
      </w:pPr>
    </w:lvl>
    <w:lvl w:ilvl="8" w:tentative="0">
      <w:start w:val="1"/>
      <w:numFmt w:val="lowerRoman"/>
      <w:pStyle w:val="10"/>
      <w:lvlText w:val="(%9)"/>
      <w:lvlJc w:val="left"/>
      <w:pPr>
        <w:tabs>
          <w:tab w:val="left" w:pos="720"/>
        </w:tabs>
        <w:ind w:left="4752" w:hanging="720"/>
      </w:pPr>
    </w:lvl>
  </w:abstractNum>
  <w:abstractNum w:abstractNumId="4">
    <w:nsid w:val="59ADCABA"/>
    <w:multiLevelType w:val="singleLevel"/>
    <w:tmpl w:val="59ADCABA"/>
    <w:lvl w:ilvl="0" w:tentative="0">
      <w:start w:val="1"/>
      <w:numFmt w:val="bullet"/>
      <w:pStyle w:val="52"/>
      <w:lvlText w:val=""/>
      <w:lvlJc w:val="left"/>
      <w:pPr>
        <w:tabs>
          <w:tab w:val="left" w:pos="648"/>
        </w:tabs>
        <w:ind w:left="648" w:hanging="360"/>
      </w:pPr>
      <w:rPr>
        <w:rFonts w:hint="default" w:ascii="Symbol" w:hAnsi="Symbol" w:cs="Symbol"/>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202"/>
  <w:autoHyphenation/>
  <w:hyphenationZone w:val="0"/>
  <w:displayHorizontalDrawingGridEvery w:val="1"/>
  <w:displayVerticalDrawingGridEvery w:val="1"/>
  <w:noPunctuationKerning w:val="1"/>
  <w:compat>
    <w:doNotExpandShiftReturn/>
    <w:usePrinterMetrics/>
    <w:doNotBreakWrappedTables/>
    <w:doNotWrapTextWithPunct/>
    <w:doNotUseEastAsianBreakRules/>
    <w:useFELayout/>
    <w:useAltKinsokuLineBreakRules/>
    <w:compatSetting w:name="compatibilityMode" w:uri="http://schemas.microsoft.com/office/word" w:val="11"/>
  </w:compat>
  <w:rsids>
    <w:rsidRoot w:val="00000000"/>
    <w:rsid w:val="12DC4EE0"/>
    <w:rsid w:val="143A1C4B"/>
    <w:rsid w:val="1B177D78"/>
    <w:rsid w:val="20320974"/>
    <w:rsid w:val="235F050E"/>
    <w:rsid w:val="3CD25455"/>
    <w:rsid w:val="4A0212F4"/>
    <w:rsid w:val="687A7667"/>
    <w:rsid w:val="6EDF28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autoSpaceDE w:val="0"/>
      <w:bidi w:val="0"/>
    </w:pPr>
    <w:rPr>
      <w:rFonts w:ascii="Times New Roman" w:hAnsi="Times New Roman" w:eastAsia="Times New Roman" w:cs="Times New Roman"/>
      <w:color w:val="auto"/>
      <w:sz w:val="20"/>
      <w:szCs w:val="20"/>
      <w:lang w:val="en-US" w:eastAsia="zh-CN" w:bidi="ar-SA"/>
    </w:rPr>
  </w:style>
  <w:style w:type="paragraph" w:styleId="2">
    <w:name w:val="heading 1"/>
    <w:basedOn w:val="1"/>
    <w:next w:val="1"/>
    <w:qFormat/>
    <w:uiPriority w:val="0"/>
    <w:pPr>
      <w:keepNext/>
      <w:numPr>
        <w:ilvl w:val="0"/>
        <w:numId w:val="1"/>
      </w:numPr>
      <w:spacing w:before="240" w:after="80"/>
      <w:jc w:val="center"/>
      <w:outlineLvl w:val="0"/>
    </w:pPr>
    <w:rPr>
      <w:smallCaps/>
      <w:kern w:val="2"/>
    </w:rPr>
  </w:style>
  <w:style w:type="paragraph" w:styleId="3">
    <w:name w:val="heading 2"/>
    <w:basedOn w:val="1"/>
    <w:next w:val="1"/>
    <w:qFormat/>
    <w:uiPriority w:val="0"/>
    <w:pPr>
      <w:keepNext/>
      <w:numPr>
        <w:ilvl w:val="1"/>
        <w:numId w:val="1"/>
      </w:numPr>
      <w:spacing w:before="120" w:after="60"/>
      <w:ind w:left="144" w:right="0" w:firstLine="0"/>
      <w:outlineLvl w:val="1"/>
    </w:pPr>
    <w:rPr>
      <w:i/>
      <w:iCs/>
    </w:rPr>
  </w:style>
  <w:style w:type="paragraph" w:styleId="4">
    <w:name w:val="heading 3"/>
    <w:basedOn w:val="1"/>
    <w:next w:val="1"/>
    <w:qFormat/>
    <w:uiPriority w:val="0"/>
    <w:pPr>
      <w:keepNext/>
      <w:numPr>
        <w:ilvl w:val="2"/>
        <w:numId w:val="1"/>
      </w:numPr>
      <w:ind w:left="288" w:right="0" w:firstLine="0"/>
      <w:outlineLvl w:val="2"/>
    </w:pPr>
    <w:rPr>
      <w:i/>
      <w:iCs/>
    </w:rPr>
  </w:style>
  <w:style w:type="paragraph" w:styleId="5">
    <w:name w:val="heading 4"/>
    <w:basedOn w:val="1"/>
    <w:next w:val="1"/>
    <w:qFormat/>
    <w:uiPriority w:val="0"/>
    <w:pPr>
      <w:keepNext/>
      <w:numPr>
        <w:ilvl w:val="3"/>
        <w:numId w:val="1"/>
      </w:numPr>
      <w:spacing w:before="240" w:after="60"/>
      <w:ind w:left="1152" w:right="0" w:hanging="720"/>
      <w:outlineLvl w:val="3"/>
    </w:pPr>
    <w:rPr>
      <w:i/>
      <w:iCs/>
      <w:sz w:val="18"/>
      <w:szCs w:val="18"/>
    </w:rPr>
  </w:style>
  <w:style w:type="paragraph" w:styleId="6">
    <w:name w:val="heading 5"/>
    <w:basedOn w:val="1"/>
    <w:next w:val="1"/>
    <w:qFormat/>
    <w:uiPriority w:val="0"/>
    <w:pPr>
      <w:numPr>
        <w:ilvl w:val="4"/>
        <w:numId w:val="1"/>
      </w:numPr>
      <w:spacing w:before="240" w:after="60"/>
      <w:ind w:left="1872" w:right="0" w:hanging="720"/>
      <w:outlineLvl w:val="4"/>
    </w:pPr>
    <w:rPr>
      <w:sz w:val="18"/>
      <w:szCs w:val="18"/>
    </w:rPr>
  </w:style>
  <w:style w:type="paragraph" w:styleId="7">
    <w:name w:val="heading 6"/>
    <w:basedOn w:val="1"/>
    <w:next w:val="1"/>
    <w:qFormat/>
    <w:uiPriority w:val="0"/>
    <w:pPr>
      <w:numPr>
        <w:ilvl w:val="5"/>
        <w:numId w:val="1"/>
      </w:numPr>
      <w:spacing w:before="240" w:after="60"/>
      <w:ind w:left="2592" w:right="0" w:hanging="720"/>
      <w:outlineLvl w:val="5"/>
    </w:pPr>
    <w:rPr>
      <w:i/>
      <w:iCs/>
      <w:sz w:val="16"/>
      <w:szCs w:val="16"/>
    </w:rPr>
  </w:style>
  <w:style w:type="paragraph" w:styleId="8">
    <w:name w:val="heading 7"/>
    <w:basedOn w:val="1"/>
    <w:next w:val="1"/>
    <w:qFormat/>
    <w:uiPriority w:val="0"/>
    <w:pPr>
      <w:numPr>
        <w:ilvl w:val="6"/>
        <w:numId w:val="1"/>
      </w:numPr>
      <w:spacing w:before="240" w:after="60"/>
      <w:ind w:left="3312" w:right="0" w:hanging="720"/>
      <w:outlineLvl w:val="6"/>
    </w:pPr>
    <w:rPr>
      <w:sz w:val="16"/>
      <w:szCs w:val="16"/>
    </w:rPr>
  </w:style>
  <w:style w:type="paragraph" w:styleId="9">
    <w:name w:val="heading 8"/>
    <w:basedOn w:val="1"/>
    <w:next w:val="1"/>
    <w:qFormat/>
    <w:uiPriority w:val="0"/>
    <w:pPr>
      <w:numPr>
        <w:ilvl w:val="7"/>
        <w:numId w:val="1"/>
      </w:numPr>
      <w:spacing w:before="240" w:after="60"/>
      <w:ind w:left="4032" w:right="0" w:hanging="720"/>
      <w:outlineLvl w:val="7"/>
    </w:pPr>
    <w:rPr>
      <w:i/>
      <w:iCs/>
      <w:sz w:val="16"/>
      <w:szCs w:val="16"/>
    </w:rPr>
  </w:style>
  <w:style w:type="paragraph" w:styleId="10">
    <w:name w:val="heading 9"/>
    <w:basedOn w:val="1"/>
    <w:next w:val="1"/>
    <w:qFormat/>
    <w:uiPriority w:val="0"/>
    <w:pPr>
      <w:numPr>
        <w:ilvl w:val="8"/>
        <w:numId w:val="1"/>
      </w:numPr>
      <w:spacing w:before="240" w:after="60"/>
      <w:ind w:left="4752" w:right="0" w:hanging="720"/>
      <w:outlineLvl w:val="8"/>
    </w:pPr>
    <w:rPr>
      <w:sz w:val="16"/>
      <w:szCs w:val="16"/>
    </w:rPr>
  </w:style>
  <w:style w:type="character" w:default="1" w:styleId="19">
    <w:name w:val="Default Paragraph Font"/>
    <w:qFormat/>
    <w:uiPriority w:val="0"/>
  </w:style>
  <w:style w:type="table" w:default="1" w:styleId="18">
    <w:name w:val="Normal Table"/>
    <w:semiHidden/>
    <w:uiPriority w:val="0"/>
    <w:tblPr>
      <w:tblCellMar>
        <w:top w:w="0" w:type="dxa"/>
        <w:left w:w="108" w:type="dxa"/>
        <w:bottom w:w="0" w:type="dxa"/>
        <w:right w:w="108" w:type="dxa"/>
      </w:tblCellMar>
    </w:tblPr>
  </w:style>
  <w:style w:type="paragraph" w:styleId="11">
    <w:name w:val="caption"/>
    <w:basedOn w:val="1"/>
    <w:qFormat/>
    <w:uiPriority w:val="0"/>
    <w:pPr>
      <w:suppressLineNumbers/>
      <w:spacing w:before="120" w:after="120"/>
    </w:pPr>
    <w:rPr>
      <w:rFonts w:cs="Lohit Devanagari"/>
      <w:i/>
      <w:iCs/>
      <w:sz w:val="24"/>
      <w:szCs w:val="24"/>
    </w:rPr>
  </w:style>
  <w:style w:type="paragraph" w:styleId="12">
    <w:name w:val="Body Text"/>
    <w:basedOn w:val="1"/>
    <w:qFormat/>
    <w:uiPriority w:val="0"/>
    <w:pPr>
      <w:autoSpaceDE/>
      <w:spacing w:before="0" w:after="120" w:line="228" w:lineRule="auto"/>
      <w:ind w:left="0" w:right="0" w:firstLine="288"/>
      <w:jc w:val="both"/>
    </w:pPr>
    <w:rPr>
      <w:rFonts w:eastAsia="SimSun;宋体"/>
      <w:spacing w:val="-1"/>
    </w:rPr>
  </w:style>
  <w:style w:type="paragraph" w:styleId="13">
    <w:name w:val="Body Text Indent"/>
    <w:basedOn w:val="1"/>
    <w:qFormat/>
    <w:uiPriority w:val="0"/>
    <w:pPr>
      <w:ind w:left="630" w:right="0" w:hanging="630"/>
    </w:pPr>
    <w:rPr>
      <w:szCs w:val="24"/>
    </w:rPr>
  </w:style>
  <w:style w:type="paragraph" w:styleId="14">
    <w:name w:val="footer"/>
    <w:basedOn w:val="1"/>
    <w:qFormat/>
    <w:uiPriority w:val="0"/>
    <w:pPr>
      <w:tabs>
        <w:tab w:val="center" w:pos="4320"/>
        <w:tab w:val="right" w:pos="8640"/>
      </w:tabs>
    </w:pPr>
  </w:style>
  <w:style w:type="paragraph" w:styleId="15">
    <w:name w:val="header"/>
    <w:basedOn w:val="1"/>
    <w:qFormat/>
    <w:uiPriority w:val="0"/>
    <w:pPr>
      <w:tabs>
        <w:tab w:val="center" w:pos="4320"/>
        <w:tab w:val="right" w:pos="8640"/>
      </w:tabs>
    </w:pPr>
  </w:style>
  <w:style w:type="paragraph" w:styleId="16">
    <w:name w:val="List"/>
    <w:basedOn w:val="12"/>
    <w:qFormat/>
    <w:uiPriority w:val="0"/>
    <w:rPr>
      <w:rFonts w:cs="Lohit Devanagari"/>
    </w:rPr>
  </w:style>
  <w:style w:type="paragraph" w:styleId="17">
    <w:name w:val="footnote text"/>
    <w:basedOn w:val="1"/>
    <w:qFormat/>
    <w:uiPriority w:val="0"/>
    <w:pPr>
      <w:ind w:left="0" w:right="0" w:firstLine="202"/>
      <w:jc w:val="both"/>
    </w:pPr>
    <w:rPr>
      <w:sz w:val="16"/>
      <w:szCs w:val="16"/>
    </w:rPr>
  </w:style>
  <w:style w:type="character" w:styleId="20">
    <w:name w:val="endnote reference"/>
    <w:qFormat/>
    <w:uiPriority w:val="0"/>
    <w:rPr>
      <w:vertAlign w:val="superscript"/>
    </w:rPr>
  </w:style>
  <w:style w:type="character" w:styleId="21">
    <w:name w:val="FollowedHyperlink"/>
    <w:basedOn w:val="19"/>
    <w:uiPriority w:val="0"/>
    <w:rPr>
      <w:color w:val="800080"/>
      <w:u w:val="single"/>
    </w:rPr>
  </w:style>
  <w:style w:type="character" w:styleId="22">
    <w:name w:val="Hyperlink"/>
    <w:basedOn w:val="19"/>
    <w:qFormat/>
    <w:uiPriority w:val="0"/>
    <w:rPr>
      <w:color w:val="0000FF"/>
      <w:u w:val="single"/>
    </w:rPr>
  </w:style>
  <w:style w:type="character" w:styleId="23">
    <w:name w:val="footnote reference"/>
    <w:qFormat/>
    <w:uiPriority w:val="0"/>
    <w:rPr>
      <w:vertAlign w:val="superscript"/>
    </w:rPr>
  </w:style>
  <w:style w:type="character" w:customStyle="1" w:styleId="24">
    <w:name w:val="WW8Num6z0"/>
    <w:qFormat/>
    <w:uiPriority w:val="0"/>
    <w:rPr>
      <w:rFonts w:ascii="Symbol" w:hAnsi="Symbol" w:cs="Symbol"/>
    </w:rPr>
  </w:style>
  <w:style w:type="character" w:customStyle="1" w:styleId="25">
    <w:name w:val="WW8Num6z1"/>
    <w:qFormat/>
    <w:uiPriority w:val="0"/>
    <w:rPr>
      <w:rFonts w:ascii="Courier New" w:hAnsi="Courier New" w:cs="Courier New"/>
    </w:rPr>
  </w:style>
  <w:style w:type="character" w:customStyle="1" w:styleId="26">
    <w:name w:val="WW8Num6z2"/>
    <w:qFormat/>
    <w:uiPriority w:val="0"/>
    <w:rPr>
      <w:rFonts w:ascii="Wingdings" w:hAnsi="Wingdings" w:cs="Wingdings"/>
    </w:rPr>
  </w:style>
  <w:style w:type="character" w:customStyle="1" w:styleId="27">
    <w:name w:val="WW8Num12z0"/>
    <w:qFormat/>
    <w:uiPriority w:val="0"/>
    <w:rPr>
      <w:rFonts w:ascii="Times New Roman" w:hAnsi="Times New Roman" w:cs="Times New Roman"/>
      <w:color w:val="000000"/>
      <w:sz w:val="16"/>
      <w:szCs w:val="16"/>
    </w:rPr>
  </w:style>
  <w:style w:type="character" w:customStyle="1" w:styleId="28">
    <w:name w:val="WW8Num12z1"/>
    <w:qFormat/>
    <w:uiPriority w:val="0"/>
    <w:rPr>
      <w:rFonts w:cs="Times New Roman"/>
    </w:rPr>
  </w:style>
  <w:style w:type="character" w:customStyle="1" w:styleId="29">
    <w:name w:val="WW8Num13z0"/>
    <w:qFormat/>
    <w:uiPriority w:val="0"/>
    <w:rPr>
      <w:rFonts w:ascii="Times New Roman" w:hAnsi="Times New Roman" w:cs="Times New Roman"/>
      <w:sz w:val="16"/>
      <w:szCs w:val="16"/>
    </w:rPr>
  </w:style>
  <w:style w:type="character" w:customStyle="1" w:styleId="30">
    <w:name w:val="MemberType"/>
    <w:basedOn w:val="19"/>
    <w:qFormat/>
    <w:uiPriority w:val="0"/>
    <w:rPr>
      <w:rFonts w:ascii="Times New Roman" w:hAnsi="Times New Roman" w:cs="Times New Roman"/>
      <w:i/>
      <w:iCs/>
      <w:sz w:val="22"/>
      <w:szCs w:val="22"/>
    </w:rPr>
  </w:style>
  <w:style w:type="character" w:customStyle="1" w:styleId="31">
    <w:name w:val="Footnote Characters"/>
    <w:basedOn w:val="19"/>
    <w:qFormat/>
    <w:uiPriority w:val="0"/>
    <w:rPr>
      <w:vertAlign w:val="superscript"/>
    </w:rPr>
  </w:style>
  <w:style w:type="character" w:customStyle="1" w:styleId="32">
    <w:name w:val="Body Text Char"/>
    <w:basedOn w:val="19"/>
    <w:qFormat/>
    <w:uiPriority w:val="0"/>
    <w:rPr>
      <w:rFonts w:eastAsia="SimSun;宋体"/>
      <w:spacing w:val="-1"/>
    </w:rPr>
  </w:style>
  <w:style w:type="character" w:customStyle="1" w:styleId="33">
    <w:name w:val="Endnote Characters"/>
    <w:qFormat/>
    <w:uiPriority w:val="0"/>
  </w:style>
  <w:style w:type="paragraph" w:customStyle="1" w:styleId="34">
    <w:name w:val="Heading"/>
    <w:basedOn w:val="1"/>
    <w:next w:val="1"/>
    <w:qFormat/>
    <w:uiPriority w:val="0"/>
    <w:pPr>
      <w:spacing w:before="360" w:after="0"/>
      <w:jc w:val="center"/>
    </w:pPr>
    <w:rPr>
      <w:b/>
      <w:kern w:val="2"/>
      <w:sz w:val="32"/>
      <w:szCs w:val="48"/>
    </w:rPr>
  </w:style>
  <w:style w:type="paragraph" w:customStyle="1" w:styleId="35">
    <w:name w:val="Index"/>
    <w:basedOn w:val="1"/>
    <w:qFormat/>
    <w:uiPriority w:val="0"/>
    <w:pPr>
      <w:suppressLineNumbers/>
    </w:pPr>
    <w:rPr>
      <w:rFonts w:cs="Lohit Devanagari"/>
    </w:rPr>
  </w:style>
  <w:style w:type="paragraph" w:customStyle="1" w:styleId="36">
    <w:name w:val="Abstract"/>
    <w:basedOn w:val="1"/>
    <w:next w:val="1"/>
    <w:qFormat/>
    <w:uiPriority w:val="0"/>
    <w:pPr>
      <w:spacing w:before="20" w:after="0"/>
      <w:ind w:left="0" w:right="0" w:firstLine="202"/>
      <w:jc w:val="both"/>
    </w:pPr>
    <w:rPr>
      <w:b/>
      <w:bCs/>
      <w:sz w:val="18"/>
      <w:szCs w:val="18"/>
    </w:rPr>
  </w:style>
  <w:style w:type="paragraph" w:customStyle="1" w:styleId="37">
    <w:name w:val="Authors"/>
    <w:basedOn w:val="1"/>
    <w:next w:val="1"/>
    <w:qFormat/>
    <w:uiPriority w:val="0"/>
    <w:pPr>
      <w:spacing w:before="0" w:after="320"/>
      <w:jc w:val="center"/>
    </w:pPr>
    <w:rPr>
      <w:sz w:val="22"/>
      <w:szCs w:val="22"/>
    </w:rPr>
  </w:style>
  <w:style w:type="paragraph" w:customStyle="1" w:styleId="38">
    <w:name w:val="References"/>
    <w:basedOn w:val="1"/>
    <w:qFormat/>
    <w:uiPriority w:val="0"/>
    <w:pPr>
      <w:numPr>
        <w:ilvl w:val="0"/>
        <w:numId w:val="2"/>
      </w:numPr>
      <w:ind w:left="360" w:right="0" w:hanging="360"/>
      <w:jc w:val="both"/>
    </w:pPr>
    <w:rPr>
      <w:sz w:val="16"/>
      <w:szCs w:val="16"/>
    </w:rPr>
  </w:style>
  <w:style w:type="paragraph" w:customStyle="1" w:styleId="39">
    <w:name w:val="IndexTerms"/>
    <w:basedOn w:val="1"/>
    <w:next w:val="1"/>
    <w:qFormat/>
    <w:uiPriority w:val="0"/>
    <w:pPr>
      <w:ind w:left="0" w:right="0" w:firstLine="202"/>
      <w:jc w:val="both"/>
    </w:pPr>
    <w:rPr>
      <w:b/>
      <w:bCs/>
      <w:sz w:val="18"/>
      <w:szCs w:val="18"/>
    </w:rPr>
  </w:style>
  <w:style w:type="paragraph" w:customStyle="1" w:styleId="40">
    <w:name w:val="Header and Footer"/>
    <w:basedOn w:val="1"/>
    <w:qFormat/>
    <w:uiPriority w:val="0"/>
    <w:pPr>
      <w:suppressLineNumbers/>
      <w:tabs>
        <w:tab w:val="center" w:pos="4819"/>
        <w:tab w:val="right" w:pos="9638"/>
      </w:tabs>
    </w:pPr>
  </w:style>
  <w:style w:type="paragraph" w:customStyle="1" w:styleId="41">
    <w:name w:val="Text"/>
    <w:basedOn w:val="1"/>
    <w:qFormat/>
    <w:uiPriority w:val="0"/>
    <w:pPr>
      <w:widowControl w:val="0"/>
      <w:spacing w:line="252" w:lineRule="auto"/>
      <w:ind w:left="0" w:right="0" w:firstLine="202"/>
      <w:jc w:val="both"/>
    </w:pPr>
  </w:style>
  <w:style w:type="paragraph" w:customStyle="1" w:styleId="42">
    <w:name w:val="Figure Caption"/>
    <w:basedOn w:val="1"/>
    <w:qFormat/>
    <w:uiPriority w:val="0"/>
    <w:pPr>
      <w:jc w:val="both"/>
    </w:pPr>
    <w:rPr>
      <w:sz w:val="16"/>
      <w:szCs w:val="16"/>
    </w:rPr>
  </w:style>
  <w:style w:type="paragraph" w:customStyle="1" w:styleId="43">
    <w:name w:val="Table Title"/>
    <w:basedOn w:val="1"/>
    <w:qFormat/>
    <w:uiPriority w:val="0"/>
    <w:pPr>
      <w:jc w:val="center"/>
    </w:pPr>
    <w:rPr>
      <w:smallCaps/>
      <w:sz w:val="16"/>
      <w:szCs w:val="16"/>
    </w:rPr>
  </w:style>
  <w:style w:type="paragraph" w:customStyle="1" w:styleId="44">
    <w:name w:val="Reference Head"/>
    <w:basedOn w:val="2"/>
    <w:qFormat/>
    <w:uiPriority w:val="0"/>
    <w:pPr>
      <w:numPr>
        <w:ilvl w:val="0"/>
        <w:numId w:val="0"/>
      </w:numPr>
      <w:ind w:left="0" w:right="0" w:firstLine="0"/>
      <w:outlineLvl w:val="9"/>
    </w:pPr>
  </w:style>
  <w:style w:type="paragraph" w:customStyle="1" w:styleId="45">
    <w:name w:val="Equation"/>
    <w:basedOn w:val="1"/>
    <w:next w:val="1"/>
    <w:qFormat/>
    <w:uiPriority w:val="0"/>
    <w:pPr>
      <w:widowControl w:val="0"/>
      <w:tabs>
        <w:tab w:val="right" w:pos="4810"/>
      </w:tabs>
      <w:spacing w:line="252" w:lineRule="auto"/>
      <w:jc w:val="both"/>
    </w:pPr>
  </w:style>
  <w:style w:type="paragraph" w:customStyle="1" w:styleId="46">
    <w:name w:val="Default Paragraph Font1"/>
    <w:next w:val="1"/>
    <w:qFormat/>
    <w:uiPriority w:val="0"/>
    <w:pPr>
      <w:widowControl/>
      <w:suppressAutoHyphens/>
      <w:overflowPunct w:val="0"/>
      <w:autoSpaceDE w:val="0"/>
      <w:bidi w:val="0"/>
      <w:textAlignment w:val="baseline"/>
    </w:pPr>
    <w:rPr>
      <w:rFonts w:ascii="Times" w:hAnsi="Times" w:eastAsia="PMingLiU;新細明體" w:cs="Times"/>
      <w:color w:val="auto"/>
      <w:sz w:val="20"/>
      <w:szCs w:val="20"/>
      <w:lang w:val="en-US" w:eastAsia="zh-TW" w:bidi="ar-SA"/>
    </w:rPr>
  </w:style>
  <w:style w:type="paragraph" w:customStyle="1" w:styleId="47">
    <w:name w:val="abs-title"/>
    <w:basedOn w:val="46"/>
    <w:qFormat/>
    <w:uiPriority w:val="0"/>
    <w:pPr>
      <w:ind w:left="0" w:right="0" w:firstLine="14"/>
      <w:jc w:val="both"/>
    </w:pPr>
    <w:rPr>
      <w:b/>
      <w:bCs/>
      <w:i/>
      <w:iCs/>
      <w:sz w:val="18"/>
    </w:rPr>
  </w:style>
  <w:style w:type="paragraph" w:customStyle="1" w:styleId="48">
    <w:name w:val="body-text"/>
    <w:qFormat/>
    <w:uiPriority w:val="0"/>
    <w:pPr>
      <w:widowControl/>
      <w:suppressAutoHyphens/>
      <w:bidi w:val="0"/>
      <w:ind w:left="0" w:right="0" w:firstLine="230"/>
      <w:jc w:val="both"/>
    </w:pPr>
    <w:rPr>
      <w:rFonts w:ascii="Times" w:hAnsi="Times" w:eastAsia="Times New Roman" w:cs="Times"/>
      <w:color w:val="000000"/>
      <w:sz w:val="20"/>
      <w:szCs w:val="20"/>
      <w:lang w:val="en-US" w:eastAsia="zh-CN" w:bidi="ar-SA"/>
    </w:rPr>
  </w:style>
  <w:style w:type="paragraph" w:customStyle="1" w:styleId="49">
    <w:name w:val="table-figure-caption"/>
    <w:basedOn w:val="48"/>
    <w:qFormat/>
    <w:uiPriority w:val="0"/>
    <w:pPr>
      <w:spacing w:before="60" w:after="120"/>
      <w:ind w:left="0" w:right="0" w:firstLine="0"/>
      <w:jc w:val="center"/>
    </w:pPr>
    <w:rPr>
      <w:sz w:val="18"/>
    </w:rPr>
  </w:style>
  <w:style w:type="paragraph" w:customStyle="1" w:styleId="50">
    <w:name w:val="footnote"/>
    <w:basedOn w:val="17"/>
    <w:qFormat/>
    <w:uiPriority w:val="0"/>
    <w:pPr>
      <w:overflowPunct w:val="0"/>
      <w:ind w:left="0" w:right="0" w:firstLine="346"/>
      <w:jc w:val="left"/>
      <w:textAlignment w:val="baseline"/>
    </w:pPr>
    <w:rPr>
      <w:rFonts w:ascii="Times" w:hAnsi="Times" w:eastAsia="PMingLiU;新細明體" w:cs="Times"/>
      <w:szCs w:val="20"/>
      <w:lang w:val="en-AU" w:eastAsia="zh-TW"/>
    </w:rPr>
  </w:style>
  <w:style w:type="paragraph" w:customStyle="1" w:styleId="51">
    <w:name w:val="subsection-title"/>
    <w:basedOn w:val="3"/>
    <w:qFormat/>
    <w:uiPriority w:val="0"/>
    <w:pPr>
      <w:numPr>
        <w:ilvl w:val="0"/>
        <w:numId w:val="0"/>
      </w:numPr>
      <w:overflowPunct w:val="0"/>
      <w:spacing w:before="60" w:after="60"/>
      <w:ind w:left="0" w:right="0" w:firstLine="43"/>
      <w:textAlignment w:val="baseline"/>
      <w:outlineLvl w:val="9"/>
    </w:pPr>
    <w:rPr>
      <w:rFonts w:ascii="Times" w:hAnsi="Times" w:eastAsia="PMingLiU;新細明體" w:cs="Times"/>
      <w:b/>
      <w:bCs/>
      <w:szCs w:val="24"/>
      <w:lang w:eastAsia="zh-TW"/>
    </w:rPr>
  </w:style>
  <w:style w:type="paragraph" w:customStyle="1" w:styleId="52">
    <w:name w:val="bullet list"/>
    <w:basedOn w:val="12"/>
    <w:qFormat/>
    <w:uiPriority w:val="0"/>
    <w:pPr>
      <w:numPr>
        <w:ilvl w:val="0"/>
        <w:numId w:val="3"/>
      </w:numPr>
    </w:pPr>
  </w:style>
  <w:style w:type="paragraph" w:customStyle="1" w:styleId="53">
    <w:name w:val="sponsors"/>
    <w:qFormat/>
    <w:uiPriority w:val="0"/>
    <w:pPr>
      <w:widowControl/>
      <w:pBdr>
        <w:top w:val="single" w:color="000000" w:sz="4" w:space="2"/>
      </w:pBdr>
      <w:suppressAutoHyphens/>
      <w:bidi w:val="0"/>
      <w:ind w:left="0" w:right="0" w:firstLine="288"/>
    </w:pPr>
    <w:rPr>
      <w:rFonts w:ascii="Times New Roman" w:hAnsi="Times New Roman" w:eastAsia="SimSun;宋体" w:cs="Times New Roman"/>
      <w:color w:val="auto"/>
      <w:sz w:val="16"/>
      <w:szCs w:val="16"/>
      <w:lang w:val="en-US" w:eastAsia="zh-CN" w:bidi="ar-SA"/>
    </w:rPr>
  </w:style>
  <w:style w:type="paragraph" w:customStyle="1" w:styleId="54">
    <w:name w:val="paper subtitle"/>
    <w:qFormat/>
    <w:uiPriority w:val="0"/>
    <w:pPr>
      <w:widowControl/>
      <w:suppressAutoHyphens/>
      <w:bidi w:val="0"/>
      <w:spacing w:before="0" w:after="120"/>
      <w:jc w:val="center"/>
    </w:pPr>
    <w:rPr>
      <w:rFonts w:ascii="Times New Roman" w:hAnsi="Times New Roman" w:eastAsia="MS Mincho;ＭＳ 明朝" w:cs="Times New Roman"/>
      <w:color w:val="auto"/>
      <w:sz w:val="28"/>
      <w:szCs w:val="28"/>
      <w:lang w:val="en-US" w:eastAsia="en-US" w:bidi="ar-SA"/>
    </w:rPr>
  </w:style>
  <w:style w:type="paragraph" w:customStyle="1" w:styleId="55">
    <w:name w:val="equation1"/>
    <w:basedOn w:val="1"/>
    <w:qFormat/>
    <w:uiPriority w:val="0"/>
    <w:pPr>
      <w:tabs>
        <w:tab w:val="center" w:pos="2520"/>
        <w:tab w:val="right" w:pos="5040"/>
      </w:tabs>
      <w:autoSpaceDE/>
      <w:spacing w:before="240" w:after="240" w:line="216" w:lineRule="auto"/>
      <w:jc w:val="center"/>
    </w:pPr>
    <w:rPr>
      <w:rFonts w:ascii="Symbol" w:hAnsi="Symbol" w:eastAsia="SimSun;宋体" w:cs="Symbol"/>
    </w:rPr>
  </w:style>
  <w:style w:type="paragraph" w:customStyle="1" w:styleId="56">
    <w:name w:val="figure caption1"/>
    <w:qFormat/>
    <w:uiPriority w:val="0"/>
    <w:pPr>
      <w:widowControl/>
      <w:numPr>
        <w:ilvl w:val="0"/>
        <w:numId w:val="4"/>
      </w:numPr>
      <w:suppressAutoHyphens/>
      <w:bidi w:val="0"/>
      <w:spacing w:before="80" w:after="200"/>
      <w:jc w:val="center"/>
    </w:pPr>
    <w:rPr>
      <w:rFonts w:ascii="Times New Roman" w:hAnsi="Times New Roman" w:eastAsia="SimSun;宋体" w:cs="Times New Roman"/>
      <w:color w:val="auto"/>
      <w:sz w:val="16"/>
      <w:szCs w:val="16"/>
      <w:lang w:val="en-US" w:eastAsia="en-US" w:bidi="ar-SA"/>
    </w:rPr>
  </w:style>
  <w:style w:type="paragraph" w:customStyle="1" w:styleId="57">
    <w:name w:val="table col head"/>
    <w:basedOn w:val="1"/>
    <w:qFormat/>
    <w:uiPriority w:val="0"/>
    <w:pPr>
      <w:autoSpaceDE/>
      <w:jc w:val="center"/>
    </w:pPr>
    <w:rPr>
      <w:rFonts w:eastAsia="SimSun;宋体"/>
      <w:b/>
      <w:bCs/>
      <w:sz w:val="16"/>
      <w:szCs w:val="16"/>
    </w:rPr>
  </w:style>
  <w:style w:type="paragraph" w:customStyle="1" w:styleId="58">
    <w:name w:val="table col subhead"/>
    <w:basedOn w:val="57"/>
    <w:qFormat/>
    <w:uiPriority w:val="0"/>
    <w:rPr>
      <w:i/>
      <w:iCs/>
      <w:sz w:val="15"/>
      <w:szCs w:val="15"/>
    </w:rPr>
  </w:style>
  <w:style w:type="paragraph" w:customStyle="1" w:styleId="59">
    <w:name w:val="table copy"/>
    <w:qFormat/>
    <w:uiPriority w:val="0"/>
    <w:pPr>
      <w:widowControl/>
      <w:suppressAutoHyphens/>
      <w:bidi w:val="0"/>
      <w:jc w:val="both"/>
    </w:pPr>
    <w:rPr>
      <w:rFonts w:ascii="Times New Roman" w:hAnsi="Times New Roman" w:eastAsia="SimSun;宋体" w:cs="Times New Roman"/>
      <w:color w:val="auto"/>
      <w:sz w:val="16"/>
      <w:szCs w:val="16"/>
      <w:lang w:val="en-US" w:eastAsia="en-US" w:bidi="ar-SA"/>
    </w:rPr>
  </w:style>
  <w:style w:type="paragraph" w:customStyle="1" w:styleId="60">
    <w:name w:val="table footnote"/>
    <w:qFormat/>
    <w:uiPriority w:val="0"/>
    <w:pPr>
      <w:widowControl/>
      <w:suppressAutoHyphens/>
      <w:bidi w:val="0"/>
      <w:spacing w:before="60" w:after="30"/>
      <w:jc w:val="right"/>
    </w:pPr>
    <w:rPr>
      <w:rFonts w:ascii="Times New Roman" w:hAnsi="Times New Roman" w:eastAsia="SimSun;宋体" w:cs="Times New Roman"/>
      <w:color w:val="auto"/>
      <w:sz w:val="12"/>
      <w:szCs w:val="12"/>
      <w:lang w:val="en-US" w:eastAsia="zh-CN" w:bidi="ar-SA"/>
    </w:rPr>
  </w:style>
  <w:style w:type="paragraph" w:customStyle="1" w:styleId="61">
    <w:name w:val="table head"/>
    <w:qFormat/>
    <w:uiPriority w:val="0"/>
    <w:pPr>
      <w:widowControl/>
      <w:numPr>
        <w:ilvl w:val="0"/>
        <w:numId w:val="5"/>
      </w:numPr>
      <w:suppressAutoHyphens/>
      <w:bidi w:val="0"/>
      <w:spacing w:before="240" w:after="120" w:line="216" w:lineRule="auto"/>
      <w:jc w:val="center"/>
    </w:pPr>
    <w:rPr>
      <w:rFonts w:ascii="Times New Roman" w:hAnsi="Times New Roman" w:eastAsia="SimSun;宋体" w:cs="Times New Roman"/>
      <w:smallCaps/>
      <w:color w:val="auto"/>
      <w:sz w:val="16"/>
      <w:szCs w:val="16"/>
      <w:lang w:val="en-US" w:eastAsia="en-US" w:bidi="ar-SA"/>
    </w:rPr>
  </w:style>
  <w:style w:type="paragraph" w:customStyle="1" w:styleId="62">
    <w:name w:val="Frame Contents"/>
    <w:basedOn w:val="1"/>
    <w:qFormat/>
    <w:uiPriority w:val="0"/>
  </w:style>
  <w:style w:type="paragraph" w:customStyle="1" w:styleId="63">
    <w:name w:val="Table Contents"/>
    <w:basedOn w:val="1"/>
    <w:qFormat/>
    <w:uiPriority w:val="0"/>
    <w:pPr>
      <w:widowControl w:val="0"/>
      <w:suppressLineNumbers/>
    </w:pPr>
  </w:style>
  <w:style w:type="paragraph" w:customStyle="1" w:styleId="64">
    <w:name w:val="Table Heading"/>
    <w:basedOn w:val="63"/>
    <w:qFormat/>
    <w:uiPriority w:val="0"/>
    <w:pPr>
      <w:suppressLineNumbers/>
      <w:jc w:val="center"/>
    </w:pPr>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ieeeconf_letter.dot</Template>
  <Pages>2</Pages>
  <Words>1192</Words>
  <Characters>7112</Characters>
  <TotalTime>4</TotalTime>
  <ScaleCrop>false</ScaleCrop>
  <LinksUpToDate>false</LinksUpToDate>
  <CharactersWithSpaces>8185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2012-01-31T21:13:00Z</dcterms:created>
  <dc:creator>Pradeep Misra</dc:creator>
  <cp:lastModifiedBy>王曦婧</cp:lastModifiedBy>
  <cp:lastPrinted>2012-01-31T00:17:00Z</cp:lastPrinted>
  <dcterms:modified xsi:type="dcterms:W3CDTF">2026-02-28T11:18:56Z</dcterms:modified>
  <dc:subject>IEEE Transactions on Magnetics </dc:subject>
  <dc: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eyJoZGlkIjoiZTUyYmIzMTc3M2JhMTQxODQ3ZmJiOGM2MTdkMDE1NTgiLCJ1c2VySWQiOiI3NTI3NTMyOTMifQ==</vt:lpwstr>
  </property>
  <property fmtid="{D5CDD505-2E9C-101B-9397-08002B2CF9AE}" pid="3" name="KSOProductBuildVer">
    <vt:lpwstr>2052-12.1.0.25225</vt:lpwstr>
  </property>
  <property fmtid="{D5CDD505-2E9C-101B-9397-08002B2CF9AE}" pid="4" name="ICV">
    <vt:lpwstr>32F0276A8F7141069E838355E99A21CF_12</vt:lpwstr>
  </property>
</Properties>
</file>