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80" w:line="360" w:lineRule="auto"/>
      </w:pPr>
      <w:r>
        <w:rPr>
          <w:rFonts w:ascii="FangSong" w:eastAsia="仿宋"/>
          <w:b/>
          <w:color w:val="B13A35"/>
          <w:sz w:val="44"/>
        </w:rPr>
        <w:t>武汉新城规划建设研究材料</w:t>
      </w:r>
    </w:p>
    <w:p>
      <w:pPr>
        <w:jc w:val="center"/>
        <w:spacing w:after="80" w:line="360" w:lineRule="auto"/>
      </w:pPr>
      <w:r>
        <w:rPr>
          <w:rFonts w:ascii="FangSong" w:eastAsia="仿宋"/>
          <w:color w:val="777777"/>
          <w:sz w:val="22"/>
        </w:rPr>
        <w:t>武新规研〔2026〕5号</w:t>
      </w:r>
    </w:p>
    <w:p>
      <w:pPr>
        <w:jc w:val="center"/>
        <w:spacing w:after="130" w:line="360" w:lineRule="auto"/>
      </w:pPr>
      <w:r>
        <w:rPr>
          <w:rFonts w:ascii="FangSong" w:eastAsia="仿宋"/>
          <w:color w:val="B13A35"/>
          <w:sz w:val="22"/>
        </w:rPr>
        <w:t>━━━━━━━━━━━━━━━━━━━━━━━━━━━━</w:t>
      </w:r>
    </w:p>
    <w:p>
      <w:pPr>
        <w:jc w:val="center"/>
        <w:spacing w:after="170" w:line="360" w:lineRule="auto"/>
      </w:pPr>
      <w:r>
        <w:rPr>
          <w:rFonts w:ascii="FangSong" w:eastAsia="仿宋"/>
          <w:color w:val="999999"/>
          <w:sz w:val="22"/>
        </w:rPr>
        <w:t>专题报告  2026年5月</w:t>
      </w:r>
    </w:p>
    <w:p>
      <w:pPr>
        <w:jc w:val="center"/>
        <w:spacing w:after="170" w:line="360" w:lineRule="auto"/>
      </w:pPr>
      <w:r>
        <w:rPr>
          <w:rFonts w:ascii="FangSong" w:eastAsia="仿宋"/>
          <w:b/>
          <w:color w:val="000000"/>
          <w:sz w:val="34"/>
        </w:rPr>
        <w:t>关于推进武汉市城镇开发边界候选调入地块</w:t>
      </w:r>
      <w:br/>
      <w:r>
        <w:rPr>
          <w:rFonts w:ascii="FangSong" w:eastAsia="仿宋"/>
          <w:b/>
          <w:color w:val="000000"/>
          <w:sz w:val="34"/>
        </w:rPr>
        <w:t>规划研判工作的建议</w:t>
      </w:r>
    </w:p>
    <w:p>
      <w:pPr>
        <w:jc w:val="left"/>
        <w:spacing w:after="80" w:line="360" w:lineRule="auto"/>
      </w:pPr>
      <w:r>
        <w:rPr>
          <w:rFonts w:ascii="FangSong" w:eastAsia="仿宋"/>
          <w:color w:val="000000"/>
          <w:sz w:val="26"/>
        </w:rPr>
        <w:t>有关单位：</w:t>
      </w:r>
    </w:p>
    <w:p>
      <w:pPr>
        <w:jc w:val="both"/>
        <w:ind w:firstLine="560"/>
        <w:spacing w:after="80" w:line="360" w:lineRule="auto"/>
      </w:pPr>
      <w:r>
        <w:rPr>
          <w:rFonts w:ascii="FangSong" w:eastAsia="仿宋"/>
          <w:color w:val="000000"/>
          <w:sz w:val="28"/>
        </w:rPr>
        <w:t>为深入贯彻规划建设要求，统筹推进城镇开发边界候选调入地块研判工作，现结合片区发展基础、阶段性建设任务及相关政策依据，提出如下建议。</w:t>
      </w:r>
    </w:p>
    <w:p>
      <w:pPr>
        <w:jc w:val="center"/>
        <w:spacing w:after="180" w:line="360" w:lineRule="auto"/>
      </w:pPr>
      <w:r>
        <w:rPr>
          <w:rFonts w:ascii="FangSong" w:eastAsia="仿宋"/>
          <w:b/>
          <w:color w:val="000000"/>
          <w:sz w:val="32"/>
        </w:rPr>
        <w:t>一、总体建设思路</w:t>
      </w:r>
    </w:p>
    <w:p>
      <w:pPr>
        <w:jc w:val="left"/>
        <w:spacing w:after="80" w:line="360" w:lineRule="auto"/>
      </w:pPr>
      <w:r>
        <w:rPr>
          <w:rFonts w:ascii="FangSong" w:eastAsia="仿宋"/>
          <w:b/>
          <w:color w:val="000000"/>
          <w:sz w:val="28"/>
        </w:rPr>
        <w:t>第1条  编制目的</w:t>
      </w:r>
    </w:p>
    <w:p>
      <w:pPr>
        <w:jc w:val="both"/>
        <w:ind w:firstLine="560"/>
        <w:spacing w:after="80" w:line="360" w:lineRule="auto"/>
      </w:pPr>
      <w:r>
        <w:rPr>
          <w:rFonts w:ascii="FangSong" w:eastAsia="仿宋"/>
          <w:color w:val="000000"/>
          <w:sz w:val="28"/>
        </w:rPr>
        <w:t>此处为正文。</w:t>
      </w:r>
    </w:p>
    <w:p>
      <w:pPr>
        <w:jc w:val="center"/>
        <w:spacing w:after="180" w:line="360" w:lineRule="auto"/>
      </w:pPr>
      <w:r>
        <w:rPr>
          <w:rFonts w:ascii="FangSong" w:eastAsia="仿宋"/>
          <w:b/>
          <w:color w:val="000000"/>
          <w:sz w:val="30"/>
        </w:rPr>
        <w:t>附表  候选调入地块清单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FangSong" w:eastAsia="仿宋"/>
                <w:b/>
                <w:color w:val="000000"/>
                <w:sz w:val="18"/>
              </w:rPr>
              <w:t>序号</w:t>
            </w:r>
          </w:p>
        </w:tc>
        <w:tc>
          <w:p>
            <w:r>
              <w:rPr>
                <w:rFonts w:ascii="FangSong" w:eastAsia="仿宋"/>
                <w:b/>
                <w:color w:val="000000"/>
                <w:sz w:val="18"/>
              </w:rPr>
              <w:t>街区ID</w:t>
            </w:r>
          </w:p>
        </w:tc>
        <w:tc>
          <w:p>
            <w:r>
              <w:rPr>
                <w:rFonts w:ascii="FangSong" w:eastAsia="仿宋"/>
                <w:b/>
                <w:color w:val="000000"/>
                <w:sz w:val="18"/>
              </w:rPr>
              <w:t>行政区</w:t>
            </w:r>
          </w:p>
        </w:tc>
        <w:tc>
          <w:p>
            <w:r>
              <w:rPr>
                <w:rFonts w:ascii="FangSong" w:eastAsia="仿宋"/>
                <w:b/>
                <w:color w:val="000000"/>
                <w:sz w:val="18"/>
              </w:rPr>
              <w:t>开发潜力</w:t>
            </w:r>
          </w:p>
        </w:tc>
        <w:tc>
          <w:p>
            <w:r>
              <w:rPr>
                <w:rFonts w:ascii="FangSong" w:eastAsia="仿宋"/>
                <w:b/>
                <w:color w:val="000000"/>
                <w:sz w:val="18"/>
              </w:rPr>
              <w:t>候选类型</w:t>
            </w:r>
          </w:p>
        </w:tc>
        <w:tc>
          <w:p>
            <w:r>
              <w:rPr>
                <w:rFonts w:ascii="FangSong" w:eastAsia="仿宋"/>
                <w:b/>
                <w:color w:val="000000"/>
                <w:sz w:val="18"/>
              </w:rPr>
              <w:t>主要优势</w:t>
            </w:r>
          </w:p>
        </w:tc>
        <w:tc>
          <w:p>
            <w:r>
              <w:rPr>
                <w:rFonts w:ascii="FangSong" w:eastAsia="仿宋"/>
                <w:b/>
                <w:color w:val="000000"/>
                <w:sz w:val="18"/>
              </w:rPr>
              <w:t>约束情况</w:t>
            </w:r>
          </w:p>
        </w:tc>
      </w:tr>
    </w:tbl>
    <w:p>
      <w:pPr>
        <w:jc w:val="center"/>
        <w:spacing w:after="80" w:line="360" w:lineRule="auto"/>
      </w:pPr>
      <w:r>
        <w:rPr>
          <w:rFonts w:ascii="FangSong" w:eastAsia="仿宋"/>
          <w:color w:val="000000"/>
          <w:sz w:val="18"/>
        </w:rPr>
        <w:t>本材料仅用于汇报展示，不作为正式规划及行政决策依据。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FangSong" w:eastAsia="仿宋"/>
      <w:sz w:val="28"/>
    </w:rPr>
  </w:style>
</w:styles>
</file>

<file path=word/_rels/document.xml.rels><?xml version="1.0" encoding="UTF-8" standalone="yes"?>
<Relationships xmlns="http://schemas.openxmlformats.org/package/2006/relationships"></Relationships>
</file>