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B42F" w14:textId="7A420F72" w:rsidR="00196877" w:rsidRDefault="00196877" w:rsidP="00196877">
      <w:pPr>
        <w:jc w:val="center"/>
      </w:pPr>
      <w:r>
        <w:rPr>
          <w:noProof/>
        </w:rPr>
        <w:drawing>
          <wp:inline distT="0" distB="0" distL="0" distR="0" wp14:anchorId="6FD7A814" wp14:editId="535773A3">
            <wp:extent cx="5271770" cy="7060565"/>
            <wp:effectExtent l="0" t="0" r="5080" b="6985"/>
            <wp:docPr id="1101146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8A08" w14:textId="77777777" w:rsidR="003679BE" w:rsidRPr="003679BE" w:rsidRDefault="003679BE" w:rsidP="003679BE">
      <w:r w:rsidRPr="003679BE">
        <w:t>你是一位顶尖本草插画概念设计师（Materia），擅长将单味药材转化为全景式知识分解图，能精准整合药材本体、来源、饮片形态、功效信息、现代剂型等内容，以“设计手稿（Design Sheet）”形式呈现专业且兼具科普性的视觉作品。</w:t>
      </w:r>
    </w:p>
    <w:p w14:paraId="5A944021" w14:textId="77777777" w:rsidR="003679BE" w:rsidRPr="003679BE" w:rsidRDefault="003679BE" w:rsidP="003679BE">
      <w:r w:rsidRPr="003679BE">
        <w:t>Task（任务目标）</w:t>
      </w:r>
    </w:p>
    <w:p w14:paraId="046D0922" w14:textId="77777777" w:rsidR="003679BE" w:rsidRPr="003679BE" w:rsidRDefault="003679BE" w:rsidP="003679BE"/>
    <w:p w14:paraId="66041A57" w14:textId="77777777" w:rsidR="003679BE" w:rsidRPr="003679BE" w:rsidRDefault="003679BE" w:rsidP="003679BE">
      <w:r w:rsidRPr="003679BE">
        <w:lastRenderedPageBreak/>
        <w:t>以中药材【血竭】为核心，生成一张“单味药材全景分解图（Herb Exploded Sheet）”，画面以血竭本体为中心，四周围绕其相关知识拆解示意，兼顾专业性、科学性与视觉层次感，适配4K高清呈现。</w:t>
      </w:r>
    </w:p>
    <w:p w14:paraId="46737643" w14:textId="77777777" w:rsidR="003679BE" w:rsidRPr="003679BE" w:rsidRDefault="003679BE" w:rsidP="003679BE"/>
    <w:p w14:paraId="568CCF71" w14:textId="77777777" w:rsidR="003679BE" w:rsidRPr="003679BE" w:rsidRDefault="003679BE" w:rsidP="003679BE">
      <w:r w:rsidRPr="003679BE">
        <w:t>Visual Guidelines（视觉规范）</w:t>
      </w:r>
    </w:p>
    <w:p w14:paraId="72FEF97D" w14:textId="77777777" w:rsidR="003679BE" w:rsidRPr="003679BE" w:rsidRDefault="003679BE" w:rsidP="003679BE"/>
    <w:p w14:paraId="3AB62FA4" w14:textId="77777777" w:rsidR="003679BE" w:rsidRPr="003679BE" w:rsidRDefault="003679BE" w:rsidP="003679BE">
      <w:r w:rsidRPr="003679BE">
        <w:t>一、主体构图（Main Layout）</w:t>
      </w:r>
    </w:p>
    <w:p w14:paraId="7A4E6A89" w14:textId="77777777" w:rsidR="003679BE" w:rsidRPr="003679BE" w:rsidRDefault="003679BE" w:rsidP="003679BE"/>
    <w:p w14:paraId="2D5A004F" w14:textId="77777777" w:rsidR="003679BE" w:rsidRPr="003679BE" w:rsidRDefault="003679BE" w:rsidP="003679BE">
      <w:r w:rsidRPr="003679BE">
        <w:t>中央（Center）</w:t>
      </w:r>
    </w:p>
    <w:p w14:paraId="70CA97F6" w14:textId="77777777" w:rsidR="003679BE" w:rsidRPr="003679BE" w:rsidRDefault="003679BE" w:rsidP="003679BE"/>
    <w:p w14:paraId="27349A3A" w14:textId="77777777" w:rsidR="003679BE" w:rsidRPr="003679BE" w:rsidRDefault="003679BE" w:rsidP="003679BE">
      <w:r w:rsidRPr="003679BE">
        <w:t>放置血竭真实饮片/干品本体的高清插画，精准还原血竭的块状形态、暗红色至紫褐色色泽、断面光泽感（半透明或微透明）、质地致密性及细微裂纹，凸显其天然树脂的质感，可搭配1个单块血竭的断面放大细节，清晰呈现内部纹理与色泽层次。</w:t>
      </w:r>
    </w:p>
    <w:p w14:paraId="280D5F3D" w14:textId="77777777" w:rsidR="003679BE" w:rsidRPr="003679BE" w:rsidRDefault="003679BE" w:rsidP="003679BE"/>
    <w:p w14:paraId="240B7B88" w14:textId="77777777" w:rsidR="003679BE" w:rsidRPr="003679BE" w:rsidRDefault="003679BE" w:rsidP="003679BE">
      <w:r w:rsidRPr="003679BE">
        <w:t>四周环绕（Surrounding Modules）</w:t>
      </w:r>
    </w:p>
    <w:p w14:paraId="678ED81C" w14:textId="77777777" w:rsidR="003679BE" w:rsidRPr="003679BE" w:rsidRDefault="003679BE" w:rsidP="003679BE"/>
    <w:p w14:paraId="6E05A3DA" w14:textId="77777777" w:rsidR="003679BE" w:rsidRPr="003679BE" w:rsidRDefault="003679BE" w:rsidP="003679BE">
      <w:r w:rsidRPr="003679BE">
        <w:t>以均匀对称布局环绕中央本体，涵盖以下模块，每个模块边界清晰且风格统一：</w:t>
      </w:r>
    </w:p>
    <w:p w14:paraId="696BE1CC" w14:textId="77777777" w:rsidR="003679BE" w:rsidRPr="003679BE" w:rsidRDefault="003679BE" w:rsidP="003679BE"/>
    <w:p w14:paraId="6AC235D5" w14:textId="77777777" w:rsidR="003679BE" w:rsidRPr="003679BE" w:rsidRDefault="003679BE" w:rsidP="003679BE">
      <w:r w:rsidRPr="003679BE">
        <w:t>- 原植物形态（血竭原植物麒麟竭的整株植株，重点还原树干、叶片、果实/树脂分泌部位）；</w:t>
      </w:r>
    </w:p>
    <w:p w14:paraId="37982DB5" w14:textId="77777777" w:rsidR="003679BE" w:rsidRPr="003679BE" w:rsidRDefault="003679BE" w:rsidP="003679BE"/>
    <w:p w14:paraId="641E3FDC" w14:textId="77777777" w:rsidR="003679BE" w:rsidRPr="003679BE" w:rsidRDefault="003679BE" w:rsidP="003679BE">
      <w:r w:rsidRPr="003679BE">
        <w:t>- 植物关键部位（聚焦麒麟</w:t>
      </w:r>
      <w:proofErr w:type="gramStart"/>
      <w:r w:rsidRPr="003679BE">
        <w:t>竭</w:t>
      </w:r>
      <w:proofErr w:type="gramEnd"/>
      <w:r w:rsidRPr="003679BE">
        <w:t>树干分泌树脂的部位，做局部放大，标注树脂形成与采集过程）；</w:t>
      </w:r>
    </w:p>
    <w:p w14:paraId="7784C338" w14:textId="77777777" w:rsidR="003679BE" w:rsidRPr="003679BE" w:rsidRDefault="003679BE" w:rsidP="003679BE"/>
    <w:p w14:paraId="3B42358D" w14:textId="77777777" w:rsidR="003679BE" w:rsidRPr="003679BE" w:rsidRDefault="003679BE" w:rsidP="003679BE">
      <w:r w:rsidRPr="003679BE">
        <w:t>- 断面/纹理放大（2处细节：一是血竭干品表面纹理放大，二是断面光泽与内部结构放大，凸显树脂特性）；</w:t>
      </w:r>
    </w:p>
    <w:p w14:paraId="760D45F3" w14:textId="77777777" w:rsidR="003679BE" w:rsidRPr="003679BE" w:rsidRDefault="003679BE" w:rsidP="003679BE"/>
    <w:p w14:paraId="76417269" w14:textId="77777777" w:rsidR="003679BE" w:rsidRPr="003679BE" w:rsidRDefault="003679BE" w:rsidP="003679BE">
      <w:r w:rsidRPr="003679BE">
        <w:t>- 性味归经小标签（贴合血竭特性设计，风格为手稿贴纸感）；</w:t>
      </w:r>
    </w:p>
    <w:p w14:paraId="47CF1F27" w14:textId="77777777" w:rsidR="003679BE" w:rsidRPr="003679BE" w:rsidRDefault="003679BE" w:rsidP="003679BE"/>
    <w:p w14:paraId="6FEB027E" w14:textId="77777777" w:rsidR="003679BE" w:rsidRPr="003679BE" w:rsidRDefault="003679BE" w:rsidP="003679BE">
      <w:r w:rsidRPr="003679BE">
        <w:lastRenderedPageBreak/>
        <w:t>- 功效图标（以图标+简短文字结合，适配血竭核心功效，图标简洁具象，贴合中医语境）；</w:t>
      </w:r>
    </w:p>
    <w:p w14:paraId="25CB881F" w14:textId="77777777" w:rsidR="003679BE" w:rsidRPr="003679BE" w:rsidRDefault="003679BE" w:rsidP="003679BE"/>
    <w:p w14:paraId="0C31D9EB" w14:textId="77777777" w:rsidR="003679BE" w:rsidRPr="003679BE" w:rsidRDefault="003679BE" w:rsidP="003679BE">
      <w:r w:rsidRPr="003679BE">
        <w:t>- 现代剂型（贴合血竭临床及日常应用，呈现粉末、颗粒、胶囊、外用膏剂、煎煮后药液形态）；</w:t>
      </w:r>
    </w:p>
    <w:p w14:paraId="6F81B8E0" w14:textId="77777777" w:rsidR="003679BE" w:rsidRPr="003679BE" w:rsidRDefault="003679BE" w:rsidP="003679BE"/>
    <w:p w14:paraId="5E9E6588" w14:textId="77777777" w:rsidR="003679BE" w:rsidRPr="003679BE" w:rsidRDefault="003679BE" w:rsidP="003679BE">
      <w:r w:rsidRPr="003679BE">
        <w:t>- 使用场景小插图（涵盖外用涂抹、配伍入药、日常养生调理等场景，贴合血竭外用为主、兼顾内服的使用特点）。</w:t>
      </w:r>
    </w:p>
    <w:p w14:paraId="7DA9EB7E" w14:textId="77777777" w:rsidR="003679BE" w:rsidRPr="003679BE" w:rsidRDefault="003679BE" w:rsidP="003679BE"/>
    <w:p w14:paraId="7ABC3FD9" w14:textId="77777777" w:rsidR="003679BE" w:rsidRPr="003679BE" w:rsidRDefault="003679BE" w:rsidP="003679BE">
      <w:r w:rsidRPr="003679BE">
        <w:t>连接结构（Connectors）</w:t>
      </w:r>
    </w:p>
    <w:p w14:paraId="22EA6A6F" w14:textId="77777777" w:rsidR="003679BE" w:rsidRPr="003679BE" w:rsidRDefault="003679BE" w:rsidP="003679BE"/>
    <w:p w14:paraId="1601EEE1" w14:textId="77777777" w:rsidR="003679BE" w:rsidRPr="003679BE" w:rsidRDefault="003679BE" w:rsidP="003679BE">
      <w:r w:rsidRPr="003679BE">
        <w:t>用纤细线条、箭头及简约框架，将中央血竭本体与四周各模块建立视觉链接，线条流畅不杂乱，凸显“中心辐射”的布局逻辑，打造百科海报式科普设计，让信息传递更直观。</w:t>
      </w:r>
    </w:p>
    <w:p w14:paraId="6335FD4F" w14:textId="77777777" w:rsidR="003679BE" w:rsidRPr="003679BE" w:rsidRDefault="003679BE" w:rsidP="003679BE"/>
    <w:p w14:paraId="2943BC28" w14:textId="77777777" w:rsidR="003679BE" w:rsidRPr="003679BE" w:rsidRDefault="003679BE" w:rsidP="003679BE">
      <w:r w:rsidRPr="003679BE">
        <w:t>二、拆解内容（Content Modules）</w:t>
      </w:r>
    </w:p>
    <w:p w14:paraId="2696190F" w14:textId="77777777" w:rsidR="003679BE" w:rsidRPr="003679BE" w:rsidRDefault="003679BE" w:rsidP="003679BE"/>
    <w:p w14:paraId="674C15B6" w14:textId="77777777" w:rsidR="003679BE" w:rsidRPr="003679BE" w:rsidRDefault="003679BE" w:rsidP="003679BE">
      <w:r w:rsidRPr="003679BE">
        <w:t>模块A：原植物（Botanical）</w:t>
      </w:r>
    </w:p>
    <w:p w14:paraId="6CE9C8F9" w14:textId="77777777" w:rsidR="003679BE" w:rsidRPr="003679BE" w:rsidRDefault="003679BE" w:rsidP="003679BE"/>
    <w:p w14:paraId="5FCFDAD6" w14:textId="77777777" w:rsidR="003679BE" w:rsidRPr="003679BE" w:rsidRDefault="003679BE" w:rsidP="003679BE">
      <w:r w:rsidRPr="003679BE">
        <w:t>绘制血竭来源植物——麒麟竭的整株姿态，还原其常绿藤本/灌木的株型、叶片形态（羽状复叶细节）、果实特征及树干外观；重点放大2个关键部位：一是树干树脂分泌处（标注“树脂分泌点，采集后加工成血竭”），二是叶片细节（标注叶片形态特征，辅助识别原植物）；整体插画贴合植物学真实形态，兼顾科学性与艺术性。</w:t>
      </w:r>
    </w:p>
    <w:p w14:paraId="440B309D" w14:textId="77777777" w:rsidR="003679BE" w:rsidRPr="003679BE" w:rsidRDefault="003679BE" w:rsidP="003679BE"/>
    <w:p w14:paraId="7C54CDF3" w14:textId="77777777" w:rsidR="003679BE" w:rsidRPr="003679BE" w:rsidRDefault="003679BE" w:rsidP="003679BE">
      <w:r w:rsidRPr="003679BE">
        <w:t>模块B：药材本体（Herbal Material）</w:t>
      </w:r>
    </w:p>
    <w:p w14:paraId="5C6DD817" w14:textId="77777777" w:rsidR="003679BE" w:rsidRPr="003679BE" w:rsidRDefault="003679BE" w:rsidP="003679BE"/>
    <w:p w14:paraId="7D07CB16" w14:textId="77777777" w:rsidR="003679BE" w:rsidRPr="003679BE" w:rsidRDefault="003679BE" w:rsidP="003679BE">
      <w:r w:rsidRPr="003679BE">
        <w:t>置于画面正中心，作为视觉核心。精准表现血竭的真实形态（不规则块状、碎块状）、色泽（暗红色、紫褐色，带光泽）、干燥程度（质地坚硬、致密），额外补充1个“单块血竭断面放大”细节，清晰呈现断面的半透明感、细微纹理及色泽渐变，贴合血竭作为树脂类药材的特质。</w:t>
      </w:r>
    </w:p>
    <w:p w14:paraId="2F06F7F0" w14:textId="77777777" w:rsidR="003679BE" w:rsidRPr="003679BE" w:rsidRDefault="003679BE" w:rsidP="003679BE"/>
    <w:p w14:paraId="39629039" w14:textId="77777777" w:rsidR="003679BE" w:rsidRPr="003679BE" w:rsidRDefault="003679BE" w:rsidP="003679BE">
      <w:r w:rsidRPr="003679BE">
        <w:t>模块C：性质标签（TCM Tags）</w:t>
      </w:r>
    </w:p>
    <w:p w14:paraId="1543B2FA" w14:textId="77777777" w:rsidR="003679BE" w:rsidRPr="003679BE" w:rsidRDefault="003679BE" w:rsidP="003679BE"/>
    <w:p w14:paraId="6135D33F" w14:textId="77777777" w:rsidR="003679BE" w:rsidRPr="003679BE" w:rsidRDefault="003679BE" w:rsidP="003679BE">
      <w:r w:rsidRPr="003679BE">
        <w:t>以图标化+手写式贴纸标签呈现，风格统一，贴合设计手稿质感：</w:t>
      </w:r>
    </w:p>
    <w:p w14:paraId="68F5FB17" w14:textId="77777777" w:rsidR="003679BE" w:rsidRPr="003679BE" w:rsidRDefault="003679BE" w:rsidP="003679BE"/>
    <w:p w14:paraId="3FAE8E14" w14:textId="77777777" w:rsidR="003679BE" w:rsidRPr="003679BE" w:rsidRDefault="003679BE" w:rsidP="003679BE">
      <w:r w:rsidRPr="003679BE">
        <w:t>- 四气：平（搭配简约图标）；</w:t>
      </w:r>
    </w:p>
    <w:p w14:paraId="268D5E3F" w14:textId="77777777" w:rsidR="003679BE" w:rsidRPr="003679BE" w:rsidRDefault="003679BE" w:rsidP="003679BE"/>
    <w:p w14:paraId="18656D95" w14:textId="77777777" w:rsidR="003679BE" w:rsidRPr="003679BE" w:rsidRDefault="003679BE" w:rsidP="003679BE">
      <w:r w:rsidRPr="003679BE">
        <w:t>- 五味：甘、咸（分别设计对应图标，区分清晰）；</w:t>
      </w:r>
    </w:p>
    <w:p w14:paraId="0629A6AD" w14:textId="77777777" w:rsidR="003679BE" w:rsidRPr="003679BE" w:rsidRDefault="003679BE" w:rsidP="003679BE"/>
    <w:p w14:paraId="06EC0182" w14:textId="77777777" w:rsidR="003679BE" w:rsidRPr="003679BE" w:rsidRDefault="003679BE" w:rsidP="003679BE">
      <w:r w:rsidRPr="003679BE">
        <w:t>- 归经：归心、肝经（用中医脏腑简约图标搭配文字，直观易懂）；</w:t>
      </w:r>
    </w:p>
    <w:p w14:paraId="270296B8" w14:textId="77777777" w:rsidR="003679BE" w:rsidRPr="003679BE" w:rsidRDefault="003679BE" w:rsidP="003679BE"/>
    <w:p w14:paraId="295CD70E" w14:textId="77777777" w:rsidR="003679BE" w:rsidRPr="003679BE" w:rsidRDefault="003679BE" w:rsidP="003679BE">
      <w:r w:rsidRPr="003679BE">
        <w:t>- 附加标签：树脂类药材（标注来源，辅助科普）。</w:t>
      </w:r>
    </w:p>
    <w:p w14:paraId="69B2EF21" w14:textId="77777777" w:rsidR="003679BE" w:rsidRPr="003679BE" w:rsidRDefault="003679BE" w:rsidP="003679BE"/>
    <w:p w14:paraId="108CA3ED" w14:textId="77777777" w:rsidR="003679BE" w:rsidRPr="003679BE" w:rsidRDefault="003679BE" w:rsidP="003679BE">
      <w:r w:rsidRPr="003679BE">
        <w:t>模块D：功效与应用（Functions &amp; Usage）</w:t>
      </w:r>
    </w:p>
    <w:p w14:paraId="7E7973E4" w14:textId="77777777" w:rsidR="003679BE" w:rsidRPr="003679BE" w:rsidRDefault="003679BE" w:rsidP="003679BE"/>
    <w:p w14:paraId="145FE5E5" w14:textId="77777777" w:rsidR="003679BE" w:rsidRPr="003679BE" w:rsidRDefault="003679BE" w:rsidP="003679BE">
      <w:r w:rsidRPr="003679BE">
        <w:t>采用“图标+简短注解”的方式呈现，全程为科普表达，不涉及治疗承诺，贴合血竭核心功效：</w:t>
      </w:r>
    </w:p>
    <w:p w14:paraId="3E03439B" w14:textId="77777777" w:rsidR="003679BE" w:rsidRPr="003679BE" w:rsidRDefault="003679BE" w:rsidP="003679BE"/>
    <w:p w14:paraId="1E455ABE" w14:textId="77777777" w:rsidR="003679BE" w:rsidRPr="003679BE" w:rsidRDefault="003679BE" w:rsidP="003679BE">
      <w:r w:rsidRPr="003679BE">
        <w:t>- 核心功效图标：活血化瘀（搭配血脉流通图标）、定痛（搭配止痛简约图标）、止血（搭配止血图标）、</w:t>
      </w:r>
      <w:proofErr w:type="gramStart"/>
      <w:r w:rsidRPr="003679BE">
        <w:t>敛</w:t>
      </w:r>
      <w:proofErr w:type="gramEnd"/>
      <w:r w:rsidRPr="003679BE">
        <w:t>疮生肌（搭配创面修复简约图标）；</w:t>
      </w:r>
    </w:p>
    <w:p w14:paraId="65B6DECC" w14:textId="77777777" w:rsidR="003679BE" w:rsidRPr="003679BE" w:rsidRDefault="003679BE" w:rsidP="003679BE"/>
    <w:p w14:paraId="338E25A8" w14:textId="77777777" w:rsidR="003679BE" w:rsidRPr="003679BE" w:rsidRDefault="003679BE" w:rsidP="003679BE">
      <w:r w:rsidRPr="003679BE">
        <w:t>- 应用场景注解：外用治跌打损伤、疮疡不</w:t>
      </w:r>
      <w:proofErr w:type="gramStart"/>
      <w:r w:rsidRPr="003679BE">
        <w:t>敛</w:t>
      </w:r>
      <w:proofErr w:type="gramEnd"/>
      <w:r w:rsidRPr="003679BE">
        <w:t>，内服治瘀血阻滞诸证；</w:t>
      </w:r>
    </w:p>
    <w:p w14:paraId="6F4766EF" w14:textId="77777777" w:rsidR="003679BE" w:rsidRPr="003679BE" w:rsidRDefault="003679BE" w:rsidP="003679BE"/>
    <w:p w14:paraId="2144D4EA" w14:textId="77777777" w:rsidR="003679BE" w:rsidRPr="003679BE" w:rsidRDefault="003679BE" w:rsidP="003679BE">
      <w:r w:rsidRPr="003679BE">
        <w:t>- 生活化场景插图：外用涂抹患处示意图、配伍入药（与其他药材搭配的简约示意）、煎服药液饮用示意，贴合日常及临床使用场景。</w:t>
      </w:r>
    </w:p>
    <w:p w14:paraId="68A8D2AC" w14:textId="77777777" w:rsidR="003679BE" w:rsidRPr="003679BE" w:rsidRDefault="003679BE" w:rsidP="003679BE"/>
    <w:p w14:paraId="2FA6FD22" w14:textId="77777777" w:rsidR="003679BE" w:rsidRPr="003679BE" w:rsidRDefault="003679BE" w:rsidP="003679BE">
      <w:r w:rsidRPr="003679BE">
        <w:t>模块E：现代剂型（Modern Forms）</w:t>
      </w:r>
    </w:p>
    <w:p w14:paraId="3449C35D" w14:textId="77777777" w:rsidR="003679BE" w:rsidRPr="003679BE" w:rsidRDefault="003679BE" w:rsidP="003679BE"/>
    <w:p w14:paraId="0CD8A19A" w14:textId="77777777" w:rsidR="003679BE" w:rsidRPr="003679BE" w:rsidRDefault="003679BE" w:rsidP="003679BE">
      <w:r w:rsidRPr="003679BE">
        <w:lastRenderedPageBreak/>
        <w:t>围绕中央本体均匀排布，贴合血竭应用场景，每个剂型搭配简约插画：</w:t>
      </w:r>
    </w:p>
    <w:p w14:paraId="6DBC4A1D" w14:textId="77777777" w:rsidR="003679BE" w:rsidRPr="003679BE" w:rsidRDefault="003679BE" w:rsidP="003679BE"/>
    <w:p w14:paraId="6B742B13" w14:textId="77777777" w:rsidR="003679BE" w:rsidRPr="003679BE" w:rsidRDefault="003679BE" w:rsidP="003679BE">
      <w:r w:rsidRPr="003679BE">
        <w:t>- 内服剂型：血竭粉末、血竭颗粒、血竭胶囊；</w:t>
      </w:r>
    </w:p>
    <w:p w14:paraId="62A57182" w14:textId="77777777" w:rsidR="003679BE" w:rsidRPr="003679BE" w:rsidRDefault="003679BE" w:rsidP="003679BE"/>
    <w:p w14:paraId="000080F1" w14:textId="77777777" w:rsidR="003679BE" w:rsidRPr="003679BE" w:rsidRDefault="003679BE" w:rsidP="003679BE">
      <w:r w:rsidRPr="003679BE">
        <w:t>- 外用剂型：血竭膏剂、血竭酊剂（标注外用特性）；</w:t>
      </w:r>
    </w:p>
    <w:p w14:paraId="2E5F4291" w14:textId="77777777" w:rsidR="003679BE" w:rsidRPr="003679BE" w:rsidRDefault="003679BE" w:rsidP="003679BE"/>
    <w:p w14:paraId="1789842E" w14:textId="77777777" w:rsidR="003679BE" w:rsidRPr="003679BE" w:rsidRDefault="003679BE" w:rsidP="003679BE">
      <w:r w:rsidRPr="003679BE">
        <w:t>- 辅助呈现：血竭煎煮后药液的颜色小样（暗红色药液）、树脂挥发油示意（若有，以轻盈烟雾图标呈现，标注“含树脂成分”）。</w:t>
      </w:r>
    </w:p>
    <w:p w14:paraId="11A08F43" w14:textId="77777777" w:rsidR="003679BE" w:rsidRPr="003679BE" w:rsidRDefault="003679BE" w:rsidP="003679BE"/>
    <w:p w14:paraId="57A4B9CE" w14:textId="77777777" w:rsidR="003679BE" w:rsidRPr="003679BE" w:rsidRDefault="003679BE" w:rsidP="003679BE">
      <w:r w:rsidRPr="003679BE">
        <w:t>模块F：材质细节（Material Texture）</w:t>
      </w:r>
    </w:p>
    <w:p w14:paraId="65790414" w14:textId="77777777" w:rsidR="003679BE" w:rsidRPr="003679BE" w:rsidRDefault="003679BE" w:rsidP="003679BE"/>
    <w:p w14:paraId="6E9E50D9" w14:textId="77777777" w:rsidR="003679BE" w:rsidRPr="003679BE" w:rsidRDefault="003679BE" w:rsidP="003679BE">
      <w:r w:rsidRPr="003679BE">
        <w:t>设计2个放大圆框，凸显血竭的材质特性，增强画面科学感：</w:t>
      </w:r>
    </w:p>
    <w:p w14:paraId="4A909004" w14:textId="77777777" w:rsidR="003679BE" w:rsidRPr="003679BE" w:rsidRDefault="003679BE" w:rsidP="003679BE"/>
    <w:p w14:paraId="26F1B49C" w14:textId="77777777" w:rsidR="003679BE" w:rsidRPr="003679BE" w:rsidRDefault="003679BE" w:rsidP="003679BE">
      <w:r w:rsidRPr="003679BE">
        <w:t>- 放大框1：血竭表面纹理放大，呈现其块状表面的细微裂纹、色泽深浅变化及光泽感；</w:t>
      </w:r>
    </w:p>
    <w:p w14:paraId="21AA7F45" w14:textId="77777777" w:rsidR="003679BE" w:rsidRPr="003679BE" w:rsidRDefault="003679BE" w:rsidP="003679BE"/>
    <w:p w14:paraId="24E12F31" w14:textId="77777777" w:rsidR="003679BE" w:rsidRPr="003679BE" w:rsidRDefault="003679BE" w:rsidP="003679BE">
      <w:r w:rsidRPr="003679BE">
        <w:t>- 放大框2：血竭断面结构放大，呈现内部致密质地、半透明光泽及细微层次，标注“树脂类材质，质地坚硬”。</w:t>
      </w:r>
    </w:p>
    <w:p w14:paraId="6DDC3C52" w14:textId="77777777" w:rsidR="003679BE" w:rsidRPr="003679BE" w:rsidRDefault="003679BE" w:rsidP="003679BE"/>
    <w:p w14:paraId="3503079B" w14:textId="77777777" w:rsidR="003679BE" w:rsidRPr="003679BE" w:rsidRDefault="003679BE" w:rsidP="003679BE">
      <w:r w:rsidRPr="003679BE">
        <w:t>三、风格（Style）</w:t>
      </w:r>
    </w:p>
    <w:p w14:paraId="50479BDA" w14:textId="77777777" w:rsidR="003679BE" w:rsidRPr="003679BE" w:rsidRDefault="003679BE" w:rsidP="003679BE"/>
    <w:p w14:paraId="6632CC2A" w14:textId="77777777" w:rsidR="003679BE" w:rsidRPr="003679BE" w:rsidRDefault="003679BE" w:rsidP="003679BE">
      <w:r w:rsidRPr="003679BE">
        <w:t>高质量2D插画，清晰流畅</w:t>
      </w:r>
      <w:proofErr w:type="gramStart"/>
      <w:r w:rsidRPr="003679BE">
        <w:t>的线稿搭配</w:t>
      </w:r>
      <w:proofErr w:type="gramEnd"/>
      <w:r w:rsidRPr="003679BE">
        <w:t>柔和通透的上色，贴合树脂类药材的质感；背景采用米色/羊皮纸纹理/浅灰色，凸显科研海报风；注释采用模拟手写式中文，搭配小号英文对照（英文简洁准确，贴合中药材及植物学专业术语）；整体风格为设计手稿+本草笔记的结合，兼具专业性与手写质感，避免过于生硬的工业风。</w:t>
      </w:r>
    </w:p>
    <w:p w14:paraId="45CF5C85" w14:textId="77777777" w:rsidR="003679BE" w:rsidRPr="003679BE" w:rsidRDefault="003679BE" w:rsidP="003679BE"/>
    <w:p w14:paraId="3F1D3E6C" w14:textId="77777777" w:rsidR="003679BE" w:rsidRPr="003679BE" w:rsidRDefault="003679BE" w:rsidP="003679BE">
      <w:r w:rsidRPr="003679BE">
        <w:t>四、输出格式（Output Spec）</w:t>
      </w:r>
    </w:p>
    <w:p w14:paraId="5FF0827C" w14:textId="77777777" w:rsidR="003679BE" w:rsidRPr="003679BE" w:rsidRDefault="003679BE" w:rsidP="003679BE"/>
    <w:p w14:paraId="64012A49" w14:textId="28CAB34D" w:rsidR="003679BE" w:rsidRDefault="003679BE" w:rsidP="003679BE">
      <w:r w:rsidRPr="003679BE">
        <w:lastRenderedPageBreak/>
        <w:t>单页全景科普海报，4K高清分辨率，纵向构图；清晰留白，信息分区明确，模块间距均匀；视觉层次分明，中央本体突出，四周模块有序环绕，链接结构自然；整体适配科普传播、本草设计手稿展示，兼顾美观度与信息传递效率。</w:t>
      </w:r>
    </w:p>
    <w:p w14:paraId="798A66E6" w14:textId="77777777" w:rsidR="003679BE" w:rsidRDefault="003679BE" w:rsidP="003679BE"/>
    <w:p w14:paraId="3969937C" w14:textId="77777777" w:rsidR="003679BE" w:rsidRDefault="003679BE" w:rsidP="003679BE">
      <w:pPr>
        <w:jc w:val="center"/>
      </w:pPr>
    </w:p>
    <w:p w14:paraId="541C82D5" w14:textId="77777777" w:rsidR="003679BE" w:rsidRDefault="003679BE" w:rsidP="003679BE">
      <w:pPr>
        <w:jc w:val="center"/>
      </w:pPr>
    </w:p>
    <w:p w14:paraId="34A7F0DE" w14:textId="77777777" w:rsidR="003679BE" w:rsidRDefault="003679BE" w:rsidP="003679BE">
      <w:pPr>
        <w:jc w:val="center"/>
      </w:pPr>
    </w:p>
    <w:p w14:paraId="38A4B478" w14:textId="77777777" w:rsidR="003679BE" w:rsidRDefault="003679BE" w:rsidP="003679BE">
      <w:pPr>
        <w:jc w:val="center"/>
      </w:pPr>
    </w:p>
    <w:p w14:paraId="6646D2F4" w14:textId="77777777" w:rsidR="003679BE" w:rsidRDefault="003679BE" w:rsidP="003679BE">
      <w:pPr>
        <w:jc w:val="center"/>
      </w:pPr>
    </w:p>
    <w:p w14:paraId="17F1F328" w14:textId="77777777" w:rsidR="003679BE" w:rsidRDefault="003679BE" w:rsidP="003679BE">
      <w:pPr>
        <w:jc w:val="center"/>
      </w:pPr>
    </w:p>
    <w:p w14:paraId="75AA84F8" w14:textId="77777777" w:rsidR="003679BE" w:rsidRDefault="003679BE" w:rsidP="003679BE">
      <w:pPr>
        <w:jc w:val="center"/>
      </w:pPr>
    </w:p>
    <w:p w14:paraId="2D93216F" w14:textId="77777777" w:rsidR="003679BE" w:rsidRDefault="003679BE" w:rsidP="003679BE">
      <w:pPr>
        <w:jc w:val="center"/>
      </w:pPr>
    </w:p>
    <w:p w14:paraId="5A38C744" w14:textId="77777777" w:rsidR="003679BE" w:rsidRDefault="003679BE" w:rsidP="003679BE">
      <w:pPr>
        <w:jc w:val="center"/>
      </w:pPr>
    </w:p>
    <w:p w14:paraId="1C94C36E" w14:textId="77777777" w:rsidR="003679BE" w:rsidRDefault="003679BE" w:rsidP="003679BE">
      <w:pPr>
        <w:jc w:val="center"/>
      </w:pPr>
    </w:p>
    <w:p w14:paraId="0EBD2299" w14:textId="77777777" w:rsidR="003679BE" w:rsidRDefault="003679BE" w:rsidP="003679BE">
      <w:pPr>
        <w:jc w:val="center"/>
      </w:pPr>
    </w:p>
    <w:p w14:paraId="571256FF" w14:textId="77777777" w:rsidR="003679BE" w:rsidRDefault="003679BE" w:rsidP="003679BE">
      <w:pPr>
        <w:jc w:val="center"/>
      </w:pPr>
    </w:p>
    <w:p w14:paraId="20F27B60" w14:textId="77777777" w:rsidR="003679BE" w:rsidRDefault="003679BE" w:rsidP="003679BE">
      <w:pPr>
        <w:jc w:val="center"/>
      </w:pPr>
    </w:p>
    <w:p w14:paraId="23F641E2" w14:textId="77777777" w:rsidR="003679BE" w:rsidRDefault="003679BE" w:rsidP="003679BE">
      <w:pPr>
        <w:jc w:val="center"/>
      </w:pPr>
    </w:p>
    <w:p w14:paraId="70C3D496" w14:textId="77777777" w:rsidR="003679BE" w:rsidRDefault="003679BE" w:rsidP="003679BE">
      <w:pPr>
        <w:jc w:val="center"/>
      </w:pPr>
    </w:p>
    <w:p w14:paraId="02B75813" w14:textId="77777777" w:rsidR="003679BE" w:rsidRDefault="003679BE" w:rsidP="003679BE">
      <w:pPr>
        <w:jc w:val="center"/>
      </w:pPr>
    </w:p>
    <w:p w14:paraId="61929026" w14:textId="77777777" w:rsidR="003679BE" w:rsidRDefault="003679BE" w:rsidP="003679BE">
      <w:pPr>
        <w:jc w:val="center"/>
      </w:pPr>
    </w:p>
    <w:p w14:paraId="73068DAE" w14:textId="77777777" w:rsidR="003679BE" w:rsidRDefault="003679BE" w:rsidP="003679BE">
      <w:pPr>
        <w:jc w:val="center"/>
      </w:pPr>
    </w:p>
    <w:p w14:paraId="1A08C22D" w14:textId="77777777" w:rsidR="003679BE" w:rsidRDefault="003679BE" w:rsidP="003679BE">
      <w:pPr>
        <w:jc w:val="center"/>
      </w:pPr>
    </w:p>
    <w:p w14:paraId="7DC3054A" w14:textId="77777777" w:rsidR="003679BE" w:rsidRDefault="003679BE" w:rsidP="003679BE">
      <w:pPr>
        <w:jc w:val="center"/>
      </w:pPr>
    </w:p>
    <w:p w14:paraId="7A7A80C4" w14:textId="77777777" w:rsidR="003679BE" w:rsidRDefault="003679BE" w:rsidP="003679BE">
      <w:pPr>
        <w:jc w:val="center"/>
      </w:pPr>
    </w:p>
    <w:p w14:paraId="5F37FFDE" w14:textId="77777777" w:rsidR="003679BE" w:rsidRDefault="003679BE" w:rsidP="003679BE">
      <w:pPr>
        <w:jc w:val="center"/>
      </w:pPr>
    </w:p>
    <w:p w14:paraId="310FAD3E" w14:textId="77777777" w:rsidR="003679BE" w:rsidRDefault="003679BE" w:rsidP="003679BE">
      <w:pPr>
        <w:jc w:val="center"/>
      </w:pPr>
    </w:p>
    <w:p w14:paraId="66B69F42" w14:textId="21FE1003" w:rsidR="003679BE" w:rsidRDefault="003679BE" w:rsidP="003679BE">
      <w:pPr>
        <w:jc w:val="center"/>
      </w:pPr>
      <w:r>
        <w:rPr>
          <w:noProof/>
        </w:rPr>
        <w:lastRenderedPageBreak/>
        <w:drawing>
          <wp:inline distT="0" distB="0" distL="0" distR="0" wp14:anchorId="2EFB3EE8" wp14:editId="2563247F">
            <wp:extent cx="5271770" cy="7060565"/>
            <wp:effectExtent l="0" t="0" r="5080" b="6985"/>
            <wp:docPr id="8553365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F5CA" w14:textId="242B6A1C" w:rsidR="003679BE" w:rsidRDefault="003679BE" w:rsidP="003679BE">
      <w:r w:rsidRPr="003679BE">
        <w:t>生成超高细节等距像素艺术时间线插画，比例 3:4，分辨率 4K，风格为象征隐喻型等距像素艺术，兼具繁复细节与思想深度。整体构建 “中国社会演进博物馆” 等距像素场景，以不同展区 / 展厅对应远古社会起源奠基期、石器时代发展兴盛期、封建王朝变革转型期、现代社会当代及</w:t>
      </w:r>
      <w:proofErr w:type="gramStart"/>
      <w:r w:rsidRPr="003679BE">
        <w:t>未来期四大</w:t>
      </w:r>
      <w:proofErr w:type="gramEnd"/>
      <w:r w:rsidRPr="003679BE">
        <w:t xml:space="preserve">阶段，形成空间递进等于时间演进的视觉逻辑，每个阶段搭配 3-5 </w:t>
      </w:r>
      <w:proofErr w:type="gramStart"/>
      <w:r w:rsidRPr="003679BE">
        <w:t>个</w:t>
      </w:r>
      <w:proofErr w:type="gramEnd"/>
      <w:r w:rsidRPr="003679BE">
        <w:t>核心象征元素，贴合历史内涵。采用标准等距透视（2:1 比例），角度精准，空间比例协调，无透视失真，适配时间线纵向递进展示；超高精度像素刻画，精细化明暗光影处理，像素线条流畅规整，人物、器物、建筑轮廓清晰可</w:t>
      </w:r>
      <w:r w:rsidRPr="003679BE">
        <w:lastRenderedPageBreak/>
        <w:t>辨，无模糊冗余细节；繁复等距建筑与环境元素多层级叠加，打造纵深感立体空间，各展区通过通道、光影过渡自然衔接，时间线视觉流畅连贯，明确各阶段核心元素为视觉焦点，次要元素合理搭配不喧宾夺主。色彩按阶段差异化搭配，以色彩递进呼应时间流转，起源奠基</w:t>
      </w:r>
      <w:proofErr w:type="gramStart"/>
      <w:r w:rsidRPr="003679BE">
        <w:t>期采用</w:t>
      </w:r>
      <w:proofErr w:type="gramEnd"/>
      <w:r w:rsidRPr="003679BE">
        <w:t>沉稳大地色、蛮荒复古色调；发展兴盛</w:t>
      </w:r>
      <w:proofErr w:type="gramStart"/>
      <w:r w:rsidRPr="003679BE">
        <w:t>期采用</w:t>
      </w:r>
      <w:proofErr w:type="gramEnd"/>
      <w:r w:rsidRPr="003679BE">
        <w:t>质朴灰石、土陶经典色调；变革转型</w:t>
      </w:r>
      <w:proofErr w:type="gramStart"/>
      <w:r w:rsidRPr="003679BE">
        <w:t>期采用</w:t>
      </w:r>
      <w:proofErr w:type="gramEnd"/>
      <w:r w:rsidRPr="003679BE">
        <w:t>红金青黛、华丽典雅的碰撞色调；当代及未来</w:t>
      </w:r>
      <w:proofErr w:type="gramStart"/>
      <w:r w:rsidRPr="003679BE">
        <w:t>期采用明亮科技</w:t>
      </w:r>
      <w:proofErr w:type="gramEnd"/>
      <w:r w:rsidRPr="003679BE">
        <w:t>蓝白、都市霓虹数字化色调，背景从初始厚重色调逐步过渡到现代</w:t>
      </w:r>
      <w:proofErr w:type="gramStart"/>
      <w:r w:rsidRPr="003679BE">
        <w:t>明亮科技感</w:t>
      </w:r>
      <w:proofErr w:type="gramEnd"/>
      <w:r w:rsidRPr="003679BE">
        <w:t>色调，亮色点缀核心符号提升辨识度。融入双语像素字体标题，中文：中国社会演进史，英文：EVOLUTION OF CHINESE SOCIETY，副标题中文：从远古蛮荒到现代复兴，英文：From Ancient Wilderness to Modern Revival，字体遵循等距透视规则，像素风格贴合整体调性，对比度适中清晰可读，搭配关键历史节点时间标记。以原始聚落、打制石器、磨制石器、彩陶、骨器、宫殿城池、红墙宫阙、长城、运河、现代都市、高铁、航天、基建、数字科技等视觉符号传递深层历史隐喻，以路径递进隐喻发展历程，以光影变化隐喻兴衰起伏，呈现传统与创新的视觉张力，兼顾历史厚重感与时代前瞻性，预留多元解读空间，避免直白表达。整体兼顾专业性与观赏性，呈现中国社会从远古社会、石器时代、封建王朝到现代社会的完整演进脉络，适配学术解析、历史可视化展示、图文并茂解析等多元场景，打造有层次、有内涵、有象征隐喻的等距像素艺术作品。</w:t>
      </w:r>
    </w:p>
    <w:p w14:paraId="1B313D68" w14:textId="77777777" w:rsidR="003679BE" w:rsidRDefault="003679BE" w:rsidP="003679BE"/>
    <w:p w14:paraId="5F18B1CF" w14:textId="77777777" w:rsidR="003679BE" w:rsidRDefault="003679BE" w:rsidP="003679BE"/>
    <w:p w14:paraId="73FF8C95" w14:textId="77777777" w:rsidR="003679BE" w:rsidRDefault="003679BE" w:rsidP="003679BE"/>
    <w:p w14:paraId="66512B3E" w14:textId="77777777" w:rsidR="003679BE" w:rsidRDefault="003679BE" w:rsidP="003679BE"/>
    <w:p w14:paraId="17670560" w14:textId="77777777" w:rsidR="003679BE" w:rsidRDefault="003679BE" w:rsidP="003679BE"/>
    <w:p w14:paraId="25FC7483" w14:textId="77777777" w:rsidR="003679BE" w:rsidRDefault="003679BE" w:rsidP="003679BE"/>
    <w:p w14:paraId="056C5A26" w14:textId="77777777" w:rsidR="003679BE" w:rsidRDefault="003679BE" w:rsidP="003679BE"/>
    <w:p w14:paraId="14FDB7AA" w14:textId="77777777" w:rsidR="003679BE" w:rsidRDefault="003679BE" w:rsidP="003679BE">
      <w:pPr>
        <w:jc w:val="center"/>
      </w:pPr>
    </w:p>
    <w:p w14:paraId="778470DF" w14:textId="77777777" w:rsidR="003679BE" w:rsidRDefault="003679BE" w:rsidP="003679BE">
      <w:pPr>
        <w:jc w:val="center"/>
      </w:pPr>
    </w:p>
    <w:p w14:paraId="09AE5F1E" w14:textId="77777777" w:rsidR="003679BE" w:rsidRDefault="003679BE" w:rsidP="003679BE">
      <w:pPr>
        <w:jc w:val="center"/>
      </w:pPr>
    </w:p>
    <w:p w14:paraId="348A18C8" w14:textId="77777777" w:rsidR="003679BE" w:rsidRDefault="003679BE" w:rsidP="003679BE">
      <w:pPr>
        <w:jc w:val="center"/>
      </w:pPr>
    </w:p>
    <w:p w14:paraId="6F1EFCE8" w14:textId="77777777" w:rsidR="003679BE" w:rsidRDefault="003679BE" w:rsidP="003679BE">
      <w:pPr>
        <w:jc w:val="center"/>
      </w:pPr>
    </w:p>
    <w:p w14:paraId="31F95479" w14:textId="77777777" w:rsidR="003679BE" w:rsidRDefault="003679BE" w:rsidP="003679BE">
      <w:pPr>
        <w:jc w:val="center"/>
      </w:pPr>
    </w:p>
    <w:p w14:paraId="0AC3234B" w14:textId="77777777" w:rsidR="003679BE" w:rsidRDefault="003679BE" w:rsidP="003679BE">
      <w:pPr>
        <w:jc w:val="center"/>
      </w:pPr>
    </w:p>
    <w:p w14:paraId="22099010" w14:textId="77777777" w:rsidR="003679BE" w:rsidRDefault="003679BE" w:rsidP="003679BE">
      <w:pPr>
        <w:jc w:val="center"/>
      </w:pPr>
    </w:p>
    <w:p w14:paraId="67020335" w14:textId="07B56396" w:rsidR="003679BE" w:rsidRDefault="00D05826" w:rsidP="003679BE">
      <w:pPr>
        <w:jc w:val="center"/>
      </w:pPr>
      <w:r>
        <w:rPr>
          <w:rFonts w:hint="eastAsia"/>
          <w:noProof/>
        </w:rPr>
        <w:lastRenderedPageBreak/>
        <w:t>411111</w:t>
      </w:r>
      <w:r w:rsidR="003679BE">
        <w:rPr>
          <w:noProof/>
        </w:rPr>
        <w:drawing>
          <wp:inline distT="0" distB="0" distL="0" distR="0" wp14:anchorId="24EE0C24" wp14:editId="36F9BA0C">
            <wp:extent cx="5271770" cy="7060565"/>
            <wp:effectExtent l="0" t="0" r="5080" b="6985"/>
            <wp:docPr id="20986063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1313" w14:textId="6AF5DAA0" w:rsidR="003679BE" w:rsidRDefault="003679BE" w:rsidP="003679BE">
      <w:r w:rsidRPr="003679BE">
        <w:t>Role 你是一位世界级的视觉菜谱设计师，擅长将复杂的烹饪过程转化为直观、美观且逻辑严密的 “全景烹饪施工图”。你的画风融合了传统春节的温馨氛围、吉卜力美食的诱人质感与达芬奇手稿的严谨结构。Task 根据用户指定的年夜饭菜品【佛跳墙】，生成一张 “年夜饭视觉烹饪指南海报”。Visual Guidelines 核心布局 画面顶部 (Title Area): 设计一个专门的、富有年节喜庆感的标题区域，写上菜品名称【坛启福来（佛跳墙）】。可以使用烫金、剪纸或书法风格来增强节日气氛，搭配缠枝莲、玉纹等中式</w:t>
      </w:r>
      <w:r w:rsidRPr="003679BE">
        <w:lastRenderedPageBreak/>
        <w:t xml:space="preserve">纹样点缀。 画面中心 (The Hero): 放置这道菜最完美的成品定妆照。强调瓷坛 / </w:t>
      </w:r>
      <w:proofErr w:type="gramStart"/>
      <w:r w:rsidRPr="003679BE">
        <w:t>砂坛的</w:t>
      </w:r>
      <w:proofErr w:type="gramEnd"/>
      <w:r w:rsidRPr="003679BE">
        <w:t>古朴质感、坛口氤氲的热气、汤汁浓醇金亮的光泽，</w:t>
      </w:r>
      <w:proofErr w:type="gramStart"/>
      <w:r w:rsidRPr="003679BE">
        <w:t>以及食材层叠</w:t>
      </w:r>
      <w:proofErr w:type="gramEnd"/>
      <w:r w:rsidRPr="003679BE">
        <w:t xml:space="preserve">的饱满感，凸显年夜饭的奢华丰盛与团圆吉庆感，摆盘融入青瓷盘、竹制托盘等中式器皿，搭配干花、福字饰件提升格调。 整体风格：采用暖色调的复古纸张或带有传统图案（如窗花、祥云、回纹、缠枝莲）的背景，色调以米色、淡金色、柔和的朱红或青绿色为主，贴合佛跳墙的中式底蕴，营造温馨而不扎眼的春节氛围。可以有淡淡的网格线或测量刻度，刻度边缘融入祥云、铜钱纹样，兼顾严谨感与年节气息。 四周功能模块 请围绕中心成品，以模块化形式展示以下内容： </w:t>
      </w:r>
      <w:proofErr w:type="gramStart"/>
      <w:r w:rsidRPr="003679BE">
        <w:t>食材陈列</w:t>
      </w:r>
      <w:proofErr w:type="gramEnd"/>
      <w:r w:rsidRPr="003679BE">
        <w:t>：左上角。采用（整齐平铺）风格，画出所需的所有原材料（海参、鲍鱼、鱼翅、干贝、花胶、杏鲍菇、鸽子蛋、金华火腿、瑶柱、姜片、葱段、花雕酒等），并标注精准比例。</w:t>
      </w:r>
      <w:proofErr w:type="gramStart"/>
      <w:r w:rsidRPr="003679BE">
        <w:t>食材摆放</w:t>
      </w:r>
      <w:proofErr w:type="gramEnd"/>
      <w:r w:rsidRPr="003679BE">
        <w:t xml:space="preserve">可以加入一些小巧的春节装饰元素，如小福字、元宝摆件、迷你中国结等点缀，贴合年夜饭氛围。 关键步骤流：底部或右侧。提取 3-4 </w:t>
      </w:r>
      <w:proofErr w:type="gramStart"/>
      <w:r w:rsidRPr="003679BE">
        <w:t>个</w:t>
      </w:r>
      <w:proofErr w:type="gramEnd"/>
      <w:r w:rsidRPr="003679BE">
        <w:t>关键烹饪动作的动态插图（</w:t>
      </w:r>
      <w:proofErr w:type="gramStart"/>
      <w:r w:rsidRPr="003679BE">
        <w:t>食材泡发</w:t>
      </w:r>
      <w:proofErr w:type="gramEnd"/>
      <w:r w:rsidRPr="003679BE">
        <w:t>处理、分层码坛、加</w:t>
      </w:r>
      <w:proofErr w:type="gramStart"/>
      <w:r w:rsidRPr="003679BE">
        <w:t>汤封坛</w:t>
      </w:r>
      <w:proofErr w:type="gramEnd"/>
      <w:r w:rsidRPr="003679BE">
        <w:t xml:space="preserve">、文火慢煨）。使用箭头指示顺序。插图风格可以融入一些国风元素，如背景纹理用宣纸纹、人物服饰用中式盘扣短衫，贴合菜品中式底蕴。 推荐搭配 / 寓意：右上角。可以放置与该菜品相配的饮品推荐（如：陈年花雕酒、普洱熟茶、桂花酿），或该菜品在年夜饭中的美好寓意（如：坛启纳福、富贵满堂、阖家安康、十全十美），用小巧的插画或书法形式呈现，搭配迷你瓷坛、祥云插画点缀。 小贴士 / 秘籍：左下角。提供 1-2 </w:t>
      </w:r>
      <w:proofErr w:type="gramStart"/>
      <w:r w:rsidRPr="003679BE">
        <w:t>个</w:t>
      </w:r>
      <w:proofErr w:type="gramEnd"/>
      <w:r w:rsidRPr="003679BE">
        <w:t>让菜品更美味的小秘诀或烹饪心得（如：</w:t>
      </w:r>
      <w:proofErr w:type="gramStart"/>
      <w:r w:rsidRPr="003679BE">
        <w:t>食材泡发</w:t>
      </w:r>
      <w:proofErr w:type="gramEnd"/>
      <w:r w:rsidRPr="003679BE">
        <w:t>需用温水，避免营养流失；慢煨时火候控制在微沸，确保汤汁浓醇不浑浊），可以用小卷轴或折扇的图案来承载文字，贴合中式风格。 视觉连接 使用带有喜庆图案（如灯笼、鞭炮、铜钱、祥云、迷你瓷坛）的虚线、手写体注释（Callouts）、指向性箭头，将原材料 -&gt; 步骤 -&gt; 成品 串联起来，形成清晰的视觉阅读路径。 Details 比例: 3:4 色彩：食物色彩鲜亮浓郁、汤汁金红透亮、</w:t>
      </w:r>
      <w:proofErr w:type="gramStart"/>
      <w:r w:rsidRPr="003679BE">
        <w:t>食材层次</w:t>
      </w:r>
      <w:proofErr w:type="gramEnd"/>
      <w:r w:rsidRPr="003679BE">
        <w:t>分明，背景保持低饱和度的暖色调，突出主体同时保持温馨感，避免过于鲜艳扎眼的颜色，贴合佛跳墙的醇厚质感与春节暖调氛围。 文字：图片中包含中文标注，标题区域的文字需清晰且具有设计感，可采用书法字体搭配烫金质感，食材、步骤标注用规整宋体，兼顾美观与可读性。</w:t>
      </w:r>
    </w:p>
    <w:p w14:paraId="55C71195" w14:textId="77777777" w:rsidR="003679BE" w:rsidRDefault="003679BE" w:rsidP="003679BE">
      <w:pPr>
        <w:jc w:val="center"/>
      </w:pPr>
    </w:p>
    <w:p w14:paraId="316C37A7" w14:textId="77777777" w:rsidR="003679BE" w:rsidRDefault="003679BE" w:rsidP="003679BE">
      <w:pPr>
        <w:jc w:val="center"/>
      </w:pPr>
    </w:p>
    <w:p w14:paraId="5084551E" w14:textId="77777777" w:rsidR="003679BE" w:rsidRDefault="003679BE" w:rsidP="003679BE">
      <w:pPr>
        <w:jc w:val="center"/>
      </w:pPr>
    </w:p>
    <w:p w14:paraId="58CEFD99" w14:textId="77777777" w:rsidR="003679BE" w:rsidRDefault="003679BE" w:rsidP="003679BE">
      <w:pPr>
        <w:jc w:val="center"/>
      </w:pPr>
    </w:p>
    <w:p w14:paraId="18078D79" w14:textId="77777777" w:rsidR="003679BE" w:rsidRDefault="003679BE" w:rsidP="003679BE">
      <w:pPr>
        <w:jc w:val="center"/>
      </w:pPr>
    </w:p>
    <w:p w14:paraId="50594E76" w14:textId="77777777" w:rsidR="003679BE" w:rsidRDefault="003679BE" w:rsidP="003679BE">
      <w:pPr>
        <w:jc w:val="center"/>
      </w:pPr>
    </w:p>
    <w:p w14:paraId="365F9DB1" w14:textId="77777777" w:rsidR="003679BE" w:rsidRDefault="003679BE" w:rsidP="003679BE">
      <w:pPr>
        <w:jc w:val="center"/>
      </w:pPr>
    </w:p>
    <w:p w14:paraId="395F557D" w14:textId="77777777" w:rsidR="003679BE" w:rsidRDefault="003679BE" w:rsidP="003679BE">
      <w:pPr>
        <w:jc w:val="center"/>
      </w:pPr>
    </w:p>
    <w:p w14:paraId="48FC96D8" w14:textId="0EDB49BE" w:rsidR="003679BE" w:rsidRDefault="003679BE" w:rsidP="003679BE">
      <w:pPr>
        <w:jc w:val="center"/>
      </w:pPr>
      <w:r>
        <w:rPr>
          <w:noProof/>
        </w:rPr>
        <w:lastRenderedPageBreak/>
        <w:drawing>
          <wp:inline distT="0" distB="0" distL="0" distR="0" wp14:anchorId="6CD1290A" wp14:editId="4D9A63F6">
            <wp:extent cx="5271770" cy="7060565"/>
            <wp:effectExtent l="0" t="0" r="5080" b="6985"/>
            <wp:docPr id="13546910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06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10F3" w14:textId="100272D9" w:rsidR="003679BE" w:rsidRDefault="003679BE" w:rsidP="003679BE">
      <w:r w:rsidRPr="003679BE">
        <w:t>生成 3:4 比例高清可爱卡通风格春节英文场景单词学习卡插画，</w:t>
      </w:r>
      <w:proofErr w:type="gramStart"/>
      <w:r w:rsidRPr="003679BE">
        <w:t>画风软萌清新</w:t>
      </w:r>
      <w:proofErr w:type="gramEnd"/>
      <w:r w:rsidRPr="003679BE">
        <w:t>，线条圆润柔和，低饱和度暖色调，温馨喜庆不刺眼，背景为浅米色干净底纹。画面主体是普通卡通风格的一家三口，父母带着小朋友在中式春节居家庭院场景，人物</w:t>
      </w:r>
      <w:proofErr w:type="gramStart"/>
      <w:r w:rsidRPr="003679BE">
        <w:t>造型呆萌治愈</w:t>
      </w:r>
      <w:proofErr w:type="gramEnd"/>
      <w:r w:rsidRPr="003679BE">
        <w:t>，无特定 IP，动作温馨自然。场景包含丰富春节元素：春联、福字、红灯笼、中国结、鞭炮、红包、金橘树、梅花、饺子、年夜饭、窗花、鼓、烟花、糖果盒、瓷杯、毛笔、金元宝。每个物体</w:t>
      </w:r>
      <w:proofErr w:type="gramStart"/>
      <w:r w:rsidRPr="003679BE">
        <w:t>旁规范</w:t>
      </w:r>
      <w:proofErr w:type="gramEnd"/>
      <w:r w:rsidRPr="003679BE">
        <w:t>标注单词，格式严格为：第一行英文单词，第二行国际音标 IPA，第三行中文翻译，字体圆润清晰，排版整齐，不遮挡主体。整体构</w:t>
      </w:r>
      <w:r w:rsidRPr="003679BE">
        <w:lastRenderedPageBreak/>
        <w:t>图饱满舒适，细节丰富，氛围团圆吉祥，适合儿童英语学习，单词标注清晰美观，视觉层次舒适</w:t>
      </w:r>
    </w:p>
    <w:p w14:paraId="35CCE1E2" w14:textId="77777777" w:rsidR="003679BE" w:rsidRDefault="003679BE" w:rsidP="003679BE">
      <w:pPr>
        <w:jc w:val="center"/>
      </w:pPr>
    </w:p>
    <w:p w14:paraId="319DEB77" w14:textId="77777777" w:rsidR="003679BE" w:rsidRDefault="003679BE" w:rsidP="003679BE">
      <w:pPr>
        <w:jc w:val="center"/>
      </w:pPr>
    </w:p>
    <w:p w14:paraId="6194F244" w14:textId="77777777" w:rsidR="003679BE" w:rsidRDefault="003679BE" w:rsidP="003679BE">
      <w:pPr>
        <w:jc w:val="center"/>
      </w:pPr>
    </w:p>
    <w:p w14:paraId="006A4C3E" w14:textId="77777777" w:rsidR="003679BE" w:rsidRDefault="003679BE" w:rsidP="003679BE">
      <w:pPr>
        <w:jc w:val="center"/>
      </w:pPr>
    </w:p>
    <w:p w14:paraId="35A09713" w14:textId="77777777" w:rsidR="003679BE" w:rsidRDefault="003679BE" w:rsidP="003679BE">
      <w:pPr>
        <w:jc w:val="center"/>
      </w:pPr>
    </w:p>
    <w:p w14:paraId="14697B60" w14:textId="77777777" w:rsidR="003679BE" w:rsidRDefault="003679BE" w:rsidP="003679BE">
      <w:pPr>
        <w:jc w:val="center"/>
      </w:pPr>
    </w:p>
    <w:p w14:paraId="24E15EDA" w14:textId="77777777" w:rsidR="003679BE" w:rsidRDefault="003679BE" w:rsidP="003679BE">
      <w:pPr>
        <w:jc w:val="center"/>
      </w:pPr>
    </w:p>
    <w:p w14:paraId="3324A72C" w14:textId="77777777" w:rsidR="003679BE" w:rsidRDefault="003679BE" w:rsidP="003679BE">
      <w:pPr>
        <w:jc w:val="center"/>
      </w:pPr>
    </w:p>
    <w:p w14:paraId="1FDBCCF4" w14:textId="77777777" w:rsidR="003679BE" w:rsidRDefault="003679BE" w:rsidP="003679BE">
      <w:pPr>
        <w:jc w:val="center"/>
      </w:pPr>
    </w:p>
    <w:p w14:paraId="4B6BD77B" w14:textId="77777777" w:rsidR="003679BE" w:rsidRDefault="003679BE" w:rsidP="003679BE">
      <w:pPr>
        <w:jc w:val="center"/>
      </w:pPr>
    </w:p>
    <w:p w14:paraId="596F5386" w14:textId="77777777" w:rsidR="003679BE" w:rsidRDefault="003679BE" w:rsidP="003679BE">
      <w:pPr>
        <w:jc w:val="center"/>
      </w:pPr>
    </w:p>
    <w:p w14:paraId="2E17C3A2" w14:textId="77777777" w:rsidR="003679BE" w:rsidRDefault="003679BE" w:rsidP="003679BE">
      <w:pPr>
        <w:jc w:val="center"/>
      </w:pPr>
    </w:p>
    <w:p w14:paraId="2FAD5962" w14:textId="77777777" w:rsidR="003679BE" w:rsidRDefault="003679BE" w:rsidP="003679BE">
      <w:pPr>
        <w:jc w:val="center"/>
      </w:pPr>
    </w:p>
    <w:p w14:paraId="5AA64DD6" w14:textId="77777777" w:rsidR="003679BE" w:rsidRDefault="003679BE" w:rsidP="003679BE">
      <w:pPr>
        <w:jc w:val="center"/>
      </w:pPr>
    </w:p>
    <w:p w14:paraId="0B29A0A9" w14:textId="77777777" w:rsidR="003679BE" w:rsidRDefault="003679BE" w:rsidP="003679BE">
      <w:pPr>
        <w:jc w:val="center"/>
      </w:pPr>
    </w:p>
    <w:p w14:paraId="79DC7FC3" w14:textId="77777777" w:rsidR="003679BE" w:rsidRDefault="003679BE" w:rsidP="003679BE">
      <w:pPr>
        <w:jc w:val="center"/>
      </w:pPr>
    </w:p>
    <w:p w14:paraId="73DB250D" w14:textId="77777777" w:rsidR="003679BE" w:rsidRDefault="003679BE" w:rsidP="003679BE">
      <w:pPr>
        <w:jc w:val="center"/>
      </w:pPr>
    </w:p>
    <w:p w14:paraId="03AEEFA4" w14:textId="77777777" w:rsidR="003679BE" w:rsidRDefault="003679BE" w:rsidP="003679BE">
      <w:pPr>
        <w:jc w:val="center"/>
      </w:pPr>
    </w:p>
    <w:p w14:paraId="59AE96C0" w14:textId="77777777" w:rsidR="003679BE" w:rsidRDefault="003679BE" w:rsidP="003679BE">
      <w:pPr>
        <w:jc w:val="center"/>
      </w:pPr>
    </w:p>
    <w:p w14:paraId="6303B51E" w14:textId="77777777" w:rsidR="003679BE" w:rsidRDefault="003679BE" w:rsidP="003679BE">
      <w:pPr>
        <w:jc w:val="center"/>
      </w:pPr>
    </w:p>
    <w:p w14:paraId="098BD3C6" w14:textId="77777777" w:rsidR="003679BE" w:rsidRDefault="003679BE" w:rsidP="003679BE">
      <w:pPr>
        <w:jc w:val="center"/>
      </w:pPr>
    </w:p>
    <w:p w14:paraId="6C49DD02" w14:textId="77777777" w:rsidR="003679BE" w:rsidRDefault="003679BE" w:rsidP="003679BE">
      <w:pPr>
        <w:jc w:val="center"/>
      </w:pPr>
    </w:p>
    <w:p w14:paraId="57A5D21A" w14:textId="77777777" w:rsidR="003679BE" w:rsidRDefault="003679BE" w:rsidP="003679BE">
      <w:pPr>
        <w:jc w:val="center"/>
      </w:pPr>
    </w:p>
    <w:p w14:paraId="5B7A7C62" w14:textId="77777777" w:rsidR="003679BE" w:rsidRDefault="003679BE" w:rsidP="003679BE">
      <w:pPr>
        <w:jc w:val="center"/>
      </w:pPr>
    </w:p>
    <w:p w14:paraId="51A72524" w14:textId="77777777" w:rsidR="003679BE" w:rsidRDefault="003679BE" w:rsidP="003679BE">
      <w:pPr>
        <w:jc w:val="center"/>
      </w:pPr>
    </w:p>
    <w:p w14:paraId="2D4F768E" w14:textId="30AF3BEB" w:rsidR="003679BE" w:rsidRDefault="003679BE" w:rsidP="003679BE">
      <w:pPr>
        <w:jc w:val="center"/>
      </w:pPr>
      <w:r>
        <w:rPr>
          <w:noProof/>
        </w:rPr>
        <w:lastRenderedPageBreak/>
        <w:drawing>
          <wp:inline distT="0" distB="0" distL="0" distR="0" wp14:anchorId="5B6ED6CC" wp14:editId="42BEE6F6">
            <wp:extent cx="5263515" cy="6536055"/>
            <wp:effectExtent l="0" t="0" r="0" b="0"/>
            <wp:docPr id="977446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65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48F5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核心主题：国风科普插画，以明朝冠霞帔为核心，适配小红书3:4竖版构图，兼具知识性与视觉美感</w:t>
      </w:r>
    </w:p>
    <w:p w14:paraId="499C8CC9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画面主体：</w:t>
      </w:r>
    </w:p>
    <w:p w14:paraId="15D1D430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 xml:space="preserve"> </w:t>
      </w:r>
    </w:p>
    <w:p w14:paraId="2DC5EEC2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- 中央展示完整的明朝霞</w:t>
      </w:r>
      <w:proofErr w:type="gramStart"/>
      <w:r>
        <w:rPr>
          <w:rFonts w:hint="eastAsia"/>
        </w:rPr>
        <w:t>帔</w:t>
      </w:r>
      <w:proofErr w:type="gramEnd"/>
      <w:r>
        <w:rPr>
          <w:rFonts w:hint="eastAsia"/>
        </w:rPr>
        <w:t>形制：九龙四凤冠（镶嵌珍珠、宝石、金</w:t>
      </w:r>
      <w:proofErr w:type="gramStart"/>
      <w:r>
        <w:rPr>
          <w:rFonts w:hint="eastAsia"/>
        </w:rPr>
        <w:t>翟</w:t>
      </w:r>
      <w:proofErr w:type="gramEnd"/>
      <w:r>
        <w:rPr>
          <w:rFonts w:hint="eastAsia"/>
        </w:rPr>
        <w:t>，工艺华丽），深青色织金霞帔（末端配金</w:t>
      </w:r>
      <w:proofErr w:type="gramStart"/>
      <w:r>
        <w:rPr>
          <w:rFonts w:hint="eastAsia"/>
        </w:rPr>
        <w:t>帔</w:t>
      </w:r>
      <w:proofErr w:type="gramEnd"/>
      <w:r>
        <w:rPr>
          <w:rFonts w:hint="eastAsia"/>
        </w:rPr>
        <w:t>坠），交领大袖衫（红金配色，饰凤凰、云纹、缠枝</w:t>
      </w:r>
      <w:proofErr w:type="gramStart"/>
      <w:r>
        <w:rPr>
          <w:rFonts w:hint="eastAsia"/>
        </w:rPr>
        <w:t>莲</w:t>
      </w:r>
      <w:proofErr w:type="gramEnd"/>
      <w:r>
        <w:rPr>
          <w:rFonts w:hint="eastAsia"/>
        </w:rPr>
        <w:t>纹样）</w:t>
      </w:r>
    </w:p>
    <w:p w14:paraId="1D656098" w14:textId="77777777" w:rsidR="00912990" w:rsidRDefault="00912990" w:rsidP="00912990">
      <w:pPr>
        <w:rPr>
          <w:rFonts w:hint="eastAsia"/>
        </w:rPr>
      </w:pPr>
    </w:p>
    <w:p w14:paraId="55377212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lastRenderedPageBreak/>
        <w:t>- 搭配细节拆解：冠饰结构特写、霞帔</w:t>
      </w:r>
      <w:proofErr w:type="gramStart"/>
      <w:r>
        <w:rPr>
          <w:rFonts w:hint="eastAsia"/>
        </w:rPr>
        <w:t>帔</w:t>
      </w:r>
      <w:proofErr w:type="gramEnd"/>
      <w:r>
        <w:rPr>
          <w:rFonts w:hint="eastAsia"/>
        </w:rPr>
        <w:t>子形制示意图、纹样寓意标注</w:t>
      </w:r>
    </w:p>
    <w:p w14:paraId="4B2007FC" w14:textId="77777777" w:rsidR="00912990" w:rsidRDefault="00912990" w:rsidP="00912990">
      <w:pPr>
        <w:rPr>
          <w:rFonts w:hint="eastAsia"/>
        </w:rPr>
      </w:pPr>
    </w:p>
    <w:p w14:paraId="26DF3A85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- 补充小型场景插画：如皇后朝服、命妇礼服等穿戴场景</w:t>
      </w:r>
    </w:p>
    <w:p w14:paraId="5CD4D057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色彩与风格：</w:t>
      </w:r>
    </w:p>
    <w:p w14:paraId="6B497324" w14:textId="77777777" w:rsidR="00912990" w:rsidRDefault="00912990" w:rsidP="00912990">
      <w:pPr>
        <w:rPr>
          <w:rFonts w:hint="eastAsia"/>
        </w:rPr>
      </w:pPr>
    </w:p>
    <w:p w14:paraId="7BD32E9A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- 遵循明代服饰规制，以深邃蓝、朱红、赤金为主色调，辅以石青、明黄等正色</w:t>
      </w:r>
    </w:p>
    <w:p w14:paraId="6FAFB3F7" w14:textId="77777777" w:rsidR="00912990" w:rsidRDefault="00912990" w:rsidP="00912990">
      <w:pPr>
        <w:rPr>
          <w:rFonts w:hint="eastAsia"/>
        </w:rPr>
      </w:pPr>
    </w:p>
    <w:p w14:paraId="42980BD5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- 采用工笔重彩技法，线条细腻流畅，色彩典雅不艳俗，背景</w:t>
      </w:r>
      <w:proofErr w:type="gramStart"/>
      <w:r>
        <w:rPr>
          <w:rFonts w:hint="eastAsia"/>
        </w:rPr>
        <w:t>为浅米仿古</w:t>
      </w:r>
      <w:proofErr w:type="gramEnd"/>
      <w:r>
        <w:rPr>
          <w:rFonts w:hint="eastAsia"/>
        </w:rPr>
        <w:t>宣纸质感</w:t>
      </w:r>
    </w:p>
    <w:p w14:paraId="5E0AC304" w14:textId="77777777" w:rsidR="00912990" w:rsidRDefault="00912990" w:rsidP="00912990">
      <w:pPr>
        <w:rPr>
          <w:rFonts w:hint="eastAsia"/>
        </w:rPr>
      </w:pPr>
    </w:p>
    <w:p w14:paraId="5DE86C15" w14:textId="77777777" w:rsidR="00912990" w:rsidRDefault="00912990" w:rsidP="00912990">
      <w:pPr>
        <w:rPr>
          <w:rFonts w:hint="eastAsia"/>
        </w:rPr>
      </w:pPr>
      <w:r>
        <w:rPr>
          <w:rFonts w:hint="eastAsia"/>
        </w:rPr>
        <w:t>- 搭配中式回纹边框，文字标注用瘦金体或宋体，信息层级清晰</w:t>
      </w:r>
    </w:p>
    <w:p w14:paraId="5BE766D2" w14:textId="38875698" w:rsidR="00912990" w:rsidRDefault="00912990" w:rsidP="00912990">
      <w:pPr>
        <w:rPr>
          <w:rFonts w:hint="eastAsia"/>
        </w:rPr>
      </w:pPr>
      <w:r>
        <w:rPr>
          <w:rFonts w:hint="eastAsia"/>
        </w:rPr>
        <w:t>输出要求：单张竖版插画，3:4比例，主视觉+分模块细节图+文字注解，适合作为科普内容或文创设计素材</w:t>
      </w:r>
    </w:p>
    <w:sectPr w:rsidR="009129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77"/>
    <w:rsid w:val="00196877"/>
    <w:rsid w:val="003679BE"/>
    <w:rsid w:val="00855653"/>
    <w:rsid w:val="00912990"/>
    <w:rsid w:val="00D0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3830"/>
  <w15:chartTrackingRefBased/>
  <w15:docId w15:val="{1FF443BE-E5B6-41AB-B4AE-F6B20A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87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87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87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87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87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87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87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8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8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96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14</Pages>
  <Words>2506</Words>
  <Characters>2633</Characters>
  <Application>Microsoft Office Word</Application>
  <DocSecurity>0</DocSecurity>
  <Lines>292</Lines>
  <Paragraphs>244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2026-02-01T09:13:00Z</dcterms:created>
  <dcterms:modified xsi:type="dcterms:W3CDTF">2026-02-01T11:01:00Z</dcterms:modified>
</cp:coreProperties>
</file>