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Service Generation Template Pack</w:t>
      </w:r>
    </w:p>
    <w:p>
      <w:r>
        <w:t>This document defines the standardized service generation template used by autonomous AI builders to construct every backend service in the AI‑Native Super LMS platform. It ensures consistency, testability, security compliance, and scalability across all 60 services.</w:t>
      </w:r>
    </w:p>
    <w:p>
      <w:r>
        <w:t>Version: 1.0 | Generated: 2026-03-09</w:t>
      </w:r>
    </w:p>
    <w:p>
      <w:pPr>
        <w:pStyle w:val="Heading1"/>
      </w:pPr>
      <w:r>
        <w:t>1. Purpose of the Template Pack</w:t>
      </w:r>
    </w:p>
    <w:p>
      <w:r>
        <w:t>The AI Service Generation Template Pack acts as the factory mold for creating all services in the LMS. Every AI builder must use this exact service structure when generating a new system component.</w:t>
      </w:r>
    </w:p>
    <w:p>
      <w:pPr>
        <w:pStyle w:val="Heading1"/>
      </w:pPr>
      <w:r>
        <w:t>2. Standard Service Directory Structure</w:t>
      </w:r>
    </w:p>
    <w:p>
      <w:r>
        <w:t>service/</w:t>
      </w:r>
    </w:p>
    <w:p>
      <w:r>
        <w:t xml:space="preserve"> ├── schema.sql</w:t>
      </w:r>
    </w:p>
    <w:p>
      <w:r>
        <w:t xml:space="preserve"> ├── migrations/</w:t>
      </w:r>
    </w:p>
    <w:p>
      <w:r>
        <w:t xml:space="preserve"> ├── api_routes/</w:t>
      </w:r>
    </w:p>
    <w:p>
      <w:r>
        <w:t xml:space="preserve"> ├── business_logic/</w:t>
      </w:r>
    </w:p>
    <w:p>
      <w:r>
        <w:t xml:space="preserve"> ├── events/</w:t>
      </w:r>
    </w:p>
    <w:p>
      <w:r>
        <w:t xml:space="preserve"> ├── tests/</w:t>
      </w:r>
    </w:p>
    <w:p>
      <w:r>
        <w:t xml:space="preserve"> └── deployment/</w:t>
      </w:r>
    </w:p>
    <w:p>
      <w:pPr>
        <w:pStyle w:val="Heading1"/>
      </w:pPr>
      <w:r>
        <w:t>3. Component Definitions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schema.sql</w:t>
            </w:r>
          </w:p>
        </w:tc>
        <w:tc>
          <w:tcPr>
            <w:tcW w:type="dxa" w:w="4320"/>
          </w:tcPr>
          <w:p>
            <w:r>
              <w:t>Defines database tables and relationships used by the service.</w:t>
            </w:r>
          </w:p>
        </w:tc>
      </w:tr>
      <w:tr>
        <w:tc>
          <w:tcPr>
            <w:tcW w:type="dxa" w:w="4320"/>
          </w:tcPr>
          <w:p>
            <w:r>
              <w:t>migrations/</w:t>
            </w:r>
          </w:p>
        </w:tc>
        <w:tc>
          <w:tcPr>
            <w:tcW w:type="dxa" w:w="4320"/>
          </w:tcPr>
          <w:p>
            <w:r>
              <w:t>Versioned database migration scripts used to evolve the schema safely.</w:t>
            </w:r>
          </w:p>
        </w:tc>
      </w:tr>
      <w:tr>
        <w:tc>
          <w:tcPr>
            <w:tcW w:type="dxa" w:w="4320"/>
          </w:tcPr>
          <w:p>
            <w:r>
              <w:t>api_routes/</w:t>
            </w:r>
          </w:p>
        </w:tc>
        <w:tc>
          <w:tcPr>
            <w:tcW w:type="dxa" w:w="4320"/>
          </w:tcPr>
          <w:p>
            <w:r>
              <w:t>REST or GraphQL endpoint definitions that expose service capabilities.</w:t>
            </w:r>
          </w:p>
        </w:tc>
      </w:tr>
      <w:tr>
        <w:tc>
          <w:tcPr>
            <w:tcW w:type="dxa" w:w="4320"/>
          </w:tcPr>
          <w:p>
            <w:r>
              <w:t>business_logic/</w:t>
            </w:r>
          </w:p>
        </w:tc>
        <w:tc>
          <w:tcPr>
            <w:tcW w:type="dxa" w:w="4320"/>
          </w:tcPr>
          <w:p>
            <w:r>
              <w:t>Core application logic and service rules implemented by the service.</w:t>
            </w:r>
          </w:p>
        </w:tc>
      </w:tr>
      <w:tr>
        <w:tc>
          <w:tcPr>
            <w:tcW w:type="dxa" w:w="4320"/>
          </w:tcPr>
          <w:p>
            <w:r>
              <w:t>events/</w:t>
            </w:r>
          </w:p>
        </w:tc>
        <w:tc>
          <w:tcPr>
            <w:tcW w:type="dxa" w:w="4320"/>
          </w:tcPr>
          <w:p>
            <w:r>
              <w:t>Event definitions emitted by the service to the global event architecture.</w:t>
            </w:r>
          </w:p>
        </w:tc>
      </w:tr>
      <w:tr>
        <w:tc>
          <w:tcPr>
            <w:tcW w:type="dxa" w:w="4320"/>
          </w:tcPr>
          <w:p>
            <w:r>
              <w:t>tests/</w:t>
            </w:r>
          </w:p>
        </w:tc>
        <w:tc>
          <w:tcPr>
            <w:tcW w:type="dxa" w:w="4320"/>
          </w:tcPr>
          <w:p>
            <w:r>
              <w:t>Automated unit tests, integration tests, and validation suites.</w:t>
            </w:r>
          </w:p>
        </w:tc>
      </w:tr>
      <w:tr>
        <w:tc>
          <w:tcPr>
            <w:tcW w:type="dxa" w:w="4320"/>
          </w:tcPr>
          <w:p>
            <w:r>
              <w:t>deployment/</w:t>
            </w:r>
          </w:p>
        </w:tc>
        <w:tc>
          <w:tcPr>
            <w:tcW w:type="dxa" w:w="4320"/>
          </w:tcPr>
          <w:p>
            <w:r>
              <w:t>Infrastructure configuration and container deployment definitions.</w:t>
            </w:r>
          </w:p>
        </w:tc>
      </w:tr>
    </w:tbl>
    <w:p>
      <w:pPr>
        <w:pStyle w:val="Heading1"/>
      </w:pPr>
      <w:r>
        <w:t>4. Example Generated Service Skeleton</w:t>
      </w:r>
    </w:p>
    <w:p>
      <w:r>
        <w:t>service/</w:t>
        <w:br/>
        <w:t xml:space="preserve"> ├── schema.sql</w:t>
        <w:br/>
        <w:t xml:space="preserve"> ├── migrations/</w:t>
        <w:br/>
        <w:t xml:space="preserve"> │    ├── 001_create_tables.sql</w:t>
        <w:br/>
        <w:t xml:space="preserve"> │    └── 002_add_indexes.sql</w:t>
        <w:br/>
        <w:t xml:space="preserve"> ├── api_routes/</w:t>
        <w:br/>
        <w:t xml:space="preserve"> │    ├── create_entity.route</w:t>
        <w:br/>
        <w:t xml:space="preserve"> │    ├── get_entity.route</w:t>
        <w:br/>
        <w:t xml:space="preserve"> │    └── update_entity.route</w:t>
        <w:br/>
        <w:t xml:space="preserve"> ├── business_logic/</w:t>
        <w:br/>
        <w:t xml:space="preserve"> │    ├── service_handler.logic</w:t>
        <w:br/>
        <w:t xml:space="preserve"> │    └── validation.logic</w:t>
        <w:br/>
        <w:t xml:space="preserve"> ├── events/</w:t>
        <w:br/>
        <w:t xml:space="preserve"> │    ├── entity_created.event</w:t>
        <w:br/>
        <w:t xml:space="preserve"> │    └── entity_updated.event</w:t>
        <w:br/>
        <w:t xml:space="preserve"> ├── tests/</w:t>
        <w:br/>
        <w:t xml:space="preserve"> │    ├── unit_tests.test</w:t>
        <w:br/>
        <w:t xml:space="preserve"> │    └── integration_tests.test</w:t>
        <w:br/>
        <w:t xml:space="preserve"> └── deployment/</w:t>
        <w:br/>
        <w:t xml:space="preserve">      ├── container_config.yaml</w:t>
        <w:br/>
        <w:t xml:space="preserve">      └── service_manifest.yaml</w:t>
      </w:r>
    </w:p>
    <w:p>
      <w:pPr>
        <w:pStyle w:val="Heading1"/>
      </w:pPr>
      <w:r>
        <w:t>5. API Generation Requirements</w:t>
      </w:r>
    </w:p>
    <w:p>
      <w:r>
        <w:t>Each generated service must include the following API capabilities:</w:t>
      </w:r>
    </w:p>
    <w:p>
      <w:pPr>
        <w:pStyle w:val="ListBullet"/>
      </w:pPr>
      <w:r>
        <w:t>Create endpoint</w:t>
      </w:r>
    </w:p>
    <w:p>
      <w:pPr>
        <w:pStyle w:val="ListBullet"/>
      </w:pPr>
      <w:r>
        <w:t>Read endpoint</w:t>
      </w:r>
    </w:p>
    <w:p>
      <w:pPr>
        <w:pStyle w:val="ListBullet"/>
      </w:pPr>
      <w:r>
        <w:t>Update endpoint</w:t>
      </w:r>
    </w:p>
    <w:p>
      <w:pPr>
        <w:pStyle w:val="ListBullet"/>
      </w:pPr>
      <w:r>
        <w:t>Delete endpoint (when appropriate)</w:t>
      </w:r>
    </w:p>
    <w:p>
      <w:pPr>
        <w:pStyle w:val="ListBullet"/>
      </w:pPr>
      <w:r>
        <w:t>List endpoint</w:t>
      </w:r>
    </w:p>
    <w:p>
      <w:pPr>
        <w:pStyle w:val="ListBullet"/>
      </w:pPr>
      <w:r>
        <w:t>Permission validation checks</w:t>
      </w:r>
    </w:p>
    <w:p>
      <w:pPr>
        <w:pStyle w:val="ListBullet"/>
      </w:pPr>
      <w:r>
        <w:t>Event emission on write operations</w:t>
      </w:r>
    </w:p>
    <w:p>
      <w:pPr>
        <w:pStyle w:val="Heading1"/>
      </w:pPr>
      <w:r>
        <w:t>6. Database Generation Requirements</w:t>
      </w:r>
    </w:p>
    <w:p>
      <w:pPr>
        <w:pStyle w:val="ListBullet"/>
      </w:pPr>
      <w:r>
        <w:t>All tables must include primary keys</w:t>
      </w:r>
    </w:p>
    <w:p>
      <w:pPr>
        <w:pStyle w:val="ListBullet"/>
      </w:pPr>
      <w:r>
        <w:t>All tables must include created_at and updated_at timestamps</w:t>
      </w:r>
    </w:p>
    <w:p>
      <w:pPr>
        <w:pStyle w:val="ListBullet"/>
      </w:pPr>
      <w:r>
        <w:t>Foreign key constraints must be defined</w:t>
      </w:r>
    </w:p>
    <w:p>
      <w:pPr>
        <w:pStyle w:val="ListBullet"/>
      </w:pPr>
      <w:r>
        <w:t>Indexes must be created for frequently queried columns</w:t>
      </w:r>
    </w:p>
    <w:p>
      <w:pPr>
        <w:pStyle w:val="ListBullet"/>
      </w:pPr>
      <w:r>
        <w:t>All schema changes must be versioned via migrations</w:t>
      </w:r>
    </w:p>
    <w:p>
      <w:pPr>
        <w:pStyle w:val="Heading1"/>
      </w:pPr>
      <w:r>
        <w:t>7. Event Emission Standards</w:t>
      </w:r>
    </w:p>
    <w:p>
      <w:r>
        <w:t>Every service must emit events when important state changes occur. Events are consumed by analytics, AI intelligence engines, notifications, and automation workflows.</w:t>
      </w:r>
    </w:p>
    <w:p>
      <w:pPr>
        <w:pStyle w:val="ListBullet"/>
      </w:pPr>
      <w:r>
        <w:t>entity.created</w:t>
      </w:r>
    </w:p>
    <w:p>
      <w:pPr>
        <w:pStyle w:val="ListBullet"/>
      </w:pPr>
      <w:r>
        <w:t>entity.updated</w:t>
      </w:r>
    </w:p>
    <w:p>
      <w:pPr>
        <w:pStyle w:val="ListBullet"/>
      </w:pPr>
      <w:r>
        <w:t>entity.deleted</w:t>
      </w:r>
    </w:p>
    <w:p>
      <w:pPr>
        <w:pStyle w:val="ListBullet"/>
      </w:pPr>
      <w:r>
        <w:t>entity.status_changed</w:t>
      </w:r>
    </w:p>
    <w:p>
      <w:pPr>
        <w:pStyle w:val="Heading1"/>
      </w:pPr>
      <w:r>
        <w:t>8. Automated Testing Requirements</w:t>
      </w:r>
    </w:p>
    <w:p>
      <w:pPr>
        <w:pStyle w:val="ListBullet"/>
      </w:pPr>
      <w:r>
        <w:t>Unit tests for all business logic</w:t>
      </w:r>
    </w:p>
    <w:p>
      <w:pPr>
        <w:pStyle w:val="ListBullet"/>
      </w:pPr>
      <w:r>
        <w:t>API endpoint validation tests</w:t>
      </w:r>
    </w:p>
    <w:p>
      <w:pPr>
        <w:pStyle w:val="ListBullet"/>
      </w:pPr>
      <w:r>
        <w:t>Permission enforcement tests</w:t>
      </w:r>
    </w:p>
    <w:p>
      <w:pPr>
        <w:pStyle w:val="ListBullet"/>
      </w:pPr>
      <w:r>
        <w:t>Event emission verification</w:t>
      </w:r>
    </w:p>
    <w:p>
      <w:pPr>
        <w:pStyle w:val="ListBullet"/>
      </w:pPr>
      <w:r>
        <w:t>Database migration validation</w:t>
      </w:r>
    </w:p>
    <w:p>
      <w:pPr>
        <w:pStyle w:val="Heading1"/>
      </w:pPr>
      <w:r>
        <w:t>9. Deployment Requirements</w:t>
      </w:r>
    </w:p>
    <w:p>
      <w:pPr>
        <w:pStyle w:val="ListBullet"/>
      </w:pPr>
      <w:r>
        <w:t>Service must be containerized</w:t>
      </w:r>
    </w:p>
    <w:p>
      <w:pPr>
        <w:pStyle w:val="ListBullet"/>
      </w:pPr>
      <w:r>
        <w:t>Deployment configuration must include health checks</w:t>
      </w:r>
    </w:p>
    <w:p>
      <w:pPr>
        <w:pStyle w:val="ListBullet"/>
      </w:pPr>
      <w:r>
        <w:t>Monitoring hooks must be configured</w:t>
      </w:r>
    </w:p>
    <w:p>
      <w:pPr>
        <w:pStyle w:val="ListBullet"/>
      </w:pPr>
      <w:r>
        <w:t>Logging must follow platform logging standards</w:t>
      </w:r>
    </w:p>
    <w:p>
      <w:pPr>
        <w:pStyle w:val="Heading1"/>
      </w:pPr>
      <w:r>
        <w:t>10. AI Builder Execution Rule</w:t>
      </w:r>
    </w:p>
    <w:p>
      <w:r>
        <w:t>Autonomous AI builders must instantiate this template for every service defined in the Super LMS 60‑Service Build Matrix. No deviations from this template are permitted without approval from Architecture AI.</w:t>
      </w:r>
    </w:p>
    <w:p>
      <w:pPr>
        <w:pStyle w:val="Heading1"/>
      </w:pPr>
      <w:r>
        <w:t>11. Strategic Outcome</w:t>
      </w:r>
    </w:p>
    <w:p>
      <w:r>
        <w:t>When applied consistently across the platform, this template pack enables AI builders to automatically generate the full service architecture of the Super LMS with consistent quality, governance compliance, and maintainable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