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Super LMS Autonomous Build Playbook</w:t>
      </w:r>
    </w:p>
    <w:p>
      <w:r>
        <w:rPr>
          <w:b/>
        </w:rPr>
        <w:t xml:space="preserve">Purpose: </w:t>
      </w:r>
      <w:r>
        <w:t>This document is the operational instruction manual that autonomous AI builder agents follow to construct the complete AI‑native Super LMS platform from architecture to production.</w:t>
      </w:r>
    </w:p>
    <w:p>
      <w:r>
        <w:t>Version: 1.0   |   Generated: 2026-03-09</w:t>
      </w:r>
    </w:p>
    <w:p>
      <w:pPr>
        <w:pStyle w:val="Heading1"/>
      </w:pPr>
      <w:r>
        <w:t>1. Build Philosophy</w:t>
      </w:r>
    </w:p>
    <w:p>
      <w:r>
        <w:t>The Super LMS is built entirely by coordinated AI builder agents. Each builder operates within strict architectural constraints and may only generate artifacts defined by the architecture blueprint. All outputs must pass automated validation gates before promotion.</w:t>
      </w:r>
    </w:p>
    <w:p>
      <w:pPr>
        <w:pStyle w:val="Heading1"/>
      </w:pPr>
      <w:r>
        <w:t>2. AI Builder Roles</w:t>
      </w:r>
    </w:p>
    <w:tbl>
      <w:tblPr>
        <w:tblW w:type="auto" w:w="0"/>
        <w:tblLook w:firstColumn="1" w:firstRow="1" w:lastColumn="0" w:lastRow="0" w:noHBand="0" w:noVBand="1" w:val="04A0"/>
      </w:tblPr>
      <w:tblGrid>
        <w:gridCol w:w="4320"/>
        <w:gridCol w:w="4320"/>
      </w:tblGrid>
      <w:tr>
        <w:tc>
          <w:tcPr>
            <w:tcW w:type="dxa" w:w="4320"/>
          </w:tcPr>
          <w:p>
            <w:r>
              <w:t>AI Builder</w:t>
            </w:r>
          </w:p>
        </w:tc>
        <w:tc>
          <w:tcPr>
            <w:tcW w:type="dxa" w:w="4320"/>
          </w:tcPr>
          <w:p>
            <w:r>
              <w:t>Responsibilities</w:t>
            </w:r>
          </w:p>
        </w:tc>
      </w:tr>
      <w:tr>
        <w:tc>
          <w:tcPr>
            <w:tcW w:type="dxa" w:w="4320"/>
          </w:tcPr>
          <w:p>
            <w:r>
              <w:t>Architecture AI</w:t>
            </w:r>
          </w:p>
        </w:tc>
        <w:tc>
          <w:tcPr>
            <w:tcW w:type="dxa" w:w="4320"/>
          </w:tcPr>
          <w:p>
            <w:r>
              <w:t>Defines system structure, service boundaries, architecture decision records</w:t>
            </w:r>
          </w:p>
        </w:tc>
      </w:tr>
      <w:tr>
        <w:tc>
          <w:tcPr>
            <w:tcW w:type="dxa" w:w="4320"/>
          </w:tcPr>
          <w:p>
            <w:r>
              <w:t>Schema AI</w:t>
            </w:r>
          </w:p>
        </w:tc>
        <w:tc>
          <w:tcPr>
            <w:tcW w:type="dxa" w:w="4320"/>
          </w:tcPr>
          <w:p>
            <w:r>
              <w:t>Generates database schemas, migrations, seed data</w:t>
            </w:r>
          </w:p>
        </w:tc>
      </w:tr>
      <w:tr>
        <w:tc>
          <w:tcPr>
            <w:tcW w:type="dxa" w:w="4320"/>
          </w:tcPr>
          <w:p>
            <w:r>
              <w:t>API AI</w:t>
            </w:r>
          </w:p>
        </w:tc>
        <w:tc>
          <w:tcPr>
            <w:tcW w:type="dxa" w:w="4320"/>
          </w:tcPr>
          <w:p>
            <w:r>
              <w:t>Creates service APIs, endpoint contracts, validation rules, event emissions</w:t>
            </w:r>
          </w:p>
        </w:tc>
      </w:tr>
      <w:tr>
        <w:tc>
          <w:tcPr>
            <w:tcW w:type="dxa" w:w="4320"/>
          </w:tcPr>
          <w:p>
            <w:r>
              <w:t>UI Assembly AI</w:t>
            </w:r>
          </w:p>
        </w:tc>
        <w:tc>
          <w:tcPr>
            <w:tcW w:type="dxa" w:w="4320"/>
          </w:tcPr>
          <w:p>
            <w:r>
              <w:t>Builds portals and interface pages using predefined APIs</w:t>
            </w:r>
          </w:p>
        </w:tc>
      </w:tr>
      <w:tr>
        <w:tc>
          <w:tcPr>
            <w:tcW w:type="dxa" w:w="4320"/>
          </w:tcPr>
          <w:p>
            <w:r>
              <w:t>Workflow AI</w:t>
            </w:r>
          </w:p>
        </w:tc>
        <w:tc>
          <w:tcPr>
            <w:tcW w:type="dxa" w:w="4320"/>
          </w:tcPr>
          <w:p>
            <w:r>
              <w:t>Creates automations, event triggers, notification flows</w:t>
            </w:r>
          </w:p>
        </w:tc>
      </w:tr>
      <w:tr>
        <w:tc>
          <w:tcPr>
            <w:tcW w:type="dxa" w:w="4320"/>
          </w:tcPr>
          <w:p>
            <w:r>
              <w:t>AI Intelligence Builder</w:t>
            </w:r>
          </w:p>
        </w:tc>
        <w:tc>
          <w:tcPr>
            <w:tcW w:type="dxa" w:w="4320"/>
          </w:tcPr>
          <w:p>
            <w:r>
              <w:t>Builds tutor, recommendation, grading, and AI prompt systems</w:t>
            </w:r>
          </w:p>
        </w:tc>
      </w:tr>
      <w:tr>
        <w:tc>
          <w:tcPr>
            <w:tcW w:type="dxa" w:w="4320"/>
          </w:tcPr>
          <w:p>
            <w:r>
              <w:t>QA AI</w:t>
            </w:r>
          </w:p>
        </w:tc>
        <w:tc>
          <w:tcPr>
            <w:tcW w:type="dxa" w:w="4320"/>
          </w:tcPr>
          <w:p>
            <w:r>
              <w:t>Generates automated tests, validation rules, and safety checks</w:t>
            </w:r>
          </w:p>
        </w:tc>
      </w:tr>
      <w:tr>
        <w:tc>
          <w:tcPr>
            <w:tcW w:type="dxa" w:w="4320"/>
          </w:tcPr>
          <w:p>
            <w:r>
              <w:t>DevOps AI</w:t>
            </w:r>
          </w:p>
        </w:tc>
        <w:tc>
          <w:tcPr>
            <w:tcW w:type="dxa" w:w="4320"/>
          </w:tcPr>
          <w:p>
            <w:r>
              <w:t>Creates infrastructure configuration, CI/CD pipelines, and monitoring</w:t>
            </w:r>
          </w:p>
        </w:tc>
      </w:tr>
    </w:tbl>
    <w:p>
      <w:pPr>
        <w:pStyle w:val="Heading1"/>
      </w:pPr>
      <w:r>
        <w:t>3. Mandatory Build Waves</w:t>
      </w:r>
    </w:p>
    <w:tbl>
      <w:tblPr>
        <w:tblW w:type="auto" w:w="0"/>
        <w:tblLook w:firstColumn="1" w:firstRow="1" w:lastColumn="0" w:lastRow="0" w:noHBand="0" w:noVBand="1" w:val="04A0"/>
      </w:tblPr>
      <w:tblGrid>
        <w:gridCol w:w="4320"/>
        <w:gridCol w:w="4320"/>
      </w:tblGrid>
      <w:tr>
        <w:tc>
          <w:tcPr>
            <w:tcW w:type="dxa" w:w="4320"/>
          </w:tcPr>
          <w:p>
            <w:r>
              <w:t>Wave</w:t>
            </w:r>
          </w:p>
        </w:tc>
        <w:tc>
          <w:tcPr>
            <w:tcW w:type="dxa" w:w="4320"/>
          </w:tcPr>
          <w:p>
            <w:r>
              <w:t>Primary Scope</w:t>
            </w:r>
          </w:p>
        </w:tc>
      </w:tr>
      <w:tr>
        <w:tc>
          <w:tcPr>
            <w:tcW w:type="dxa" w:w="4320"/>
          </w:tcPr>
          <w:p>
            <w:r>
              <w:t>Wave 1 – Platform Core</w:t>
            </w:r>
          </w:p>
        </w:tc>
        <w:tc>
          <w:tcPr>
            <w:tcW w:type="dxa" w:w="4320"/>
          </w:tcPr>
          <w:p>
            <w:r>
              <w:t>Infrastructure, Identity, Authorization, Tenant Model, Database Core</w:t>
            </w:r>
          </w:p>
        </w:tc>
      </w:tr>
      <w:tr>
        <w:tc>
          <w:tcPr>
            <w:tcW w:type="dxa" w:w="4320"/>
          </w:tcPr>
          <w:p>
            <w:r>
              <w:t>Wave 2 – Academic Platform</w:t>
            </w:r>
          </w:p>
        </w:tc>
        <w:tc>
          <w:tcPr>
            <w:tcW w:type="dxa" w:w="4320"/>
          </w:tcPr>
          <w:p>
            <w:r>
              <w:t>Institutions, academic structure, courses, sections, enrollments</w:t>
            </w:r>
          </w:p>
        </w:tc>
      </w:tr>
      <w:tr>
        <w:tc>
          <w:tcPr>
            <w:tcW w:type="dxa" w:w="4320"/>
          </w:tcPr>
          <w:p>
            <w:r>
              <w:t>Wave 3 – Learning System</w:t>
            </w:r>
          </w:p>
        </w:tc>
        <w:tc>
          <w:tcPr>
            <w:tcW w:type="dxa" w:w="4320"/>
          </w:tcPr>
          <w:p>
            <w:r>
              <w:t>Modules, lessons, assignments, quizzes, submissions, gradebook</w:t>
            </w:r>
          </w:p>
        </w:tc>
      </w:tr>
      <w:tr>
        <w:tc>
          <w:tcPr>
            <w:tcW w:type="dxa" w:w="4320"/>
          </w:tcPr>
          <w:p>
            <w:r>
              <w:t>Wave 4 – AI Learning Core</w:t>
            </w:r>
          </w:p>
        </w:tc>
        <w:tc>
          <w:tcPr>
            <w:tcW w:type="dxa" w:w="4320"/>
          </w:tcPr>
          <w:p>
            <w:r>
              <w:t>AI Tutor, AI Content Generation, AI Grading, Recommendations</w:t>
            </w:r>
          </w:p>
        </w:tc>
      </w:tr>
      <w:tr>
        <w:tc>
          <w:tcPr>
            <w:tcW w:type="dxa" w:w="4320"/>
          </w:tcPr>
          <w:p>
            <w:r>
              <w:t>Wave 5 – Intelligence Systems</w:t>
            </w:r>
          </w:p>
        </w:tc>
        <w:tc>
          <w:tcPr>
            <w:tcW w:type="dxa" w:w="4320"/>
          </w:tcPr>
          <w:p>
            <w:r>
              <w:t>Student success prediction, teacher insights, parent dashboards</w:t>
            </w:r>
          </w:p>
        </w:tc>
      </w:tr>
      <w:tr>
        <w:tc>
          <w:tcPr>
            <w:tcW w:type="dxa" w:w="4320"/>
          </w:tcPr>
          <w:p>
            <w:r>
              <w:t>Wave 6 – Governance</w:t>
            </w:r>
          </w:p>
        </w:tc>
        <w:tc>
          <w:tcPr>
            <w:tcW w:type="dxa" w:w="4320"/>
          </w:tcPr>
          <w:p>
            <w:r>
              <w:t>Security systems, AI governance, audit logging, compliance controls</w:t>
            </w:r>
          </w:p>
        </w:tc>
      </w:tr>
      <w:tr>
        <w:tc>
          <w:tcPr>
            <w:tcW w:type="dxa" w:w="4320"/>
          </w:tcPr>
          <w:p>
            <w:r>
              <w:t>Wave 7 – Global Platform Systems</w:t>
            </w:r>
          </w:p>
        </w:tc>
        <w:tc>
          <w:tcPr>
            <w:tcW w:type="dxa" w:w="4320"/>
          </w:tcPr>
          <w:p>
            <w:r>
              <w:t>AI orchestration, integrations, automation systems</w:t>
            </w:r>
          </w:p>
        </w:tc>
      </w:tr>
      <w:tr>
        <w:tc>
          <w:tcPr>
            <w:tcW w:type="dxa" w:w="4320"/>
          </w:tcPr>
          <w:p>
            <w:r>
              <w:t>Wave 8 – Enterprise Platform</w:t>
            </w:r>
          </w:p>
        </w:tc>
        <w:tc>
          <w:tcPr>
            <w:tcW w:type="dxa" w:w="4320"/>
          </w:tcPr>
          <w:p>
            <w:r>
              <w:t>Marketplace, white‑label deployments, developer APIs</w:t>
            </w:r>
          </w:p>
        </w:tc>
      </w:tr>
    </w:tbl>
    <w:p>
      <w:pPr>
        <w:pStyle w:val="Heading1"/>
      </w:pPr>
      <w:r>
        <w:t>4. Artifact Templates Produced by AI</w:t>
      </w:r>
    </w:p>
    <w:p>
      <w:pPr>
        <w:pStyle w:val="ListBullet"/>
      </w:pPr>
      <w:r>
        <w:t>Database migration scripts</w:t>
      </w:r>
    </w:p>
    <w:p>
      <w:pPr>
        <w:pStyle w:val="ListBullet"/>
      </w:pPr>
      <w:r>
        <w:t>Service architecture definitions</w:t>
      </w:r>
    </w:p>
    <w:p>
      <w:pPr>
        <w:pStyle w:val="ListBullet"/>
      </w:pPr>
      <w:r>
        <w:t>API specification files</w:t>
      </w:r>
    </w:p>
    <w:p>
      <w:pPr>
        <w:pStyle w:val="ListBullet"/>
      </w:pPr>
      <w:r>
        <w:t>UI page templates</w:t>
      </w:r>
    </w:p>
    <w:p>
      <w:pPr>
        <w:pStyle w:val="ListBullet"/>
      </w:pPr>
      <w:r>
        <w:t>Workflow automation definitions</w:t>
      </w:r>
    </w:p>
    <w:p>
      <w:pPr>
        <w:pStyle w:val="ListBullet"/>
      </w:pPr>
      <w:r>
        <w:t>AI prompt template libraries</w:t>
      </w:r>
    </w:p>
    <w:p>
      <w:pPr>
        <w:pStyle w:val="ListBullet"/>
      </w:pPr>
      <w:r>
        <w:t>Unit and integration tests</w:t>
      </w:r>
    </w:p>
    <w:p>
      <w:pPr>
        <w:pStyle w:val="ListBullet"/>
      </w:pPr>
      <w:r>
        <w:t>Security and compliance policies</w:t>
      </w:r>
    </w:p>
    <w:p>
      <w:pPr>
        <w:pStyle w:val="ListBullet"/>
      </w:pPr>
      <w:r>
        <w:t>CI/CD pipeline configuration</w:t>
      </w:r>
    </w:p>
    <w:p>
      <w:pPr>
        <w:pStyle w:val="ListBullet"/>
      </w:pPr>
      <w:r>
        <w:t>Monitoring and observability dashboards</w:t>
      </w:r>
    </w:p>
    <w:p>
      <w:pPr>
        <w:pStyle w:val="Heading1"/>
      </w:pPr>
      <w:r>
        <w:t>5. Standard AI Builder Prompt Template</w:t>
      </w:r>
    </w:p>
    <w:p>
      <w:r>
        <w:t>Role: &lt;AI Builder Type&gt;</w:t>
        <w:br/>
        <w:br/>
        <w:t>Objective:</w:t>
        <w:br/>
        <w:t>Generate &lt;artifact type&gt; for &lt;service name&gt;.</w:t>
        <w:br/>
        <w:br/>
        <w:t>Constraints:</w:t>
        <w:br/>
        <w:t>- Must follow Global LMS Architecture Blueprint</w:t>
        <w:br/>
        <w:t>- Must not invent new services or schemas</w:t>
        <w:br/>
        <w:t>- Must use canonical naming conventions</w:t>
        <w:br/>
        <w:t>- Must emit events defined in event architecture</w:t>
        <w:br/>
        <w:br/>
        <w:t>Outputs:</w:t>
        <w:br/>
        <w:t>- Primary artifact</w:t>
        <w:br/>
        <w:t>- Associated automated test suite</w:t>
        <w:br/>
        <w:t>- Documentation summary</w:t>
      </w:r>
    </w:p>
    <w:p>
      <w:pPr>
        <w:pStyle w:val="Heading1"/>
      </w:pPr>
      <w:r>
        <w:t>6. Test Gates</w:t>
      </w:r>
    </w:p>
    <w:p>
      <w:pPr>
        <w:pStyle w:val="ListBullet"/>
      </w:pPr>
      <w:r>
        <w:t>Schema validation and migration success</w:t>
      </w:r>
    </w:p>
    <w:p>
      <w:pPr>
        <w:pStyle w:val="ListBullet"/>
      </w:pPr>
      <w:r>
        <w:t>API contract validation</w:t>
      </w:r>
    </w:p>
    <w:p>
      <w:pPr>
        <w:pStyle w:val="ListBullet"/>
      </w:pPr>
      <w:r>
        <w:t>Permission and access control verification</w:t>
      </w:r>
    </w:p>
    <w:p>
      <w:pPr>
        <w:pStyle w:val="ListBullet"/>
      </w:pPr>
      <w:r>
        <w:t>Event emission verification</w:t>
      </w:r>
    </w:p>
    <w:p>
      <w:pPr>
        <w:pStyle w:val="ListBullet"/>
      </w:pPr>
      <w:r>
        <w:t>AI safety checks and prompt validation</w:t>
      </w:r>
    </w:p>
    <w:p>
      <w:pPr>
        <w:pStyle w:val="ListBullet"/>
      </w:pPr>
      <w:r>
        <w:t>Performance benchmarks</w:t>
      </w:r>
    </w:p>
    <w:p>
      <w:pPr>
        <w:pStyle w:val="ListBullet"/>
      </w:pPr>
      <w:r>
        <w:t>Integration test success</w:t>
      </w:r>
    </w:p>
    <w:p>
      <w:pPr>
        <w:pStyle w:val="Heading1"/>
      </w:pPr>
      <w:r>
        <w:t>7. Promotion Pipeline</w:t>
      </w:r>
    </w:p>
    <w:p>
      <w:r>
        <w:t>Draft → Preview Environment → QA Validation → Staging → Production</w:t>
      </w:r>
    </w:p>
    <w:p>
      <w:pPr>
        <w:pStyle w:val="Heading1"/>
      </w:pPr>
      <w:r>
        <w:t>8. Rules for Autonomous Builders</w:t>
      </w:r>
    </w:p>
    <w:p>
      <w:pPr>
        <w:pStyle w:val="ListBullet"/>
      </w:pPr>
      <w:r>
        <w:t>AI builders must never modify architecture without Architecture AI approval</w:t>
      </w:r>
    </w:p>
    <w:p>
      <w:pPr>
        <w:pStyle w:val="ListBullet"/>
      </w:pPr>
      <w:r>
        <w:t>All generated artifacts must include automated tests</w:t>
      </w:r>
    </w:p>
    <w:p>
      <w:pPr>
        <w:pStyle w:val="ListBullet"/>
      </w:pPr>
      <w:r>
        <w:t>Database schema changes require migration scripts</w:t>
      </w:r>
    </w:p>
    <w:p>
      <w:pPr>
        <w:pStyle w:val="ListBullet"/>
      </w:pPr>
      <w:r>
        <w:t>No direct production deployment without QA approval</w:t>
      </w:r>
    </w:p>
    <w:p>
      <w:pPr>
        <w:pStyle w:val="ListBullet"/>
      </w:pPr>
      <w:r>
        <w:t>All AI prompts must pass governance validation</w:t>
      </w:r>
    </w:p>
    <w:p>
      <w:pPr>
        <w:pStyle w:val="Heading1"/>
      </w:pPr>
      <w:r>
        <w:t>9. Definition of Build Completion</w:t>
      </w:r>
    </w:p>
    <w:p>
      <w:r>
        <w:t>The Super LMS build is considered complete when all service domains are operational, AI intelligence systems function correctly, governance controls pass compliance checks, and the platform can support multi‑tenant global deployments.</w:t>
      </w:r>
    </w:p>
    <w:p>
      <w:pPr>
        <w:pStyle w:val="Heading1"/>
      </w:pPr>
      <w:r>
        <w:t>10. Strategic Outcome</w:t>
      </w:r>
    </w:p>
    <w:p>
      <w:r>
        <w:t>When executed correctly, this playbook enables a fully autonomous AI engineering pipeline capable of building, testing, and deploying the entire AI‑native Super LMS without human engineers.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