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Super LMS Security, Compliance, and Trust Architecture</w:t>
      </w:r>
    </w:p>
    <w:p>
      <w:pPr>
        <w:pStyle w:val="Subtitle"/>
        <w:jc w:val="center"/>
      </w:pPr>
      <w:r>
        <w:t>Enterprise-safe build specification with integrated reassessment, weakness corrections, and 5W1H guidance for AI-led implementation.</w:t>
      </w:r>
    </w:p>
    <w:p>
      <w:pPr>
        <w:jc w:val="center"/>
      </w:pPr>
      <w:r>
        <w:rPr>
          <w:b/>
        </w:rPr>
        <w:t>Purpose: Define the control architecture that turns the LMS from deployable into institution-ready, regulator-aware, and trustable at scale.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4FB"/>
          </w:tcPr>
          <w:p/>
          <w:p>
            <w:r>
              <w:rPr>
                <w:b/>
              </w:rPr>
              <w:t>Integrated reassessment findings now treated as mandatory build requirements:</w:t>
            </w:r>
          </w:p>
          <w:p>
            <w:r>
              <w:t>1. Security must be embedded in every service, workflow, AI run, and admin action, not bolted on later.</w:t>
            </w:r>
          </w:p>
          <w:p>
            <w:r>
              <w:t>2. Tenant isolation, scoped permissions, and auditability must be enforceable by architecture, not only policy.</w:t>
            </w:r>
          </w:p>
          <w:p>
            <w:r>
              <w:t>3. AI trust requires provenance, review queues, override history, policy controls, and model failover.</w:t>
            </w:r>
          </w:p>
          <w:p>
            <w:r>
              <w:t>4. Compliance must be configurable by customer type, region, student age band, and data-processing context.</w:t>
            </w:r>
          </w:p>
          <w:p>
            <w:r>
              <w:t>5. Reliability and trust must include incident response, evidence preservation, backup verification, and communication protocols.</w:t>
            </w:r>
          </w:p>
        </w:tc>
      </w:tr>
    </w:tbl>
    <w:p>
      <w:pPr>
        <w:pStyle w:val="Heading1"/>
      </w:pPr>
      <w:r>
        <w:t>1. Why this document exists</w:t>
      </w:r>
    </w:p>
    <w:p>
      <w:r>
        <w:rPr>
          <w:b/>
        </w:rPr>
        <w:t xml:space="preserve">What: </w:t>
      </w:r>
      <w:r>
        <w:t>This document defines the security, compliance, privacy, trust, and governance architecture required to build the Super LMS as an AI-native, multi-tenant, enterprise-grade learning platform.</w:t>
      </w:r>
    </w:p>
    <w:p>
      <w:r>
        <w:rPr>
          <w:b/>
        </w:rPr>
        <w:t xml:space="preserve">Who: </w:t>
      </w:r>
      <w:r>
        <w:t>Primary audiences are AI build agents, platform architects, security reviewers, product owners, institutional buyers, compliance leads, and future operators of the LMS.</w:t>
      </w:r>
    </w:p>
    <w:p>
      <w:r>
        <w:rPr>
          <w:b/>
        </w:rPr>
        <w:t xml:space="preserve">When: </w:t>
      </w:r>
      <w:r>
        <w:t>These requirements apply before implementation begins, during architecture and build, during deployment, and throughout operation and growth.</w:t>
      </w:r>
    </w:p>
    <w:p>
      <w:r>
        <w:rPr>
          <w:b/>
        </w:rPr>
        <w:t xml:space="preserve">Where: </w:t>
      </w:r>
      <w:r>
        <w:t>These controls apply across the product shell, backend services, databases, file storage, event streams, analytics, AI layers, integrations, support workflows, and admin tooling.</w:t>
      </w:r>
    </w:p>
    <w:p>
      <w:r>
        <w:rPr>
          <w:b/>
        </w:rPr>
        <w:t xml:space="preserve">Why: </w:t>
      </w:r>
      <w:r>
        <w:t>Without this layer, the LMS can function technically while still being unsafe, non-compliant, untrustworthy, or unbuyable by serious institutions.</w:t>
      </w:r>
    </w:p>
    <w:p>
      <w:r>
        <w:rPr>
          <w:b/>
        </w:rPr>
        <w:t xml:space="preserve">How: </w:t>
      </w:r>
      <w:r>
        <w:t>The architecture below defines guardrails, services, evidence trails, policies, and operational workflows that must be implemented as first-class product capabilities.</w:t>
      </w:r>
    </w:p>
    <w:p>
      <w:pPr>
        <w:pStyle w:val="Heading1"/>
      </w:pPr>
      <w:r>
        <w:t>2. Reassessment findings and corrected build requirements</w:t>
      </w:r>
    </w:p>
    <w:p>
      <w:r>
        <w:rPr>
          <w:b/>
        </w:rPr>
        <w:t xml:space="preserve">Weakness identified: </w:t>
      </w:r>
      <w:r>
        <w:t>Earlier documents were strong on features and workflows but could still be misbuilt if security and trust were treated as generic checklists rather than active product systems.</w:t>
      </w:r>
    </w:p>
    <w:p>
      <w:r>
        <w:rPr>
          <w:b/>
        </w:rPr>
        <w:t xml:space="preserve">Correction 1: </w:t>
      </w:r>
      <w:r>
        <w:t>All future build prompts must explicitly require security-by-design, privacy-by-design, and AI-governance-by-design. These are not optional post-MVP hardening tasks.</w:t>
      </w:r>
    </w:p>
    <w:p>
      <w:r>
        <w:rPr>
          <w:b/>
        </w:rPr>
        <w:t xml:space="preserve">Correction 2: </w:t>
      </w:r>
      <w:r>
        <w:t>Every sensitive workflow must now include permission check, entitlement check, policy check, audit event, exception path, and recovery path.</w:t>
      </w:r>
    </w:p>
    <w:p>
      <w:r>
        <w:rPr>
          <w:b/>
        </w:rPr>
        <w:t xml:space="preserve">Correction 3: </w:t>
      </w:r>
      <w:r>
        <w:t>Every AI workflow must include model identity, prompt lineage, policy assignment, output classification, review eligibility, override path, and cost visibility.</w:t>
      </w:r>
    </w:p>
    <w:p>
      <w:r>
        <w:rPr>
          <w:b/>
        </w:rPr>
        <w:t xml:space="preserve">Correction 4: </w:t>
      </w:r>
      <w:r>
        <w:t>Every tenant-facing feature must support scoped isolation, configuration, and evidence logging sufficient for enterprise review and incident investigation.</w:t>
      </w:r>
    </w:p>
    <w:p>
      <w:r>
        <w:rPr>
          <w:b/>
        </w:rPr>
        <w:t xml:space="preserve">Correction 5: </w:t>
      </w:r>
      <w:r>
        <w:t>The build prompt must now require a trust architecture that covers legal, technical, operational, and communication layers together.</w:t>
      </w:r>
    </w:p>
    <w:p>
      <w:pPr>
        <w:pStyle w:val="Heading1"/>
      </w:pPr>
      <w:r>
        <w:t>3. Security and trust design principles</w:t>
      </w:r>
    </w:p>
    <w:p>
      <w:r>
        <w:rPr>
          <w:b/>
        </w:rPr>
        <w:t xml:space="preserve">Zero-trust orientation: </w:t>
      </w:r>
      <w:r>
        <w:t>No user, service, environment, device, or integration should be implicitly trusted because of network location or role label alone.</w:t>
      </w:r>
    </w:p>
    <w:p>
      <w:r>
        <w:rPr>
          <w:b/>
        </w:rPr>
        <w:t xml:space="preserve">Least privilege: </w:t>
      </w:r>
      <w:r>
        <w:t>Every human and service account receives only the smallest permission set needed for its function, with scope and time bounds where practical.</w:t>
      </w:r>
    </w:p>
    <w:p>
      <w:r>
        <w:rPr>
          <w:b/>
        </w:rPr>
        <w:t xml:space="preserve">Defense in depth: </w:t>
      </w:r>
      <w:r>
        <w:t>Identity, network, storage, encryption, logging, validation, moderation, and human review must work together so no single failure fully compromises the platform.</w:t>
      </w:r>
    </w:p>
    <w:p>
      <w:r>
        <w:rPr>
          <w:b/>
        </w:rPr>
        <w:t xml:space="preserve">Fail-safe defaults: </w:t>
      </w:r>
      <w:r>
        <w:t>When a decision is uncertain, invalid, expired, or missing context, the platform should deny, hold, queue for review, or degrade gracefully rather than over-permit.</w:t>
      </w:r>
    </w:p>
    <w:p>
      <w:r>
        <w:rPr>
          <w:b/>
        </w:rPr>
        <w:t xml:space="preserve">Evidence first: </w:t>
      </w:r>
      <w:r>
        <w:t>Every sensitive action must leave enough evidence for later explanation, remediation, and reporting.</w:t>
      </w:r>
    </w:p>
    <w:p>
      <w:r>
        <w:rPr>
          <w:b/>
        </w:rPr>
        <w:t xml:space="preserve">Human accountability: </w:t>
      </w:r>
      <w:r>
        <w:t>AI may recommend, summarize, classify, and accelerate work, but human review must exist for high-impact actions such as grading disputes, policy changes, data exports, and serious student-risk interventions.</w:t>
      </w:r>
    </w:p>
    <w:p>
      <w:pPr>
        <w:pStyle w:val="Heading1"/>
      </w:pPr>
      <w:r>
        <w:t>4. 5W1H control map for the full platform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rPr>
          <w:tblHeader w:val="true"/>
        </w:trPr>
        <w:tc>
          <w:tcPr>
            <w:tcW w:type="dxa" w:w="1419"/>
            <w:shd w:fill="D9EAF7"/>
          </w:tcPr>
          <w:p>
            <w:r>
              <w:t>Domain</w:t>
            </w:r>
          </w:p>
        </w:tc>
        <w:tc>
          <w:tcPr>
            <w:tcW w:type="dxa" w:w="1419"/>
            <w:shd w:fill="D9EAF7"/>
          </w:tcPr>
          <w:p>
            <w:r>
              <w:t>Who</w:t>
            </w:r>
          </w:p>
        </w:tc>
        <w:tc>
          <w:tcPr>
            <w:tcW w:type="dxa" w:w="1419"/>
            <w:shd w:fill="D9EAF7"/>
          </w:tcPr>
          <w:p>
            <w:r>
              <w:t>What</w:t>
            </w:r>
          </w:p>
        </w:tc>
        <w:tc>
          <w:tcPr>
            <w:tcW w:type="dxa" w:w="1419"/>
            <w:shd w:fill="D9EAF7"/>
          </w:tcPr>
          <w:p>
            <w:r>
              <w:t>When</w:t>
            </w:r>
          </w:p>
        </w:tc>
        <w:tc>
          <w:tcPr>
            <w:tcW w:type="dxa" w:w="1419"/>
            <w:shd w:fill="D9EAF7"/>
          </w:tcPr>
          <w:p>
            <w:r>
              <w:t>Where</w:t>
            </w:r>
          </w:p>
        </w:tc>
        <w:tc>
          <w:tcPr>
            <w:tcW w:type="dxa" w:w="1419"/>
            <w:shd w:fill="D9EAF7"/>
          </w:tcPr>
          <w:p>
            <w:r>
              <w:t>Why</w:t>
            </w:r>
          </w:p>
        </w:tc>
        <w:tc>
          <w:tcPr>
            <w:tcW w:type="dxa" w:w="1419"/>
            <w:shd w:fill="D9EAF7"/>
          </w:tcPr>
          <w:p>
            <w:r>
              <w:t>How</w:t>
            </w:r>
          </w:p>
        </w:tc>
      </w:tr>
      <w:tr>
        <w:tc>
          <w:tcPr>
            <w:tcW w:type="dxa" w:w="1419"/>
          </w:tcPr>
          <w:p>
            <w:r>
              <w:t>Identity</w:t>
            </w:r>
          </w:p>
        </w:tc>
        <w:tc>
          <w:tcPr>
            <w:tcW w:type="dxa" w:w="1419"/>
          </w:tcPr>
          <w:p>
            <w:r>
              <w:t>Users, admins, services</w:t>
            </w:r>
          </w:p>
        </w:tc>
        <w:tc>
          <w:tcPr>
            <w:tcW w:type="dxa" w:w="1419"/>
          </w:tcPr>
          <w:p>
            <w:r>
              <w:t>Authenticate actors and devices</w:t>
            </w:r>
          </w:p>
        </w:tc>
        <w:tc>
          <w:tcPr>
            <w:tcW w:type="dxa" w:w="1419"/>
          </w:tcPr>
          <w:p>
            <w:r>
              <w:t>At login and token refresh</w:t>
            </w:r>
          </w:p>
        </w:tc>
        <w:tc>
          <w:tcPr>
            <w:tcW w:type="dxa" w:w="1419"/>
          </w:tcPr>
          <w:p>
            <w:r>
              <w:t>Auth service and edge</w:t>
            </w:r>
          </w:p>
        </w:tc>
        <w:tc>
          <w:tcPr>
            <w:tcW w:type="dxa" w:w="1419"/>
          </w:tcPr>
          <w:p>
            <w:r>
              <w:t>Prevent impersonation</w:t>
            </w:r>
          </w:p>
        </w:tc>
        <w:tc>
          <w:tcPr>
            <w:tcW w:type="dxa" w:w="1419"/>
          </w:tcPr>
          <w:p>
            <w:r>
              <w:t>SSO, MFA, device checks, session policy</w:t>
            </w:r>
          </w:p>
        </w:tc>
      </w:tr>
      <w:tr>
        <w:tc>
          <w:tcPr>
            <w:tcW w:type="dxa" w:w="1419"/>
          </w:tcPr>
          <w:p>
            <w:r>
              <w:t>Authorization</w:t>
            </w:r>
          </w:p>
        </w:tc>
        <w:tc>
          <w:tcPr>
            <w:tcW w:type="dxa" w:w="1419"/>
          </w:tcPr>
          <w:p>
            <w:r>
              <w:t>RBAC and policy engine</w:t>
            </w:r>
          </w:p>
        </w:tc>
        <w:tc>
          <w:tcPr>
            <w:tcW w:type="dxa" w:w="1419"/>
          </w:tcPr>
          <w:p>
            <w:r>
              <w:t>Decide access and scope</w:t>
            </w:r>
          </w:p>
        </w:tc>
        <w:tc>
          <w:tcPr>
            <w:tcW w:type="dxa" w:w="1419"/>
          </w:tcPr>
          <w:p>
            <w:r>
              <w:t>Every sensitive request</w:t>
            </w:r>
          </w:p>
        </w:tc>
        <w:tc>
          <w:tcPr>
            <w:tcW w:type="dxa" w:w="1419"/>
          </w:tcPr>
          <w:p>
            <w:r>
              <w:t>API gateway and service layer</w:t>
            </w:r>
          </w:p>
        </w:tc>
        <w:tc>
          <w:tcPr>
            <w:tcW w:type="dxa" w:w="1419"/>
          </w:tcPr>
          <w:p>
            <w:r>
              <w:t>Prevent overreach and cross-tenant leakage</w:t>
            </w:r>
          </w:p>
        </w:tc>
        <w:tc>
          <w:tcPr>
            <w:tcW w:type="dxa" w:w="1419"/>
          </w:tcPr>
          <w:p>
            <w:r>
              <w:t>Role, scope, feature, and policy evaluation</w:t>
            </w:r>
          </w:p>
        </w:tc>
      </w:tr>
      <w:tr>
        <w:tc>
          <w:tcPr>
            <w:tcW w:type="dxa" w:w="1419"/>
          </w:tcPr>
          <w:p>
            <w:r>
              <w:t>Data protection</w:t>
            </w:r>
          </w:p>
        </w:tc>
        <w:tc>
          <w:tcPr>
            <w:tcW w:type="dxa" w:w="1419"/>
          </w:tcPr>
          <w:p>
            <w:r>
              <w:t>Data services and storage</w:t>
            </w:r>
          </w:p>
        </w:tc>
        <w:tc>
          <w:tcPr>
            <w:tcW w:type="dxa" w:w="1419"/>
          </w:tcPr>
          <w:p>
            <w:r>
              <w:t>Protect records in transit and at rest</w:t>
            </w:r>
          </w:p>
        </w:tc>
        <w:tc>
          <w:tcPr>
            <w:tcW w:type="dxa" w:w="1419"/>
          </w:tcPr>
          <w:p>
            <w:r>
              <w:t>At create, read, update, export, backup</w:t>
            </w:r>
          </w:p>
        </w:tc>
        <w:tc>
          <w:tcPr>
            <w:tcW w:type="dxa" w:w="1419"/>
          </w:tcPr>
          <w:p>
            <w:r>
              <w:t>DB, storage, analytics, logs</w:t>
            </w:r>
          </w:p>
        </w:tc>
        <w:tc>
          <w:tcPr>
            <w:tcW w:type="dxa" w:w="1419"/>
          </w:tcPr>
          <w:p>
            <w:r>
              <w:t>Protect student and institution data</w:t>
            </w:r>
          </w:p>
        </w:tc>
        <w:tc>
          <w:tcPr>
            <w:tcW w:type="dxa" w:w="1419"/>
          </w:tcPr>
          <w:p>
            <w:r>
              <w:t>Encryption, key management, retention, masking</w:t>
            </w:r>
          </w:p>
        </w:tc>
      </w:tr>
      <w:tr>
        <w:tc>
          <w:tcPr>
            <w:tcW w:type="dxa" w:w="1419"/>
          </w:tcPr>
          <w:p>
            <w:r>
              <w:t>AI governance</w:t>
            </w:r>
          </w:p>
        </w:tc>
        <w:tc>
          <w:tcPr>
            <w:tcW w:type="dxa" w:w="1419"/>
          </w:tcPr>
          <w:p>
            <w:r>
              <w:t>AI admins, teachers, reviewers</w:t>
            </w:r>
          </w:p>
        </w:tc>
        <w:tc>
          <w:tcPr>
            <w:tcW w:type="dxa" w:w="1419"/>
          </w:tcPr>
          <w:p>
            <w:r>
              <w:t>Control models, prompts, outputs, cost</w:t>
            </w:r>
          </w:p>
        </w:tc>
        <w:tc>
          <w:tcPr>
            <w:tcW w:type="dxa" w:w="1419"/>
          </w:tcPr>
          <w:p>
            <w:r>
              <w:t>Every AI run and release</w:t>
            </w:r>
          </w:p>
        </w:tc>
        <w:tc>
          <w:tcPr>
            <w:tcW w:type="dxa" w:w="1419"/>
          </w:tcPr>
          <w:p>
            <w:r>
              <w:t>AI orchestration layer and admin center</w:t>
            </w:r>
          </w:p>
        </w:tc>
        <w:tc>
          <w:tcPr>
            <w:tcW w:type="dxa" w:w="1419"/>
          </w:tcPr>
          <w:p>
            <w:r>
              <w:t>Make AI explainable and safe</w:t>
            </w:r>
          </w:p>
        </w:tc>
        <w:tc>
          <w:tcPr>
            <w:tcW w:type="dxa" w:w="1419"/>
          </w:tcPr>
          <w:p>
            <w:r>
              <w:t>Prompt lineage, review queues, policy assignments</w:t>
            </w:r>
          </w:p>
        </w:tc>
      </w:tr>
      <w:tr>
        <w:tc>
          <w:tcPr>
            <w:tcW w:type="dxa" w:w="1419"/>
          </w:tcPr>
          <w:p>
            <w:r>
              <w:t>Compliance</w:t>
            </w:r>
          </w:p>
        </w:tc>
        <w:tc>
          <w:tcPr>
            <w:tcW w:type="dxa" w:w="1419"/>
          </w:tcPr>
          <w:p>
            <w:r>
              <w:t>Compliance leads, admins</w:t>
            </w:r>
          </w:p>
        </w:tc>
        <w:tc>
          <w:tcPr>
            <w:tcW w:type="dxa" w:w="1419"/>
          </w:tcPr>
          <w:p>
            <w:r>
              <w:t>Enforce legal and institutional obligations</w:t>
            </w:r>
          </w:p>
        </w:tc>
        <w:tc>
          <w:tcPr>
            <w:tcW w:type="dxa" w:w="1419"/>
          </w:tcPr>
          <w:p>
            <w:r>
              <w:t>During onboarding and operation</w:t>
            </w:r>
          </w:p>
        </w:tc>
        <w:tc>
          <w:tcPr>
            <w:tcW w:type="dxa" w:w="1419"/>
          </w:tcPr>
          <w:p>
            <w:r>
              <w:t>Admin policy center, data flows, exports</w:t>
            </w:r>
          </w:p>
        </w:tc>
        <w:tc>
          <w:tcPr>
            <w:tcW w:type="dxa" w:w="1419"/>
          </w:tcPr>
          <w:p>
            <w:r>
              <w:t>Meet buyer and regulator requirements</w:t>
            </w:r>
          </w:p>
        </w:tc>
        <w:tc>
          <w:tcPr>
            <w:tcW w:type="dxa" w:w="1419"/>
          </w:tcPr>
          <w:p>
            <w:r>
              <w:t>Configurable policies, consent, retention, reporting</w:t>
            </w:r>
          </w:p>
        </w:tc>
      </w:tr>
      <w:tr>
        <w:tc>
          <w:tcPr>
            <w:tcW w:type="dxa" w:w="1419"/>
          </w:tcPr>
          <w:p>
            <w:r>
              <w:t>Ops and incident response</w:t>
            </w:r>
          </w:p>
        </w:tc>
        <w:tc>
          <w:tcPr>
            <w:tcW w:type="dxa" w:w="1419"/>
          </w:tcPr>
          <w:p>
            <w:r>
              <w:t>Security ops, support, platform ops</w:t>
            </w:r>
          </w:p>
        </w:tc>
        <w:tc>
          <w:tcPr>
            <w:tcW w:type="dxa" w:w="1419"/>
          </w:tcPr>
          <w:p>
            <w:r>
              <w:t>Detect, contain, communicate, recover</w:t>
            </w:r>
          </w:p>
        </w:tc>
        <w:tc>
          <w:tcPr>
            <w:tcW w:type="dxa" w:w="1419"/>
          </w:tcPr>
          <w:p>
            <w:r>
              <w:t>Continuously and during incidents</w:t>
            </w:r>
          </w:p>
        </w:tc>
        <w:tc>
          <w:tcPr>
            <w:tcW w:type="dxa" w:w="1419"/>
          </w:tcPr>
          <w:p>
            <w:r>
              <w:t>Observability stack and runbooks</w:t>
            </w:r>
          </w:p>
        </w:tc>
        <w:tc>
          <w:tcPr>
            <w:tcW w:type="dxa" w:w="1419"/>
          </w:tcPr>
          <w:p>
            <w:r>
              <w:t>Maintain trust during failure</w:t>
            </w:r>
          </w:p>
        </w:tc>
        <w:tc>
          <w:tcPr>
            <w:tcW w:type="dxa" w:w="1419"/>
          </w:tcPr>
          <w:p>
            <w:r>
              <w:t>Alerting, incident severity, drills, evidence preservation</w:t>
            </w:r>
          </w:p>
        </w:tc>
      </w:tr>
    </w:tbl>
    <w:p>
      <w:pPr>
        <w:pStyle w:val="Heading1"/>
      </w:pPr>
      <w:r>
        <w:t>5. Identity, authentication, and session trust architecture</w:t>
      </w:r>
    </w:p>
    <w:p>
      <w:r>
        <w:rPr>
          <w:b/>
        </w:rPr>
        <w:t xml:space="preserve">Who: </w:t>
      </w:r>
      <w:r>
        <w:t>Students, teachers, parents, admins, support staff, service accounts, integration clients, and AI workers must all have distinct identity classes.</w:t>
      </w:r>
    </w:p>
    <w:p>
      <w:r>
        <w:rPr>
          <w:b/>
        </w:rPr>
        <w:t xml:space="preserve">What: </w:t>
      </w:r>
      <w:r>
        <w:t>The platform must support SSO, local auth where needed, MFA for privileged users, risk-based session controls, and service-to-service identity.</w:t>
      </w:r>
    </w:p>
    <w:p>
      <w:r>
        <w:rPr>
          <w:b/>
        </w:rPr>
        <w:t xml:space="preserve">When: </w:t>
      </w:r>
      <w:r>
        <w:t>Authentication is required at sign-in, on privilege escalation, for sensitive settings changes, during admin impersonation, and before high-risk exports.</w:t>
      </w:r>
    </w:p>
    <w:p>
      <w:r>
        <w:rPr>
          <w:b/>
        </w:rPr>
        <w:t xml:space="preserve">Where: </w:t>
      </w:r>
      <w:r>
        <w:t>Identity controls live at the edge, auth service, admin console, mobile applications, API clients, and internal service mesh.</w:t>
      </w:r>
    </w:p>
    <w:p>
      <w:r>
        <w:rPr>
          <w:b/>
        </w:rPr>
        <w:t xml:space="preserve">Why: </w:t>
      </w:r>
      <w:r>
        <w:t>Identity failure is the fastest path to data exposure, privilege abuse, account takeover, and loss of institutional trust.</w:t>
      </w:r>
    </w:p>
    <w:p>
      <w:r>
        <w:rPr>
          <w:b/>
        </w:rPr>
        <w:t xml:space="preserve">How: </w:t>
      </w:r>
      <w:r>
        <w:t>Implement centralized identity with session issuance, refresh-token rotation, MFA enrollment, device and IP heuristics, service-account scoping, revocation endpoints, and immutable auth audit logs.</w:t>
      </w:r>
    </w:p>
    <w:p>
      <w:r>
        <w:rPr>
          <w:b/>
        </w:rPr>
        <w:t xml:space="preserve">Build requirement: </w:t>
      </w:r>
      <w:r>
        <w:t>Admin impersonation must always be time-bound, explicitly disclosed in the UI, approval-gated when configured, and fully audited.</w:t>
      </w:r>
    </w:p>
    <w:p>
      <w:r>
        <w:rPr>
          <w:b/>
        </w:rPr>
        <w:t xml:space="preserve">Build requirement: </w:t>
      </w:r>
      <w:r>
        <w:t>Parent and guardian access must be identity-linked to specific student relationships and never inferred from shared contact data alone.</w:t>
      </w:r>
    </w:p>
    <w:p>
      <w:pPr>
        <w:pStyle w:val="Heading1"/>
      </w:pPr>
      <w:r>
        <w:t>6. Authorization, entitlements, and tenant isolation</w:t>
      </w:r>
    </w:p>
    <w:p>
      <w:r>
        <w:rPr>
          <w:b/>
        </w:rPr>
        <w:t xml:space="preserve">Who: </w:t>
      </w:r>
      <w:r>
        <w:t>Authorization decisions affect every actor and every service that touches tenant-owned data.</w:t>
      </w:r>
    </w:p>
    <w:p>
      <w:r>
        <w:rPr>
          <w:b/>
        </w:rPr>
        <w:t xml:space="preserve">What: </w:t>
      </w:r>
      <w:r>
        <w:t>The system must combine role-based access control, scope-based filtering, feature entitlements, plan constraints, policy constraints, and record-level guards.</w:t>
      </w:r>
    </w:p>
    <w:p>
      <w:r>
        <w:rPr>
          <w:b/>
        </w:rPr>
        <w:t xml:space="preserve">When: </w:t>
      </w:r>
      <w:r>
        <w:t>Authorization must execute on every read, write, export, admin action, AI operation, and integration callback that touches protected data.</w:t>
      </w:r>
    </w:p>
    <w:p>
      <w:r>
        <w:rPr>
          <w:b/>
        </w:rPr>
        <w:t xml:space="preserve">Where: </w:t>
      </w:r>
      <w:r>
        <w:t>Checks must exist in the API gateway, service layer, background jobs, analytics access layer, support tooling, and admin UX.</w:t>
      </w:r>
    </w:p>
    <w:p>
      <w:r>
        <w:rPr>
          <w:b/>
        </w:rPr>
        <w:t xml:space="preserve">Why: </w:t>
      </w:r>
      <w:r>
        <w:t>Many enterprise failures come from partial authorization: pages hide controls, but APIs still allow access, or exports bypass scope checks.</w:t>
      </w:r>
    </w:p>
    <w:p>
      <w:r>
        <w:rPr>
          <w:b/>
        </w:rPr>
        <w:t xml:space="preserve">How: </w:t>
      </w:r>
      <w:r>
        <w:t>Use policy evaluation that considers tenant_id, institution_id, role assignment, course or section relationship, feature flags, consent state, and object ownership.</w:t>
      </w:r>
    </w:p>
    <w:p>
      <w:r>
        <w:rPr>
          <w:b/>
        </w:rPr>
        <w:t xml:space="preserve">Mandatory correction: </w:t>
      </w:r>
      <w:r>
        <w:t>Feature flags and entitlements are now build-blocking requirements because institution plans, beta releases, and AI features must be selectively enabled.</w:t>
      </w:r>
    </w:p>
    <w:p>
      <w:r>
        <w:rPr>
          <w:b/>
        </w:rPr>
        <w:t xml:space="preserve">Mandatory correction: </w:t>
      </w:r>
      <w:r>
        <w:t>Cross-tenant queries, search, exports, analytics, and support tooling must default to tenant-scoped isolation, with exceptional elevated access requiring separate approval and evidence logs.</w:t>
      </w:r>
    </w:p>
    <w:p>
      <w:pPr>
        <w:pStyle w:val="Heading1"/>
      </w:pPr>
      <w:r>
        <w:t>7. Data protection and privacy architecture</w:t>
      </w:r>
    </w:p>
    <w:p>
      <w:r>
        <w:rPr>
          <w:b/>
        </w:rPr>
        <w:t xml:space="preserve">Who: </w:t>
      </w:r>
      <w:r>
        <w:t>Students, minors, parents, teachers, institutions, and platform operators are all stakeholders in data protection.</w:t>
      </w:r>
    </w:p>
    <w:p>
      <w:r>
        <w:rPr>
          <w:b/>
        </w:rPr>
        <w:t xml:space="preserve">What: </w:t>
      </w:r>
      <w:r>
        <w:t>The platform must protect PII, academic records, AI transcripts, behavior records, audit data, billing data, and support evidence.</w:t>
      </w:r>
    </w:p>
    <w:p>
      <w:r>
        <w:rPr>
          <w:b/>
        </w:rPr>
        <w:t xml:space="preserve">When: </w:t>
      </w:r>
      <w:r>
        <w:t>Protection applies during collection, storage, processing, search, analytics, export, backup, retention, deletion, and disaster recovery.</w:t>
      </w:r>
    </w:p>
    <w:p>
      <w:r>
        <w:rPr>
          <w:b/>
        </w:rPr>
        <w:t xml:space="preserve">Where: </w:t>
      </w:r>
      <w:r>
        <w:t>Operational databases, analytics warehouse, object storage, logs, caches, queues, AI memory stores, and support attachments are all in scope.</w:t>
      </w:r>
    </w:p>
    <w:p>
      <w:r>
        <w:rPr>
          <w:b/>
        </w:rPr>
        <w:t xml:space="preserve">Why: </w:t>
      </w:r>
      <w:r>
        <w:t>Privacy failures create legal exposure, reputational damage, contract loss, and ethical harm, especially for K-12 and minors.</w:t>
      </w:r>
    </w:p>
    <w:p>
      <w:r>
        <w:rPr>
          <w:b/>
        </w:rPr>
        <w:t xml:space="preserve">How: </w:t>
      </w:r>
      <w:r>
        <w:t>Encrypt in transit and at rest, separate highly sensitive fields where possible, enforce retention schedules, provide export and deletion workflows, classify data, and mask data in lower environments.</w:t>
      </w:r>
    </w:p>
    <w:p>
      <w:r>
        <w:rPr>
          <w:b/>
        </w:rPr>
        <w:t xml:space="preserve">Build requirement: </w:t>
      </w:r>
      <w:r>
        <w:t>Non-production environments must use scrubbed or synthetic data by default; production clones are prohibited unless explicitly approved and protected.</w:t>
      </w:r>
    </w:p>
    <w:p>
      <w:r>
        <w:rPr>
          <w:b/>
        </w:rPr>
        <w:t xml:space="preserve">Build requirement: </w:t>
      </w:r>
      <w:r>
        <w:t>Data retention must be configurable by tenant and region, with evidence of policy application and deletion outcomes.</w:t>
      </w:r>
    </w:p>
    <w:p>
      <w:r>
        <w:rPr>
          <w:b/>
        </w:rPr>
        <w:t xml:space="preserve">Build requirement: </w:t>
      </w:r>
      <w:r>
        <w:t>Backups must inherit encryption and access policies, and restore testing must verify that deleted or restricted records are not silently re-exposed.</w:t>
      </w:r>
    </w:p>
    <w:p>
      <w:pPr>
        <w:pStyle w:val="Heading1"/>
      </w:pPr>
      <w:r>
        <w:t>8. AI trust and governance architecture</w:t>
      </w:r>
    </w:p>
    <w:p>
      <w:r>
        <w:rPr>
          <w:b/>
        </w:rPr>
        <w:t xml:space="preserve">Who: </w:t>
      </w:r>
      <w:r>
        <w:t>Teachers, students, admins, reviewers, AI governance leads, and institutional buyers are affected by AI trust decisions.</w:t>
      </w:r>
    </w:p>
    <w:p>
      <w:r>
        <w:rPr>
          <w:b/>
        </w:rPr>
        <w:t xml:space="preserve">What: </w:t>
      </w:r>
      <w:r>
        <w:t>The AI layer must be observable, explainable, reviewable, policy-controlled, and degradable when providers fail or outputs become risky.</w:t>
      </w:r>
    </w:p>
    <w:p>
      <w:r>
        <w:rPr>
          <w:b/>
        </w:rPr>
        <w:t xml:space="preserve">When: </w:t>
      </w:r>
      <w:r>
        <w:t>AI governance applies before a model is enabled, during each AI run, when outputs are consumed by users, and whenever policies or models change.</w:t>
      </w:r>
    </w:p>
    <w:p>
      <w:r>
        <w:rPr>
          <w:b/>
        </w:rPr>
        <w:t xml:space="preserve">Where: </w:t>
      </w:r>
      <w:r>
        <w:t>Tutor flows, grading flows, summarization tools, translation, analytics insights, support triage, risk detection, and content generation are all governed surfaces.</w:t>
      </w:r>
    </w:p>
    <w:p>
      <w:r>
        <w:rPr>
          <w:b/>
        </w:rPr>
        <w:t xml:space="preserve">Why: </w:t>
      </w:r>
      <w:r>
        <w:t>An LMS that uses AI without provenance, policy control, or review history will not be trusted for grades, interventions, or institutional adoption.</w:t>
      </w:r>
    </w:p>
    <w:p>
      <w:r>
        <w:rPr>
          <w:b/>
        </w:rPr>
        <w:t xml:space="preserve">How: </w:t>
      </w:r>
      <w:r>
        <w:t>Log model version, provider, prompt template version, safety policies, inputs, outputs, confidence, cost estimate, review state, and override outcome for every meaningful AI run.</w:t>
      </w:r>
    </w:p>
    <w:p>
      <w:r>
        <w:rPr>
          <w:b/>
        </w:rPr>
        <w:t xml:space="preserve">Mandatory correction: </w:t>
      </w:r>
      <w:r>
        <w:t>AI outputs affecting grades, risk interventions, compliance decisions, or institutional messaging must support human review, override, and explanation capture.</w:t>
      </w:r>
    </w:p>
    <w:p>
      <w:r>
        <w:rPr>
          <w:b/>
        </w:rPr>
        <w:t xml:space="preserve">Mandatory correction: </w:t>
      </w:r>
      <w:r>
        <w:t>Provider failover must preserve policy behavior. A fallback model cannot silently change acceptable output behavior or data-handling rules.</w:t>
      </w:r>
    </w:p>
    <w:p>
      <w:r>
        <w:rPr>
          <w:b/>
        </w:rPr>
        <w:t xml:space="preserve">Mandatory correction: </w:t>
      </w:r>
      <w:r>
        <w:t>AI cost and quality telemetry must be visible by tenant, institution, feature, and model so enterprise operations can manage spend and risk together.</w:t>
      </w:r>
    </w:p>
    <w:p>
      <w:pPr>
        <w:pStyle w:val="Heading1"/>
      </w:pPr>
      <w:r>
        <w:t>9. Compliance architecture</w:t>
      </w:r>
    </w:p>
    <w:p>
      <w:r>
        <w:rPr>
          <w:b/>
        </w:rPr>
        <w:t xml:space="preserve">Who: </w:t>
      </w:r>
      <w:r>
        <w:t>Compliance affects platform operators, institution admins, parents, legal reviewers, and procurement teams.</w:t>
      </w:r>
    </w:p>
    <w:p>
      <w:r>
        <w:rPr>
          <w:b/>
        </w:rPr>
        <w:t xml:space="preserve">What: </w:t>
      </w:r>
      <w:r>
        <w:t>The platform must support configurable compliance controls covering privacy, consent, age-sensitive workflows, export handling, records retention, accessibility, and regional obligations.</w:t>
      </w:r>
    </w:p>
    <w:p>
      <w:r>
        <w:rPr>
          <w:b/>
        </w:rPr>
        <w:t xml:space="preserve">When: </w:t>
      </w:r>
      <w:r>
        <w:t>Compliance starts at tenant onboarding and continues through configuration, operation, audits, incidents, and end-of-contract offboarding.</w:t>
      </w:r>
    </w:p>
    <w:p>
      <w:r>
        <w:rPr>
          <w:b/>
        </w:rPr>
        <w:t xml:space="preserve">Where: </w:t>
      </w:r>
      <w:r>
        <w:t>Consent flows, parent visibility, data exports, communication tools, recording features, AI policies, analytics, and support evidence are in scope.</w:t>
      </w:r>
    </w:p>
    <w:p>
      <w:r>
        <w:rPr>
          <w:b/>
        </w:rPr>
        <w:t xml:space="preserve">Why: </w:t>
      </w:r>
      <w:r>
        <w:t>Institutions buy systems they can govern. Compliance is both a legal requirement and a sales requirement.</w:t>
      </w:r>
    </w:p>
    <w:p>
      <w:r>
        <w:rPr>
          <w:b/>
        </w:rPr>
        <w:t xml:space="preserve">How: </w:t>
      </w:r>
      <w:r>
        <w:t>Build policy profiles that can be assigned by tenant, institution, region, and age band, with controls for consent capture, allowed features, export approvals, communication restrictions, and retention schedules.</w:t>
      </w:r>
    </w:p>
    <w:p>
      <w:r>
        <w:rPr>
          <w:b/>
        </w:rPr>
        <w:t xml:space="preserve">Prescriptive note: </w:t>
      </w:r>
      <w:r>
        <w:t>The build prompt must avoid naming one universal legal profile as sufficient; instead it must require configurable compliance packages adaptable to customer context.</w:t>
      </w:r>
    </w:p>
    <w:p>
      <w:r>
        <w:rPr>
          <w:b/>
        </w:rPr>
        <w:t xml:space="preserve">Prescriptive note: </w:t>
      </w:r>
      <w:r>
        <w:t>Accessibility is part of trust and compliance. Interface, content generation, media handling, and file publishing must support captions, screen-reader-friendly structure, keyboard use, contrast, and alternative text workflows.</w:t>
      </w:r>
    </w:p>
    <w:p>
      <w:pPr>
        <w:pStyle w:val="Heading1"/>
      </w:pPr>
      <w:r>
        <w:t>10. Security operations, monitoring, and incident response</w:t>
      </w:r>
    </w:p>
    <w:p>
      <w:r>
        <w:rPr>
          <w:b/>
        </w:rPr>
        <w:t xml:space="preserve">Who: </w:t>
      </w:r>
      <w:r>
        <w:t>Security operations, platform ops, support, customer success, and communications owners all participate in incident handling.</w:t>
      </w:r>
    </w:p>
    <w:p>
      <w:r>
        <w:rPr>
          <w:b/>
        </w:rPr>
        <w:t xml:space="preserve">What: </w:t>
      </w:r>
      <w:r>
        <w:t>The LMS needs continuous monitoring, anomaly detection, evidence retention, incident classification, containment actions, and stakeholder communication playbooks.</w:t>
      </w:r>
    </w:p>
    <w:p>
      <w:r>
        <w:rPr>
          <w:b/>
        </w:rPr>
        <w:t xml:space="preserve">When: </w:t>
      </w:r>
      <w:r>
        <w:t>Monitoring is continuous. Incident response begins the moment a signal crosses a defined threshold and continues through recovery and review.</w:t>
      </w:r>
    </w:p>
    <w:p>
      <w:r>
        <w:rPr>
          <w:b/>
        </w:rPr>
        <w:t xml:space="preserve">Where: </w:t>
      </w:r>
      <w:r>
        <w:t>Identity systems, APIs, queues, data stores, AI services, admin actions, exports, integrations, and infrastructure telemetry all feed the trust picture.</w:t>
      </w:r>
    </w:p>
    <w:p>
      <w:r>
        <w:rPr>
          <w:b/>
        </w:rPr>
        <w:t xml:space="preserve">Why: </w:t>
      </w:r>
      <w:r>
        <w:t>Trust is not measured only by preventing incidents; it is also measured by how well the platform detects, explains, contains, and recovers from them.</w:t>
      </w:r>
    </w:p>
    <w:p>
      <w:r>
        <w:rPr>
          <w:b/>
        </w:rPr>
        <w:t xml:space="preserve">How: </w:t>
      </w:r>
      <w:r>
        <w:t>Define severity levels, on-call ownership, automated alerting, runbooks, evidence preservation, customer communication templates, post-incident review requirements, and recovery verification.</w:t>
      </w:r>
    </w:p>
    <w:p>
      <w:r>
        <w:rPr>
          <w:b/>
        </w:rPr>
        <w:t xml:space="preserve">Build requirement: </w:t>
      </w:r>
      <w:r>
        <w:t>Audit logs and security-relevant logs must be tamper-evident, time-synchronized, and retained long enough to support investigation and contract obligations.</w:t>
      </w:r>
    </w:p>
    <w:p>
      <w:r>
        <w:rPr>
          <w:b/>
        </w:rPr>
        <w:t xml:space="preserve">Build requirement: </w:t>
      </w:r>
      <w:r>
        <w:t>Restore drills, access reviews, key-rotation drills, and incident tabletop exercises must be part of recurring operational policy, not optional maintenance tasks.</w:t>
      </w:r>
    </w:p>
    <w:p>
      <w:pPr>
        <w:pStyle w:val="Heading1"/>
      </w:pPr>
      <w:r>
        <w:t>11. Integration trust architecture</w:t>
      </w:r>
    </w:p>
    <w:p>
      <w:r>
        <w:rPr>
          <w:b/>
        </w:rPr>
        <w:t xml:space="preserve">Who: </w:t>
      </w:r>
      <w:r>
        <w:t>SIS systems, SSO providers, payment providers, communication services, storage vendors, AI providers, and marketplace apps interact with the platform.</w:t>
      </w:r>
    </w:p>
    <w:p>
      <w:r>
        <w:rPr>
          <w:b/>
        </w:rPr>
        <w:t xml:space="preserve">What: </w:t>
      </w:r>
      <w:r>
        <w:t>Each integration must have scoped permissions, credential rotation, health monitoring, error handling, and data-mapping control.</w:t>
      </w:r>
    </w:p>
    <w:p>
      <w:r>
        <w:rPr>
          <w:b/>
        </w:rPr>
        <w:t xml:space="preserve">When: </w:t>
      </w:r>
      <w:r>
        <w:t>Trust checks apply at integration setup, token refresh, every sync job, webhook receipt, bulk import, and export handoff.</w:t>
      </w:r>
    </w:p>
    <w:p>
      <w:r>
        <w:rPr>
          <w:b/>
        </w:rPr>
        <w:t xml:space="preserve">Where: </w:t>
      </w:r>
      <w:r>
        <w:t>Integration hub, sync jobs, API gateway, queue workers, webhook processors, and admin control panels are the main enforcement points.</w:t>
      </w:r>
    </w:p>
    <w:p>
      <w:r>
        <w:rPr>
          <w:b/>
        </w:rPr>
        <w:t xml:space="preserve">Why: </w:t>
      </w:r>
      <w:r>
        <w:t>Third-party systems expand both value and attack surface. A weak integration can bypass core product safeguards.</w:t>
      </w:r>
    </w:p>
    <w:p>
      <w:r>
        <w:rPr>
          <w:b/>
        </w:rPr>
        <w:t xml:space="preserve">How: </w:t>
      </w:r>
      <w:r>
        <w:t>Use signed webhooks, scoped API keys, secret management, replay protection, schema validation, sync job audit trails, and admin-visible failure logs.</w:t>
      </w:r>
    </w:p>
    <w:p>
      <w:r>
        <w:rPr>
          <w:b/>
        </w:rPr>
        <w:t xml:space="preserve">Mandatory correction: </w:t>
      </w:r>
      <w:r>
        <w:t>Marketplace apps cannot inherit broad access by default. Each app must request explicit scopes, show data reach, and be disableable without data corruption.</w:t>
      </w:r>
    </w:p>
    <w:p>
      <w:pPr>
        <w:pStyle w:val="Heading1"/>
      </w:pPr>
      <w:r>
        <w:t>12. User-facing trust architecture</w:t>
      </w:r>
    </w:p>
    <w:p>
      <w:r>
        <w:rPr>
          <w:b/>
        </w:rPr>
        <w:t xml:space="preserve">Who: </w:t>
      </w:r>
      <w:r>
        <w:t>Students, teachers, parents, and admins experience trust through the product interface, not through architecture diagrams.</w:t>
      </w:r>
    </w:p>
    <w:p>
      <w:r>
        <w:rPr>
          <w:b/>
        </w:rPr>
        <w:t xml:space="preserve">What: </w:t>
      </w:r>
      <w:r>
        <w:t>The product must make important decisions visible: why access was denied, why AI suggested something, whether a teacher overrode AI, when data was last synced, and what a parent can or cannot see.</w:t>
      </w:r>
    </w:p>
    <w:p>
      <w:r>
        <w:rPr>
          <w:b/>
        </w:rPr>
        <w:t xml:space="preserve">When: </w:t>
      </w:r>
      <w:r>
        <w:t>Trust messaging is required during login, permissions errors, AI use, grading release, support actions, exports, and incidents.</w:t>
      </w:r>
    </w:p>
    <w:p>
      <w:r>
        <w:rPr>
          <w:b/>
        </w:rPr>
        <w:t xml:space="preserve">Where: </w:t>
      </w:r>
      <w:r>
        <w:t>Dashboards, settings, AI panels, grading screens, parent portal, export flows, and support experiences must all communicate trust state clearly.</w:t>
      </w:r>
    </w:p>
    <w:p>
      <w:r>
        <w:rPr>
          <w:b/>
        </w:rPr>
        <w:t xml:space="preserve">Why: </w:t>
      </w:r>
      <w:r>
        <w:t>Opaque systems feel unsafe even when technically secure; explicit trust cues reduce confusion and strengthen adoption.</w:t>
      </w:r>
    </w:p>
    <w:p>
      <w:r>
        <w:rPr>
          <w:b/>
        </w:rPr>
        <w:t xml:space="preserve">How: </w:t>
      </w:r>
      <w:r>
        <w:t>Provide visible review states, policy labels, sync status, consent indicators, model labels where appropriate, and plain-language explanations for key restrictions or escalations.</w:t>
      </w:r>
    </w:p>
    <w:p>
      <w:pPr>
        <w:pStyle w:val="Heading1"/>
      </w:pPr>
      <w:r>
        <w:t>13. Build-time requirements for AI-led implementation</w:t>
      </w:r>
    </w:p>
    <w:p>
      <w:r>
        <w:rPr>
          <w:b/>
        </w:rPr>
        <w:t xml:space="preserve">Requirement 1: </w:t>
      </w:r>
      <w:r>
        <w:t>Every service specification must state its protected resources, threat assumptions, log outputs, and failure modes.</w:t>
      </w:r>
    </w:p>
    <w:p>
      <w:r>
        <w:rPr>
          <w:b/>
        </w:rPr>
        <w:t xml:space="preserve">Requirement 2: </w:t>
      </w:r>
      <w:r>
        <w:t>Every workflow specification must include normal path, denied path, queued-for-review path, and recovery path.</w:t>
      </w:r>
    </w:p>
    <w:p>
      <w:r>
        <w:rPr>
          <w:b/>
        </w:rPr>
        <w:t xml:space="preserve">Requirement 3: </w:t>
      </w:r>
      <w:r>
        <w:t>Every admin-facing control must define who can change it, what evidence is logged, and whether tenant override is allowed.</w:t>
      </w:r>
    </w:p>
    <w:p>
      <w:r>
        <w:rPr>
          <w:b/>
        </w:rPr>
        <w:t xml:space="preserve">Requirement 4: </w:t>
      </w:r>
      <w:r>
        <w:t>Every background job touching protected data must inherit tenant scope, policy context, and trace identifiers.</w:t>
      </w:r>
    </w:p>
    <w:p>
      <w:r>
        <w:rPr>
          <w:b/>
        </w:rPr>
        <w:t xml:space="preserve">Requirement 5: </w:t>
      </w:r>
      <w:r>
        <w:t>Every document in the build set must carry forward these security and trust assumptions automatically rather than requiring later manual reconciliation.</w:t>
      </w:r>
    </w:p>
    <w:p>
      <w:r>
        <w:rPr>
          <w:b/>
        </w:rPr>
        <w:t xml:space="preserve">Requirement 6: </w:t>
      </w:r>
      <w:r>
        <w:t>The master build prompt must instruct AI to implement trust features as product features, service requirements, and infrastructure rules simultaneously.</w:t>
      </w:r>
    </w:p>
    <w:p>
      <w:pPr>
        <w:pStyle w:val="Heading1"/>
      </w:pPr>
      <w:r>
        <w:t>14. Acceptance criteria and go-live gates</w:t>
      </w:r>
    </w:p>
    <w:p>
      <w:r>
        <w:t>The platform should not be considered launch-ready until the following conditions are satisfied.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84"/>
            <w:shd w:fill="D9EAF7"/>
          </w:tcPr>
          <w:p>
            <w:r>
              <w:t>Gate</w:t>
            </w:r>
          </w:p>
        </w:tc>
        <w:tc>
          <w:tcPr>
            <w:tcW w:type="dxa" w:w="2484"/>
            <w:shd w:fill="D9EAF7"/>
          </w:tcPr>
          <w:p>
            <w:r>
              <w:t>Must be true</w:t>
            </w:r>
          </w:p>
        </w:tc>
        <w:tc>
          <w:tcPr>
            <w:tcW w:type="dxa" w:w="2484"/>
            <w:shd w:fill="D9EAF7"/>
          </w:tcPr>
          <w:p>
            <w:r>
              <w:t>Evidence</w:t>
            </w:r>
          </w:p>
        </w:tc>
        <w:tc>
          <w:tcPr>
            <w:tcW w:type="dxa" w:w="2484"/>
            <w:shd w:fill="D9EAF7"/>
          </w:tcPr>
          <w:p>
            <w:r>
              <w:t>Failure if missing</w:t>
            </w:r>
          </w:p>
        </w:tc>
      </w:tr>
      <w:tr>
        <w:tc>
          <w:tcPr>
            <w:tcW w:type="dxa" w:w="2484"/>
          </w:tcPr>
          <w:p>
            <w:r>
              <w:t>Identity gate</w:t>
            </w:r>
          </w:p>
        </w:tc>
        <w:tc>
          <w:tcPr>
            <w:tcW w:type="dxa" w:w="2484"/>
          </w:tcPr>
          <w:p>
            <w:r>
              <w:t>Privileged accounts use MFA; sessions can be revoked; impersonation is audited</w:t>
            </w:r>
          </w:p>
        </w:tc>
        <w:tc>
          <w:tcPr>
            <w:tcW w:type="dxa" w:w="2484"/>
          </w:tcPr>
          <w:p>
            <w:r>
              <w:t>Access review report, auth tests, audit samples</w:t>
            </w:r>
          </w:p>
        </w:tc>
        <w:tc>
          <w:tcPr>
            <w:tcW w:type="dxa" w:w="2484"/>
          </w:tcPr>
          <w:p>
            <w:r>
              <w:t>Admin compromise risk remains too high</w:t>
            </w:r>
          </w:p>
        </w:tc>
      </w:tr>
      <w:tr>
        <w:tc>
          <w:tcPr>
            <w:tcW w:type="dxa" w:w="2484"/>
          </w:tcPr>
          <w:p>
            <w:r>
              <w:t>Authorization gate</w:t>
            </w:r>
          </w:p>
        </w:tc>
        <w:tc>
          <w:tcPr>
            <w:tcW w:type="dxa" w:w="2484"/>
          </w:tcPr>
          <w:p>
            <w:r>
              <w:t>Tenant isolation, record-level guards, and entitlement checks pass negative tests</w:t>
            </w:r>
          </w:p>
        </w:tc>
        <w:tc>
          <w:tcPr>
            <w:tcW w:type="dxa" w:w="2484"/>
          </w:tcPr>
          <w:p>
            <w:r>
              <w:t>Automated policy tests and penetration tests</w:t>
            </w:r>
          </w:p>
        </w:tc>
        <w:tc>
          <w:tcPr>
            <w:tcW w:type="dxa" w:w="2484"/>
          </w:tcPr>
          <w:p>
            <w:r>
              <w:t>Cross-tenant leakage or over-permission remains possible</w:t>
            </w:r>
          </w:p>
        </w:tc>
      </w:tr>
      <w:tr>
        <w:tc>
          <w:tcPr>
            <w:tcW w:type="dxa" w:w="2484"/>
          </w:tcPr>
          <w:p>
            <w:r>
              <w:t>Privacy gate</w:t>
            </w:r>
          </w:p>
        </w:tc>
        <w:tc>
          <w:tcPr>
            <w:tcW w:type="dxa" w:w="2484"/>
          </w:tcPr>
          <w:p>
            <w:r>
              <w:t>Retention, export, deletion, and lower-environment masking are operational</w:t>
            </w:r>
          </w:p>
        </w:tc>
        <w:tc>
          <w:tcPr>
            <w:tcW w:type="dxa" w:w="2484"/>
          </w:tcPr>
          <w:p>
            <w:r>
              <w:t>Policy config, deletion logs, restore validation</w:t>
            </w:r>
          </w:p>
        </w:tc>
        <w:tc>
          <w:tcPr>
            <w:tcW w:type="dxa" w:w="2484"/>
          </w:tcPr>
          <w:p>
            <w:r>
              <w:t>Customer data cannot be governed reliably</w:t>
            </w:r>
          </w:p>
        </w:tc>
      </w:tr>
      <w:tr>
        <w:tc>
          <w:tcPr>
            <w:tcW w:type="dxa" w:w="2484"/>
          </w:tcPr>
          <w:p>
            <w:r>
              <w:t>AI trust gate</w:t>
            </w:r>
          </w:p>
        </w:tc>
        <w:tc>
          <w:tcPr>
            <w:tcW w:type="dxa" w:w="2484"/>
          </w:tcPr>
          <w:p>
            <w:r>
              <w:t>AI runs are logged with provenance; review queues work; override history is visible</w:t>
            </w:r>
          </w:p>
        </w:tc>
        <w:tc>
          <w:tcPr>
            <w:tcW w:type="dxa" w:w="2484"/>
          </w:tcPr>
          <w:p>
            <w:r>
              <w:t>AI governance dashboard and test cases</w:t>
            </w:r>
          </w:p>
        </w:tc>
        <w:tc>
          <w:tcPr>
            <w:tcW w:type="dxa" w:w="2484"/>
          </w:tcPr>
          <w:p>
            <w:r>
              <w:t>AI outputs are unexplainable and unsafe for high-impact use</w:t>
            </w:r>
          </w:p>
        </w:tc>
      </w:tr>
      <w:tr>
        <w:tc>
          <w:tcPr>
            <w:tcW w:type="dxa" w:w="2484"/>
          </w:tcPr>
          <w:p>
            <w:r>
              <w:t>Ops gate</w:t>
            </w:r>
          </w:p>
        </w:tc>
        <w:tc>
          <w:tcPr>
            <w:tcW w:type="dxa" w:w="2484"/>
          </w:tcPr>
          <w:p>
            <w:r>
              <w:t>Alerting, incident runbooks, backup verification, and restore drills are complete</w:t>
            </w:r>
          </w:p>
        </w:tc>
        <w:tc>
          <w:tcPr>
            <w:tcW w:type="dxa" w:w="2484"/>
          </w:tcPr>
          <w:p>
            <w:r>
              <w:t>Drill logs, runbooks, alert tests</w:t>
            </w:r>
          </w:p>
        </w:tc>
        <w:tc>
          <w:tcPr>
            <w:tcW w:type="dxa" w:w="2484"/>
          </w:tcPr>
          <w:p>
            <w:r>
              <w:t>Recovery and evidence handling are not dependable</w:t>
            </w:r>
          </w:p>
        </w:tc>
      </w:tr>
      <w:tr>
        <w:tc>
          <w:tcPr>
            <w:tcW w:type="dxa" w:w="2484"/>
          </w:tcPr>
          <w:p>
            <w:r>
              <w:t>Compliance gate</w:t>
            </w:r>
          </w:p>
        </w:tc>
        <w:tc>
          <w:tcPr>
            <w:tcW w:type="dxa" w:w="2484"/>
          </w:tcPr>
          <w:p>
            <w:r>
              <w:t>Consent, accessibility, communication policy, and export approvals are configurable</w:t>
            </w:r>
          </w:p>
        </w:tc>
        <w:tc>
          <w:tcPr>
            <w:tcW w:type="dxa" w:w="2484"/>
          </w:tcPr>
          <w:p>
            <w:r>
              <w:t>Admin screenshots, test reports, policy matrices</w:t>
            </w:r>
          </w:p>
        </w:tc>
        <w:tc>
          <w:tcPr>
            <w:tcW w:type="dxa" w:w="2484"/>
          </w:tcPr>
          <w:p>
            <w:r>
              <w:t>Institutions cannot adapt system to their obligations</w:t>
            </w:r>
          </w:p>
        </w:tc>
      </w:tr>
    </w:tbl>
    <w:p>
      <w:pPr>
        <w:pStyle w:val="Heading2"/>
      </w:pPr>
      <w:r>
        <w:t>Final implementation note</w:t>
      </w:r>
    </w:p>
    <w:p>
      <w:r>
        <w:t>This document must now be treated as a live build requirement. Future documents - including parent system, additional UI work, service implementation, data migrations, analytics, and launch planning - must inherit these requirements by default. No later build prompt should assume security, compliance, or trust will be added afterward.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4335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4335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A5A5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