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2027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2027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Comprehensive manuscript guidelines</w:t>
      </w:r>
    </w:p>
    <w:p>
      <w:pPr>
        <w:spacing w:before="0" w:after="120"/>
      </w:pPr>
      <w:r>
        <w:rPr>
          <w:b w:val="0"/>
          <w:i w:val="0"/>
          <w:sz w:val="21"/>
        </w:rPr>
        <w:t>For detailed information on manuscript preparation, formatting standards, structure, abstract and keywords guidelines, reference formatting, and all Springer publishing requirements, consult the Springer manuscript guidelines or download the PDF .</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