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Building on the success of the International Conference on Trustworthy Digital Networks (ICCTDN 2026), which was technically sponsored by industries and academia through various technical and humanitarian activities, ICNGCI 2027 continues this tradition of bringing together researchers, scholars, engineers and industry experts.</w:t>
      </w:r>
    </w:p>
    <w:p>
      <w:pPr>
        <w:spacing w:before="0" w:after="120"/>
      </w:pPr>
      <w:r>
        <w:rPr>
          <w:b w:val="0"/>
          <w:i w:val="0"/>
          <w:sz w:val="21"/>
        </w:rPr>
        <w:t>The conference is technically sponsored by industries and academia through various technical and humanitarian activities, fostering collaboration and innovation across institutional and sectoral boundaries.</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a venture of the renowned Sharda Group of Institutions (SGI).</w:t>
      </w:r>
    </w:p>
    <w:p>
      <w:pPr>
        <w:spacing w:before="0" w:after="120"/>
      </w:pPr>
      <w:r>
        <w:rPr>
          <w:b w:val="0"/>
          <w:i w:val="0"/>
          <w:sz w:val="21"/>
        </w:rPr>
        <w:t>The University has established itself as a high-quality education provider with a prime focus on holistic learning and developing competitive abilities in its students. Approved by the University Grants Commission (UGC), Sharda University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and is ranked 87th in the University category by NIRF 2023. The University is committed to becoming one of India's leading institutions with an acknowledged reputation for excellence in research and teaching, distinguished by its outstanding faculty, world-class teaching standards and innovative academic programmes.</w:t>
      </w:r>
    </w:p>
    <w:p>
      <w:pPr>
        <w:spacing w:before="0" w:after="120"/>
      </w:pPr>
      <w:r>
        <w:rPr>
          <w:b w:val="0"/>
          <w:i w:val="0"/>
          <w:sz w:val="21"/>
        </w:rPr>
        <w:t>ICNGCI 2027 is organised by the Sharda School of Computing Science &amp; Engineering and is technically sponsored by industries and academia through various technical and humanitarian activities, fostering innovation and collaboration across institutional and sectoral boundaries.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Comprehensive manuscript guidelines</w:t>
      </w:r>
    </w:p>
    <w:p>
      <w:pPr>
        <w:spacing w:before="0" w:after="120"/>
      </w:pPr>
      <w:r>
        <w:rPr>
          <w:b w:val="0"/>
          <w:i w:val="0"/>
          <w:sz w:val="21"/>
        </w:rPr>
        <w:t>For detailed information on manuscript preparation, formatting standards, structure, abstract and keywords guidelines, reference formatting, and all Springer publishing requirements, consult the complete Springer guidelines.</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Programme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