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 w:line="240" w:lineRule="auto"/>
        <w:jc w:val="left"/>
      </w:pPr>
      <w:r>
        <w:rPr>
          <w:rFonts w:ascii="Calibri" w:hAnsi="Calibri" w:eastAsia="Microsoft YaHei"/>
          <w:b/>
          <w:i w:val="0"/>
          <w:color w:val="0F8B8D"/>
          <w:sz w:val="17"/>
        </w:rPr>
        <w:t>BUSINESS PLAN · TECHNOLOGY ROADMAP</w:t>
      </w:r>
    </w:p>
    <w:p>
      <w:pPr>
        <w:keepNext/>
        <w:spacing w:before="0" w:after="60" w:line="240" w:lineRule="auto"/>
        <w:jc w:val="left"/>
      </w:pPr>
      <w:r>
        <w:rPr>
          <w:rFonts w:ascii="Calibri" w:hAnsi="Calibri" w:eastAsia="Microsoft YaHei"/>
          <w:b/>
          <w:i w:val="0"/>
          <w:color w:val="183B56"/>
          <w:sz w:val="43"/>
        </w:rPr>
        <w:t>从“生成回答”到“预测互动后果”</w:t>
      </w:r>
    </w:p>
    <w:p>
      <w:pPr>
        <w:keepNext/>
        <w:spacing w:before="0" w:after="160" w:line="240" w:lineRule="auto"/>
        <w:jc w:val="left"/>
      </w:pPr>
      <w:r>
        <w:rPr>
          <w:rFonts w:ascii="Calibri" w:hAnsi="Calibri" w:eastAsia="Microsoft YaHei"/>
          <w:b/>
          <w:i w:val="0"/>
          <w:color w:val="64748B"/>
          <w:sz w:val="21"/>
        </w:rPr>
        <w:t>共鸣画像引擎 × HIWM：面向陪伴机器人与 B 端智能体的可进化互动决策中枢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83B56" w:val="clear"/>
            <w:tcMar>
              <w:top w:w="135" w:type="dxa"/>
              <w:start w:w="120" w:type="dxa"/>
              <w:bottom w:w="135" w:type="dxa"/>
              <w:end w:w="120" w:type="dxa"/>
            </w:tcMar>
            <w:tcBorders>
              <w:top w:val="single" w:sz="4" w:color="183B56"/>
              <w:bottom w:val="single" w:sz="4" w:color="183B56"/>
              <w:start w:val="single" w:sz="4" w:color="183B56"/>
              <w:end w:val="single" w:sz="4" w:color="183B56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8FE0D6"/>
                <w:sz w:val="20"/>
              </w:rPr>
              <w:t>核心路径｜</w:t>
            </w: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持续理解同一个人 → 开口前推演三种沟通策略 → 选择风险更低、信息增益更高的一条 → 用真实回应持续纠偏。</w:t>
            </w:r>
          </w:p>
          <w:p>
            <w:pPr>
              <w:keepNext w:val="0"/>
              <w:spacing w:before="4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DDEAF2"/>
                <w:sz w:val="17"/>
              </w:rPr>
              <w:t>当前已完成可运行 MVP 与双服务集成；下一阶段的技术投入重点是数据校准、垂直场景验证与规模化部署，而非从零搭建 Demo。</w:t>
            </w:r>
          </w:p>
        </w:tc>
      </w:tr>
    </w:tbl>
    <w:p>
      <w:pPr>
        <w:pStyle w:val="Heading1"/>
        <w:keepNext/>
        <w:spacing w:before="120" w:after="80" w:line="240" w:lineRule="auto"/>
        <w:jc w:val="left"/>
      </w:pPr>
      <w:r>
        <w:rPr>
          <w:rFonts w:ascii="Calibri" w:hAnsi="Calibri" w:eastAsia="Microsoft YaHei"/>
          <w:b/>
          <w:i w:val="0"/>
          <w:color w:val="183B56"/>
          <w:sz w:val="26"/>
        </w:rPr>
        <w:t>核心技术闭环｜每一轮互动都沉淀为可验证的数据资产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EAF3F8" w:val="clear"/>
            <w:tcMar>
              <w:top w:w="115" w:type="dxa"/>
              <w:start w:w="120" w:type="dxa"/>
              <w:bottom w:w="110" w:type="dxa"/>
              <w:end w:w="120" w:type="dxa"/>
            </w:tcMar>
            <w:tcBorders>
              <w:top w:val="single" w:sz="18" w:color="2E74B5"/>
              <w:bottom w:val="single" w:sz="8" w:color="FFFFFF"/>
              <w:start w:val="single" w:sz="8" w:color="FFFFFF"/>
              <w:end w:val="single" w:sz="8" w:color="FFFFFF"/>
            </w:tcBorders>
          </w:tcPr>
          <w:p>
            <w:pPr>
              <w:keepNext/>
              <w:spacing w:before="0" w:after="6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6"/>
              </w:rPr>
              <w:t xml:space="preserve">01  </w:t>
            </w:r>
            <w:r>
              <w:rPr>
                <w:rFonts w:ascii="Calibri" w:hAnsi="Calibri" w:eastAsia="Microsoft YaHei"/>
                <w:b/>
                <w:i w:val="0"/>
                <w:color w:val="183B56"/>
                <w:sz w:val="18"/>
              </w:rPr>
              <w:t>有界多模态感知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72B3A"/>
                <w:sz w:val="15"/>
              </w:rPr>
              <w:t>final ASR + 语音韵律/可观察行为 + 用户确认上下文；默认不保存原始音视频。</w:t>
            </w:r>
          </w:p>
        </w:tc>
        <w:tc>
          <w:tcPr>
            <w:tcW w:type="dxa" w:w="3120"/>
            <w:vAlign w:val="center"/>
            <w:shd w:fill="E8F5F3" w:val="clear"/>
            <w:tcMar>
              <w:top w:w="115" w:type="dxa"/>
              <w:start w:w="120" w:type="dxa"/>
              <w:bottom w:w="110" w:type="dxa"/>
              <w:end w:w="120" w:type="dxa"/>
            </w:tcMar>
            <w:tcBorders>
              <w:top w:val="single" w:sz="18" w:color="0F8B8D"/>
              <w:bottom w:val="single" w:sz="8" w:color="FFFFFF"/>
              <w:start w:val="single" w:sz="8" w:color="FFFFFF"/>
              <w:end w:val="single" w:sz="8" w:color="FFFFFF"/>
            </w:tcBorders>
          </w:tcPr>
          <w:p>
            <w:pPr>
              <w:keepNext/>
              <w:spacing w:before="0" w:after="6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0F8B8D"/>
                <w:sz w:val="16"/>
              </w:rPr>
              <w:t xml:space="preserve">02  </w:t>
            </w:r>
            <w:r>
              <w:rPr>
                <w:rFonts w:ascii="Calibri" w:hAnsi="Calibri" w:eastAsia="Microsoft YaHei"/>
                <w:b/>
                <w:i w:val="0"/>
                <w:color w:val="183B56"/>
                <w:sz w:val="18"/>
              </w:rPr>
              <w:t>证据化动态画像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72B3A"/>
                <w:sz w:val="15"/>
              </w:rPr>
              <w:t>17 维画像、MBTI 连续维度、长期记忆与短期状态；生日数码仅作低置信先验，九型仅接受明确授权输入。</w:t>
            </w:r>
          </w:p>
        </w:tc>
        <w:tc>
          <w:tcPr>
            <w:tcW w:type="dxa" w:w="3120"/>
            <w:vAlign w:val="center"/>
            <w:shd w:fill="FFF5DB" w:val="clear"/>
            <w:tcMar>
              <w:top w:w="115" w:type="dxa"/>
              <w:start w:w="120" w:type="dxa"/>
              <w:bottom w:w="110" w:type="dxa"/>
              <w:end w:w="120" w:type="dxa"/>
            </w:tcMar>
            <w:tcBorders>
              <w:top w:val="single" w:sz="18" w:color="DFAF2B"/>
              <w:bottom w:val="single" w:sz="8" w:color="FFFFFF"/>
              <w:start w:val="single" w:sz="8" w:color="FFFFFF"/>
              <w:end w:val="single" w:sz="8" w:color="FFFFFF"/>
            </w:tcBorders>
          </w:tcPr>
          <w:p>
            <w:pPr>
              <w:keepNext/>
              <w:spacing w:before="0" w:after="6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DFAF2B"/>
                <w:sz w:val="16"/>
              </w:rPr>
              <w:t xml:space="preserve">03  </w:t>
            </w:r>
            <w:r>
              <w:rPr>
                <w:rFonts w:ascii="Calibri" w:hAnsi="Calibri" w:eastAsia="Microsoft YaHei"/>
                <w:b/>
                <w:i w:val="0"/>
                <w:color w:val="183B56"/>
                <w:sz w:val="18"/>
              </w:rPr>
              <w:t>行动条件化推演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72B3A"/>
                <w:sz w:val="15"/>
              </w:rPr>
              <w:t>维护任务相关互动状态；每轮生成 3 条候选动作，预测下一反应、状态变化与未知项。</w:t>
            </w:r>
          </w:p>
        </w:tc>
      </w:tr>
      <w:tr>
        <w:tc>
          <w:tcPr>
            <w:tcW w:type="dxa" w:w="3120"/>
            <w:vAlign w:val="center"/>
            <w:shd w:fill="FFF5DB" w:val="clear"/>
            <w:tcMar>
              <w:top w:w="115" w:type="dxa"/>
              <w:start w:w="120" w:type="dxa"/>
              <w:bottom w:w="110" w:type="dxa"/>
              <w:end w:w="120" w:type="dxa"/>
            </w:tcMar>
            <w:tcBorders>
              <w:top w:val="single" w:sz="18" w:color="DFAF2B"/>
              <w:bottom w:val="single" w:sz="8" w:color="FFFFFF"/>
              <w:start w:val="single" w:sz="8" w:color="FFFFFF"/>
              <w:end w:val="single" w:sz="8" w:color="FFFFFF"/>
            </w:tcBorders>
          </w:tcPr>
          <w:p>
            <w:pPr>
              <w:keepNext/>
              <w:spacing w:before="0" w:after="6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DFAF2B"/>
                <w:sz w:val="16"/>
              </w:rPr>
              <w:t xml:space="preserve">04  </w:t>
            </w:r>
            <w:r>
              <w:rPr>
                <w:rFonts w:ascii="Calibri" w:hAnsi="Calibri" w:eastAsia="Microsoft YaHei"/>
                <w:b/>
                <w:i w:val="0"/>
                <w:color w:val="183B56"/>
                <w:sz w:val="18"/>
              </w:rPr>
              <w:t>风险约束规划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72B3A"/>
                <w:sz w:val="15"/>
              </w:rPr>
              <w:t>按目标、信息增益、风险与不确定性联合评分；证据不足或风险过高时澄清、等待或转人工。</w:t>
            </w:r>
          </w:p>
        </w:tc>
        <w:tc>
          <w:tcPr>
            <w:tcW w:type="dxa" w:w="3120"/>
            <w:vAlign w:val="center"/>
            <w:shd w:fill="EAF3F8" w:val="clear"/>
            <w:tcMar>
              <w:top w:w="115" w:type="dxa"/>
              <w:start w:w="120" w:type="dxa"/>
              <w:bottom w:w="110" w:type="dxa"/>
              <w:end w:w="120" w:type="dxa"/>
            </w:tcMar>
            <w:tcBorders>
              <w:top w:val="single" w:sz="18" w:color="2E74B5"/>
              <w:bottom w:val="single" w:sz="8" w:color="FFFFFF"/>
              <w:start w:val="single" w:sz="8" w:color="FFFFFF"/>
              <w:end w:val="single" w:sz="8" w:color="FFFFFF"/>
            </w:tcBorders>
          </w:tcPr>
          <w:p>
            <w:pPr>
              <w:keepNext/>
              <w:spacing w:before="0" w:after="6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E74B5"/>
                <w:sz w:val="16"/>
              </w:rPr>
              <w:t xml:space="preserve">05  </w:t>
            </w:r>
            <w:r>
              <w:rPr>
                <w:rFonts w:ascii="Calibri" w:hAnsi="Calibri" w:eastAsia="Microsoft YaHei"/>
                <w:b/>
                <w:i w:val="0"/>
                <w:color w:val="183B56"/>
                <w:sz w:val="18"/>
              </w:rPr>
              <w:t>可验证执行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72B3A"/>
                <w:sz w:val="15"/>
              </w:rPr>
              <w:t>执行前以 JSONL + fsync + SHA-256 锁定预测；TTS/机器人只读语音命令使用 turn_id 幂等。</w:t>
            </w:r>
          </w:p>
        </w:tc>
        <w:tc>
          <w:tcPr>
            <w:tcW w:type="dxa" w:w="3120"/>
            <w:vAlign w:val="center"/>
            <w:shd w:fill="E8F5F3" w:val="clear"/>
            <w:tcMar>
              <w:top w:w="115" w:type="dxa"/>
              <w:start w:w="120" w:type="dxa"/>
              <w:bottom w:w="110" w:type="dxa"/>
              <w:end w:w="120" w:type="dxa"/>
            </w:tcMar>
            <w:tcBorders>
              <w:top w:val="single" w:sz="18" w:color="0F8B8D"/>
              <w:bottom w:val="single" w:sz="8" w:color="FFFFFF"/>
              <w:start w:val="single" w:sz="8" w:color="FFFFFF"/>
              <w:end w:val="single" w:sz="8" w:color="FFFFFF"/>
            </w:tcBorders>
          </w:tcPr>
          <w:p>
            <w:pPr>
              <w:keepNext/>
              <w:spacing w:before="0" w:after="6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0F8B8D"/>
                <w:sz w:val="16"/>
              </w:rPr>
              <w:t xml:space="preserve">06  </w:t>
            </w:r>
            <w:r>
              <w:rPr>
                <w:rFonts w:ascii="Calibri" w:hAnsi="Calibri" w:eastAsia="Microsoft YaHei"/>
                <w:b/>
                <w:i w:val="0"/>
                <w:color w:val="183B56"/>
                <w:sz w:val="18"/>
              </w:rPr>
              <w:t>反馈闭环学习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72B3A"/>
                <w:sz w:val="15"/>
              </w:rPr>
              <w:t>用下一轮真实回应评估匹配与偏差，更新工作信念和画像版本，形成“证据—动作—结果”轨迹。</w:t>
            </w:r>
          </w:p>
        </w:tc>
      </w:tr>
    </w:tbl>
    <w:p>
      <w:pPr>
        <w:pStyle w:val="Heading1"/>
        <w:keepNext/>
        <w:spacing w:before="120" w:after="80" w:line="240" w:lineRule="auto"/>
        <w:jc w:val="left"/>
      </w:pPr>
      <w:r>
        <w:rPr>
          <w:rFonts w:ascii="Calibri" w:hAnsi="Calibri" w:eastAsia="Microsoft YaHei"/>
          <w:b/>
          <w:i w:val="0"/>
          <w:color w:val="183B56"/>
          <w:sz w:val="26"/>
        </w:rPr>
        <w:t>工程基础与升级路线｜从可部署 MVP 走向可校准、可复制的行业能力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center"/>
            <w:shd w:fill="2E74B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FFFFFF"/>
              <w:bottom w:val="single" w:sz="6" w:color="FFFFFF"/>
              <w:start w:val="single" w:sz="6" w:color="FFFFFF"/>
              <w:end w:val="single" w:sz="6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已完成｜可部署 MVP</w:t>
            </w:r>
          </w:p>
        </w:tc>
        <w:tc>
          <w:tcPr>
            <w:tcW w:type="dxa" w:w="3120"/>
            <w:vAlign w:val="center"/>
            <w:shd w:fill="0F8B8D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FFFFFF"/>
              <w:bottom w:val="single" w:sz="6" w:color="FFFFFF"/>
              <w:start w:val="single" w:sz="6" w:color="FFFFFF"/>
              <w:end w:val="single" w:sz="6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0–6 个月｜场景化验证</w:t>
            </w:r>
          </w:p>
        </w:tc>
        <w:tc>
          <w:tcPr>
            <w:tcW w:type="dxa" w:w="3120"/>
            <w:vAlign w:val="center"/>
            <w:shd w:fill="DFAF2B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FFFFFF"/>
              <w:bottom w:val="single" w:sz="6" w:color="FFFFFF"/>
              <w:start w:val="single" w:sz="6" w:color="FFFFFF"/>
              <w:end w:val="single" w:sz="6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6–18 个月｜校准与规模化</w:t>
            </w:r>
          </w:p>
        </w:tc>
      </w:tr>
      <w:tr>
        <w:tc>
          <w:tcPr>
            <w:tcW w:type="dxa" w:w="3120"/>
            <w:vAlign w:val="center"/>
            <w:shd w:fill="EAF3F8" w:val="clea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FFFFFF"/>
              <w:bottom w:val="single" w:sz="6" w:color="FFFFFF"/>
              <w:start w:val="single" w:sz="6" w:color="FFFFFF"/>
              <w:end w:val="single" w:sz="6" w:color="FFFFFF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72B3A"/>
                <w:sz w:val="15"/>
              </w:rPr>
              <w:t>Vue/FastAPI 实时交互 + 独立画像状态机 + BFF + PostgreSQL；多租户鉴权、幂等、乐观锁、规则审批、知情同意与审计链已工程化。</w:t>
            </w:r>
          </w:p>
        </w:tc>
        <w:tc>
          <w:tcPr>
            <w:tcW w:type="dxa" w:w="3120"/>
            <w:vAlign w:val="center"/>
            <w:shd w:fill="E8F5F3" w:val="clea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FFFFFF"/>
              <w:bottom w:val="single" w:sz="6" w:color="FFFFFF"/>
              <w:start w:val="single" w:sz="6" w:color="FFFFFF"/>
              <w:end w:val="single" w:sz="6" w:color="FFFFFF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72B3A"/>
                <w:sz w:val="15"/>
              </w:rPr>
              <w:t>围绕陪伴、学习/心理协作及机器人客户建立试点；统一状态字段与结果标签，采集经同意的完整轨迹，补齐机器人回执、失败恢复和私有化部署。</w:t>
            </w:r>
          </w:p>
        </w:tc>
        <w:tc>
          <w:tcPr>
            <w:tcW w:type="dxa" w:w="3120"/>
            <w:vAlign w:val="center"/>
            <w:shd w:fill="FFF5DB" w:val="clea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FFFFFF"/>
              <w:bottom w:val="single" w:sz="6" w:color="FFFFFF"/>
              <w:start w:val="single" w:sz="6" w:color="FFFFFF"/>
              <w:end w:val="single" w:sz="6" w:color="FFFFFF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72B3A"/>
                <w:sz w:val="15"/>
              </w:rPr>
              <w:t>以 NLL、Brier、ECE、行动排序和多模态消融验证增量价值；迭代多步轨迹模型与受控在线更新，扩展 ROS/厂商 SDK 和垂直行业策略包。</w:t>
            </w:r>
          </w:p>
        </w:tc>
      </w:tr>
    </w:tbl>
    <w:p>
      <w:pPr>
        <w:pStyle w:val="Heading1"/>
        <w:keepNext/>
        <w:spacing w:before="120" w:after="80" w:line="240" w:lineRule="auto"/>
        <w:jc w:val="left"/>
      </w:pPr>
      <w:r>
        <w:rPr>
          <w:rFonts w:ascii="Calibri" w:hAnsi="Calibri" w:eastAsia="Microsoft YaHei"/>
          <w:b/>
          <w:i w:val="0"/>
          <w:color w:val="183B56"/>
          <w:sz w:val="26"/>
        </w:rPr>
        <w:t>可形成的技术壁垒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4F6F8" w:val="clea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FFFFFF"/>
              <w:bottom w:val="single" w:sz="6" w:color="FFFFFF"/>
              <w:start w:val="single" w:sz="6" w:color="FFFFFF"/>
              <w:end w:val="single" w:sz="6" w:color="FFFFFF"/>
            </w:tcBorders>
          </w:tcPr>
          <w:p>
            <w:pPr>
              <w:keepNext w:val="0"/>
              <w:spacing w:before="0" w:after="4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83B56"/>
                <w:sz w:val="16"/>
              </w:rPr>
              <w:t>数据壁垒</w:t>
            </w:r>
          </w:p>
          <w:p>
            <w:pPr>
              <w:keepNext w:val="0"/>
              <w:spacing w:before="0" w:after="0" w:line="25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64748B"/>
                <w:sz w:val="14"/>
              </w:rPr>
              <w:t>经同意的个体互动轨迹，而非通用语料</w:t>
            </w:r>
          </w:p>
        </w:tc>
        <w:tc>
          <w:tcPr>
            <w:tcW w:type="dxa" w:w="2340"/>
            <w:vAlign w:val="center"/>
            <w:shd w:fill="EAF3F8" w:val="clea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FFFFFF"/>
              <w:bottom w:val="single" w:sz="6" w:color="FFFFFF"/>
              <w:start w:val="single" w:sz="6" w:color="FFFFFF"/>
              <w:end w:val="single" w:sz="6" w:color="FFFFFF"/>
            </w:tcBorders>
          </w:tcPr>
          <w:p>
            <w:pPr>
              <w:keepNext w:val="0"/>
              <w:spacing w:before="0" w:after="4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83B56"/>
                <w:sz w:val="16"/>
              </w:rPr>
              <w:t>算法壁垒</w:t>
            </w:r>
          </w:p>
          <w:p>
            <w:pPr>
              <w:keepNext w:val="0"/>
              <w:spacing w:before="0" w:after="0" w:line="25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64748B"/>
                <w:sz w:val="14"/>
              </w:rPr>
              <w:t>个体状态 + 行动条件化预测 + 概率校准</w:t>
            </w:r>
          </w:p>
        </w:tc>
        <w:tc>
          <w:tcPr>
            <w:tcW w:type="dxa" w:w="2340"/>
            <w:vAlign w:val="center"/>
            <w:shd w:fill="F4F6F8" w:val="clea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FFFFFF"/>
              <w:bottom w:val="single" w:sz="6" w:color="FFFFFF"/>
              <w:start w:val="single" w:sz="6" w:color="FFFFFF"/>
              <w:end w:val="single" w:sz="6" w:color="FFFFFF"/>
            </w:tcBorders>
          </w:tcPr>
          <w:p>
            <w:pPr>
              <w:keepNext w:val="0"/>
              <w:spacing w:before="0" w:after="4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83B56"/>
                <w:sz w:val="16"/>
              </w:rPr>
              <w:t>工程壁垒</w:t>
            </w:r>
          </w:p>
          <w:p>
            <w:pPr>
              <w:keepNext w:val="0"/>
              <w:spacing w:before="0" w:after="0" w:line="25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64748B"/>
                <w:sz w:val="14"/>
              </w:rPr>
              <w:t>证据/版本/审计 + 执行前预测锁 + 安全退出</w:t>
            </w:r>
          </w:p>
        </w:tc>
        <w:tc>
          <w:tcPr>
            <w:tcW w:type="dxa" w:w="2340"/>
            <w:vAlign w:val="center"/>
            <w:shd w:fill="EAF3F8" w:val="clea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FFFFFF"/>
              <w:bottom w:val="single" w:sz="6" w:color="FFFFFF"/>
              <w:start w:val="single" w:sz="6" w:color="FFFFFF"/>
              <w:end w:val="single" w:sz="6" w:color="FFFFFF"/>
            </w:tcBorders>
          </w:tcPr>
          <w:p>
            <w:pPr>
              <w:keepNext w:val="0"/>
              <w:spacing w:before="0" w:after="4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83B56"/>
                <w:sz w:val="16"/>
              </w:rPr>
              <w:t>生态壁垒</w:t>
            </w:r>
          </w:p>
          <w:p>
            <w:pPr>
              <w:keepNext w:val="0"/>
              <w:spacing w:before="0" w:after="0" w:line="25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64748B"/>
                <w:sz w:val="14"/>
              </w:rPr>
              <w:t>可替换模型栈 + B 端 API + 机器人适配层</w:t>
            </w:r>
          </w:p>
        </w:tc>
      </w:tr>
    </w:tbl>
    <w:p>
      <w:pPr>
        <w:keepNext w:val="0"/>
        <w:spacing w:before="80" w:after="0" w:line="240" w:lineRule="auto"/>
        <w:jc w:val="center"/>
      </w:pPr>
      <w:r>
        <w:rPr>
          <w:rFonts w:ascii="Calibri" w:hAnsi="Calibri" w:eastAsia="Microsoft YaHei"/>
          <w:b/>
          <w:i w:val="0"/>
          <w:color w:val="0F8B8D"/>
          <w:sz w:val="17"/>
        </w:rPr>
        <w:t>投资逻辑：用资本加速“真实场景数据 → 概率校准 → 行业复制”的飞轮，把工程先发优势转化为持续提升的互动决策模型。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Calibri" w:hAnsi="Calibri" w:eastAsia="Microsoft YaHei"/>
        <w:b/>
        <w:i w:val="0"/>
        <w:color w:val="64748B"/>
        <w:sz w:val="15"/>
      </w:rPr>
      <w:t>TECHNOLOGY ROADMAP ·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tabs>
        <w:tab w:pos="9360" w:val="left"/>
      </w:tabs>
      <w:spacing w:before="0" w:after="0" w:line="240" w:lineRule="auto"/>
      <w:jc w:val="left"/>
    </w:pPr>
    <w:r>
      <w:rPr>
        <w:rFonts w:ascii="Calibri" w:hAnsi="Calibri" w:eastAsia="Microsoft YaHei"/>
        <w:b/>
        <w:i w:val="0"/>
        <w:color w:val="64748B"/>
        <w:sz w:val="16"/>
      </w:rPr>
      <w:t>商业计划书 · 技术路线</w:t>
    </w:r>
    <w:r>
      <w:rPr>
        <w:rFonts w:ascii="Calibri" w:hAnsi="Calibri" w:eastAsia="Microsoft YaHei"/>
        <w:b w:val="0"/>
        <w:i w:val="0"/>
        <w:color w:val="64748B"/>
        <w:sz w:val="16"/>
      </w:rPr>
      <w:tab/>
      <w:t>共鸣画像引擎 × HIWM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Calibri" w:hAnsi="Calibri" w:eastAsia="Microsoft YaHei"/>
      <w:color w:val="172B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商业计划书技术路线｜共鸣画像引擎 × HIWM</dc:title>
  <dc:subject>可直接纳入商业计划书的一页技术路线</dc:subject>
  <dc:creator>项目团队</dc:creator>
  <cp:keywords>HIWM, 共鸣画像引擎, 技术路线, 商业计划书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