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52D75">
      <w:pPr>
        <w:snapToGrid w:val="0"/>
        <w:spacing w:line="276" w:lineRule="auto"/>
        <w:rPr>
          <w:rFonts w:ascii="微软雅黑" w:hAnsi="微软雅黑" w:eastAsia="微软雅黑"/>
          <w:sz w:val="32"/>
          <w:szCs w:val="32"/>
        </w:rPr>
      </w:pPr>
      <w:r>
        <w:rPr>
          <w:rFonts w:ascii="微软雅黑" w:hAnsi="微软雅黑" w:eastAsia="微软雅黑"/>
          <w:sz w:val="32"/>
          <w:szCs w:val="32"/>
        </w:rPr>
        <w:t xml:space="preserve">附件一：                        </w:t>
      </w:r>
    </w:p>
    <w:p w14:paraId="3B7FA4F9">
      <w:pPr>
        <w:snapToGrid w:val="0"/>
        <w:spacing w:line="276" w:lineRule="auto"/>
        <w:jc w:val="center"/>
        <w:rPr>
          <w:rFonts w:ascii="微软雅黑" w:hAnsi="微软雅黑" w:eastAsia="微软雅黑"/>
          <w:b/>
          <w:bCs/>
          <w:sz w:val="44"/>
          <w:szCs w:val="44"/>
        </w:rPr>
      </w:pPr>
      <w:r>
        <w:rPr>
          <w:rFonts w:hint="eastAsia" w:ascii="微软雅黑" w:hAnsi="微软雅黑" w:eastAsia="微软雅黑"/>
          <w:b/>
          <w:bCs/>
          <w:sz w:val="44"/>
          <w:szCs w:val="44"/>
        </w:rPr>
        <w:t>发明/实用新型技术</w:t>
      </w:r>
      <w:r>
        <w:rPr>
          <w:rFonts w:ascii="微软雅黑" w:hAnsi="微软雅黑" w:eastAsia="微软雅黑"/>
          <w:b/>
          <w:bCs/>
          <w:sz w:val="44"/>
          <w:szCs w:val="44"/>
        </w:rPr>
        <w:t>交底书</w:t>
      </w:r>
    </w:p>
    <w:p w14:paraId="2F2F2CB7">
      <w:pPr>
        <w:snapToGrid w:val="0"/>
        <w:spacing w:line="276" w:lineRule="auto"/>
        <w:jc w:val="left"/>
        <w:rPr>
          <w:rFonts w:hint="eastAsia" w:ascii="宋体" w:hAnsi="宋体" w:eastAsia="宋体" w:cs="宋体"/>
          <w:b/>
          <w:bCs/>
          <w:sz w:val="20"/>
          <w:szCs w:val="20"/>
        </w:rPr>
      </w:pPr>
      <w:r>
        <w:rPr>
          <w:rFonts w:hint="eastAsia" w:ascii="宋体" w:hAnsi="宋体" w:eastAsia="宋体" w:cs="宋体"/>
          <w:b/>
          <w:bCs/>
          <w:sz w:val="20"/>
          <w:szCs w:val="20"/>
        </w:rPr>
        <w:t>*申报专利类型为发明/实用新型，应填写此表及</w:t>
      </w:r>
      <w:r>
        <w:rPr>
          <w:rFonts w:hint="eastAsia" w:ascii="宋体" w:hAnsi="宋体" w:eastAsia="宋体" w:cs="宋体"/>
          <w:b/>
          <w:bCs/>
          <w:sz w:val="20"/>
          <w:szCs w:val="20"/>
          <w:lang w:val="en-US" w:eastAsia="zh-CN"/>
        </w:rPr>
        <w:t>第二</w:t>
      </w:r>
      <w:r>
        <w:rPr>
          <w:rFonts w:hint="eastAsia" w:ascii="宋体" w:hAnsi="宋体" w:eastAsia="宋体" w:cs="宋体"/>
          <w:b/>
          <w:bCs/>
          <w:sz w:val="20"/>
          <w:szCs w:val="20"/>
        </w:rPr>
        <w:t>部分的检索报告（表格不够可另附页）</w:t>
      </w:r>
    </w:p>
    <w:tbl>
      <w:tblPr>
        <w:tblStyle w:val="8"/>
        <w:tblW w:w="8222"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4111"/>
        <w:gridCol w:w="4111"/>
      </w:tblGrid>
      <w:tr w14:paraId="799AB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07"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03959EA2">
            <w:pPr>
              <w:snapToGrid w:val="0"/>
              <w:spacing w:line="276" w:lineRule="auto"/>
              <w:jc w:val="center"/>
              <w:rPr>
                <w:rFonts w:hint="eastAsia" w:ascii="宋体" w:hAnsi="宋体" w:eastAsia="宋体" w:cs="宋体"/>
                <w:sz w:val="20"/>
                <w:szCs w:val="20"/>
              </w:rPr>
            </w:pPr>
            <w:r>
              <w:rPr>
                <w:rFonts w:hint="eastAsia" w:ascii="宋体" w:hAnsi="宋体" w:eastAsia="宋体" w:cs="宋体"/>
                <w:b/>
                <w:bCs/>
                <w:sz w:val="36"/>
                <w:szCs w:val="36"/>
              </w:rPr>
              <w:t xml:space="preserve">第一部分 </w:t>
            </w:r>
            <w:r>
              <w:rPr>
                <w:rFonts w:hint="eastAsia" w:ascii="宋体" w:hAnsi="宋体" w:eastAsia="宋体" w:cs="宋体"/>
                <w:b/>
                <w:bCs/>
                <w:sz w:val="36"/>
                <w:szCs w:val="36"/>
                <w:lang w:val="en-US" w:eastAsia="zh-CN"/>
              </w:rPr>
              <w:t>技术方案说明</w:t>
            </w:r>
          </w:p>
        </w:tc>
      </w:tr>
      <w:tr w14:paraId="3803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34"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7F690A78">
            <w:pPr>
              <w:snapToGrid w:val="0"/>
              <w:spacing w:line="276" w:lineRule="auto"/>
              <w:jc w:val="left"/>
              <w:rPr>
                <w:rFonts w:hint="eastAsia" w:ascii="宋体" w:hAnsi="宋体" w:eastAsia="宋体" w:cs="宋体"/>
                <w:b/>
                <w:bCs/>
                <w:sz w:val="36"/>
                <w:szCs w:val="36"/>
                <w:lang w:val="en-US" w:eastAsia="zh-CN"/>
              </w:rPr>
            </w:pPr>
            <w:r>
              <w:rPr>
                <w:rFonts w:hint="eastAsia" w:ascii="宋体" w:hAnsi="宋体" w:eastAsia="宋体" w:cs="宋体"/>
                <w:b/>
                <w:bCs/>
                <w:kern w:val="2"/>
                <w:sz w:val="20"/>
                <w:szCs w:val="20"/>
                <w:lang w:val="en-US" w:eastAsia="zh-CN" w:bidi="ar-SA"/>
              </w:rPr>
              <w:t>提案名称：一种广域分布式存储对象容量巡检方法</w:t>
            </w:r>
          </w:p>
        </w:tc>
      </w:tr>
      <w:tr w14:paraId="28AA6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25" w:hRule="atLeast"/>
        </w:trPr>
        <w:tc>
          <w:tcPr>
            <w:tcW w:w="4111" w:type="dxa"/>
            <w:tcBorders>
              <w:top w:val="single" w:color="000000" w:sz="8" w:space="0"/>
              <w:left w:val="single" w:color="000000" w:sz="8" w:space="0"/>
              <w:bottom w:val="single" w:color="auto" w:sz="4" w:space="0"/>
              <w:right w:val="single" w:color="000000" w:sz="8" w:space="0"/>
            </w:tcBorders>
          </w:tcPr>
          <w:p w14:paraId="4D93EEDA">
            <w:pPr>
              <w:snapToGrid w:val="0"/>
              <w:spacing w:line="276" w:lineRule="auto"/>
              <w:jc w:val="left"/>
              <w:rPr>
                <w:rFonts w:hint="eastAsia" w:ascii="宋体" w:hAnsi="宋体" w:eastAsia="宋体" w:cs="宋体"/>
                <w:b/>
                <w:bCs/>
                <w:sz w:val="36"/>
                <w:szCs w:val="36"/>
                <w:lang w:val="en-US" w:eastAsia="zh-CN"/>
              </w:rPr>
            </w:pPr>
            <w:r>
              <w:rPr>
                <w:rFonts w:hint="eastAsia" w:ascii="宋体" w:hAnsi="宋体" w:eastAsia="宋体" w:cs="宋体"/>
                <w:b/>
                <w:bCs/>
                <w:kern w:val="2"/>
                <w:sz w:val="20"/>
                <w:szCs w:val="20"/>
                <w:lang w:val="en-US" w:eastAsia="zh-CN" w:bidi="ar-SA"/>
              </w:rPr>
              <w:t>申报单位：联通数字科技有限公司</w:t>
            </w:r>
          </w:p>
        </w:tc>
        <w:tc>
          <w:tcPr>
            <w:tcW w:w="4111" w:type="dxa"/>
            <w:tcBorders>
              <w:top w:val="single" w:color="000000" w:sz="8" w:space="0"/>
              <w:left w:val="single" w:color="000000" w:sz="8" w:space="0"/>
              <w:bottom w:val="single" w:color="auto" w:sz="4" w:space="0"/>
              <w:right w:val="single" w:color="000000" w:sz="8" w:space="0"/>
            </w:tcBorders>
          </w:tcPr>
          <w:p w14:paraId="39B04228">
            <w:pPr>
              <w:snapToGrid w:val="0"/>
              <w:spacing w:line="276" w:lineRule="auto"/>
              <w:jc w:val="left"/>
              <w:rPr>
                <w:rFonts w:hint="default" w:ascii="宋体" w:hAnsi="宋体" w:eastAsia="宋体" w:cs="宋体"/>
                <w:b/>
                <w:bCs/>
                <w:sz w:val="36"/>
                <w:szCs w:val="36"/>
                <w:lang w:val="en-US" w:eastAsia="zh-CN"/>
              </w:rPr>
            </w:pPr>
            <w:r>
              <w:rPr>
                <w:rFonts w:hint="eastAsia" w:ascii="宋体" w:hAnsi="宋体" w:eastAsia="宋体" w:cs="宋体"/>
                <w:b/>
                <w:bCs/>
                <w:kern w:val="2"/>
                <w:sz w:val="20"/>
                <w:szCs w:val="20"/>
                <w:lang w:val="en-US" w:eastAsia="zh-CN" w:bidi="ar-SA"/>
              </w:rPr>
              <w:t>技术联系人：黄辉辉</w:t>
            </w:r>
          </w:p>
        </w:tc>
      </w:tr>
      <w:tr w14:paraId="7E6E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07"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3588F962">
            <w:pPr>
              <w:pStyle w:val="15"/>
              <w:numPr>
                <w:ilvl w:val="0"/>
                <w:numId w:val="1"/>
              </w:numPr>
              <w:snapToGrid w:val="0"/>
              <w:spacing w:line="276" w:lineRule="auto"/>
              <w:ind w:left="360" w:firstLineChars="0"/>
              <w:rPr>
                <w:rFonts w:hint="eastAsia" w:ascii="宋体" w:hAnsi="宋体" w:eastAsia="宋体" w:cs="宋体"/>
                <w:b/>
                <w:bCs/>
                <w:sz w:val="20"/>
                <w:szCs w:val="20"/>
              </w:rPr>
            </w:pPr>
            <w:r>
              <w:rPr>
                <w:rFonts w:hint="eastAsia" w:ascii="宋体" w:hAnsi="宋体" w:eastAsia="宋体" w:cs="宋体"/>
                <w:b/>
                <w:bCs/>
                <w:sz w:val="20"/>
                <w:szCs w:val="20"/>
              </w:rPr>
              <w:t>是否就相关技术发表过文章</w:t>
            </w:r>
            <w:r>
              <w:rPr>
                <w:rFonts w:hint="eastAsia" w:ascii="宋体" w:hAnsi="宋体" w:eastAsia="宋体" w:cs="宋体"/>
                <w:b/>
                <w:bCs/>
                <w:sz w:val="20"/>
                <w:szCs w:val="20"/>
                <w:lang w:val="en-US" w:eastAsia="zh-CN"/>
              </w:rPr>
              <w:t>或即将发表</w:t>
            </w:r>
            <w:r>
              <w:rPr>
                <w:rFonts w:hint="eastAsia" w:ascii="宋体" w:hAnsi="宋体" w:eastAsia="宋体" w:cs="宋体"/>
                <w:b/>
                <w:bCs/>
                <w:sz w:val="20"/>
                <w:szCs w:val="20"/>
              </w:rPr>
              <w:t xml:space="preserve">？ 发表过 </w:t>
            </w:r>
            <w:r>
              <w:rPr>
                <w:rFonts w:hint="eastAsia" w:ascii="宋体" w:hAnsi="宋体" w:eastAsia="宋体" w:cs="宋体"/>
                <w:b/>
                <w:bCs/>
                <w:sz w:val="20"/>
                <w:szCs w:val="20"/>
                <w:lang w:eastAsia="zh-CN"/>
              </w:rPr>
              <w:t>□</w:t>
            </w:r>
            <w:r>
              <w:rPr>
                <w:rFonts w:hint="eastAsia" w:ascii="宋体" w:hAnsi="宋体" w:eastAsia="宋体" w:cs="宋体"/>
                <w:b/>
                <w:bCs/>
                <w:sz w:val="20"/>
                <w:szCs w:val="20"/>
              </w:rPr>
              <w:t xml:space="preserve">    未发表过 </w:t>
            </w:r>
            <w:r>
              <w:rPr>
                <w:rFonts w:hint="eastAsia" w:ascii="宋体" w:hAnsi="宋体" w:eastAsia="宋体" w:cs="宋体"/>
                <w:b/>
                <w:bCs/>
                <w:sz w:val="20"/>
                <w:szCs w:val="20"/>
                <w:lang w:eastAsia="zh-CN"/>
              </w:rPr>
              <w:t>☑</w:t>
            </w:r>
            <w:r>
              <w:rPr>
                <w:rFonts w:hint="eastAsia" w:ascii="宋体" w:hAnsi="宋体" w:eastAsia="宋体" w:cs="宋体"/>
                <w:b/>
                <w:bCs/>
                <w:sz w:val="20"/>
                <w:szCs w:val="20"/>
              </w:rPr>
              <w:t xml:space="preserve"> </w:t>
            </w:r>
            <w:r>
              <w:rPr>
                <w:rFonts w:hint="eastAsia" w:ascii="宋体" w:hAnsi="宋体" w:eastAsia="宋体" w:cs="宋体"/>
                <w:b/>
                <w:bCs/>
                <w:sz w:val="20"/>
                <w:szCs w:val="20"/>
                <w:lang w:val="en-US" w:eastAsia="zh-CN"/>
              </w:rPr>
              <w:t xml:space="preserve"> 即将发表</w:t>
            </w:r>
            <w:r>
              <w:rPr>
                <w:rFonts w:hint="eastAsia" w:ascii="宋体" w:hAnsi="宋体" w:eastAsia="宋体" w:cs="宋体"/>
                <w:b/>
                <w:bCs/>
                <w:sz w:val="20"/>
                <w:szCs w:val="20"/>
              </w:rPr>
              <w:t xml:space="preserve"> </w:t>
            </w:r>
            <w:r>
              <w:rPr>
                <w:rFonts w:hint="eastAsia" w:ascii="宋体" w:hAnsi="宋体" w:eastAsia="宋体" w:cs="宋体"/>
                <w:b/>
                <w:bCs/>
                <w:sz w:val="20"/>
                <w:szCs w:val="20"/>
              </w:rPr>
              <w:sym w:font="Wingdings 2" w:char="00A3"/>
            </w:r>
          </w:p>
          <w:p w14:paraId="2D4EFC2B">
            <w:pPr>
              <w:snapToGrid w:val="0"/>
              <w:spacing w:line="276" w:lineRule="auto"/>
              <w:rPr>
                <w:rFonts w:hint="eastAsia" w:ascii="宋体" w:hAnsi="宋体" w:eastAsia="宋体" w:cs="宋体"/>
                <w:sz w:val="20"/>
                <w:szCs w:val="20"/>
                <w:lang w:val="en-US" w:eastAsia="zh-CN"/>
              </w:rPr>
            </w:pPr>
            <w:r>
              <w:rPr>
                <w:rFonts w:hint="eastAsia" w:ascii="宋体" w:hAnsi="宋体" w:eastAsia="宋体" w:cs="宋体"/>
                <w:sz w:val="20"/>
                <w:szCs w:val="20"/>
              </w:rPr>
              <w:t>填写说明：如发表过相关技术的文章，请附上发表的文章，并描述该文章与本技术交底书中内容的差异点。</w:t>
            </w:r>
            <w:r>
              <w:rPr>
                <w:rFonts w:hint="eastAsia" w:ascii="宋体" w:hAnsi="宋体" w:eastAsia="宋体" w:cs="宋体"/>
                <w:sz w:val="20"/>
                <w:szCs w:val="20"/>
                <w:lang w:val="en-US" w:eastAsia="zh-CN"/>
              </w:rPr>
              <w:t>如即将发表，请填写</w:t>
            </w:r>
            <w:r>
              <w:rPr>
                <w:rFonts w:hint="eastAsia" w:ascii="宋体" w:hAnsi="宋体" w:eastAsia="宋体" w:cs="宋体"/>
                <w:sz w:val="20"/>
                <w:szCs w:val="20"/>
              </w:rPr>
              <w:t>该文章与本技术交底书中内容的差异点</w:t>
            </w:r>
            <w:r>
              <w:rPr>
                <w:rFonts w:hint="eastAsia" w:ascii="宋体" w:hAnsi="宋体" w:eastAsia="宋体" w:cs="宋体"/>
                <w:sz w:val="20"/>
                <w:szCs w:val="20"/>
                <w:lang w:val="en-US" w:eastAsia="zh-CN"/>
              </w:rPr>
              <w:t>及预计发表日期。</w:t>
            </w:r>
          </w:p>
        </w:tc>
      </w:tr>
      <w:tr w14:paraId="14639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402" w:hRule="atLeast"/>
        </w:trPr>
        <w:tc>
          <w:tcPr>
            <w:tcW w:w="8222" w:type="dxa"/>
            <w:gridSpan w:val="2"/>
            <w:tcBorders>
              <w:top w:val="single" w:color="auto" w:sz="4" w:space="0"/>
              <w:left w:val="single" w:color="000000" w:sz="8" w:space="0"/>
              <w:bottom w:val="single" w:color="000000" w:sz="8" w:space="0"/>
              <w:right w:val="single" w:color="000000" w:sz="8" w:space="0"/>
            </w:tcBorders>
          </w:tcPr>
          <w:p w14:paraId="2081E4B9">
            <w:pPr>
              <w:snapToGrid w:val="0"/>
              <w:spacing w:line="276" w:lineRule="auto"/>
              <w:rPr>
                <w:rFonts w:hint="eastAsia" w:ascii="宋体" w:hAnsi="宋体" w:eastAsia="宋体" w:cs="宋体"/>
                <w:sz w:val="20"/>
                <w:szCs w:val="20"/>
              </w:rPr>
            </w:pPr>
          </w:p>
        </w:tc>
      </w:tr>
      <w:tr w14:paraId="6CC8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129"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45D07CC">
            <w:pPr>
              <w:pStyle w:val="15"/>
              <w:numPr>
                <w:ilvl w:val="0"/>
                <w:numId w:val="1"/>
              </w:numPr>
              <w:snapToGrid w:val="0"/>
              <w:spacing w:line="276" w:lineRule="auto"/>
              <w:ind w:firstLineChars="0"/>
              <w:jc w:val="left"/>
              <w:rPr>
                <w:rFonts w:hint="eastAsia" w:ascii="宋体" w:hAnsi="宋体" w:eastAsia="宋体" w:cs="宋体"/>
                <w:b/>
                <w:bCs/>
                <w:sz w:val="20"/>
                <w:szCs w:val="20"/>
              </w:rPr>
            </w:pPr>
            <w:r>
              <w:rPr>
                <w:rFonts w:hint="eastAsia" w:ascii="宋体" w:hAnsi="宋体" w:eastAsia="宋体" w:cs="宋体"/>
                <w:b/>
                <w:bCs/>
                <w:sz w:val="20"/>
                <w:szCs w:val="20"/>
              </w:rPr>
              <w:t>详细介绍技术背景，根据检索报告描述已有的与本发明最相近的实现方案。</w:t>
            </w:r>
          </w:p>
          <w:p w14:paraId="70B01278">
            <w:pPr>
              <w:snapToGrid w:val="0"/>
              <w:spacing w:line="276" w:lineRule="auto"/>
              <w:jc w:val="left"/>
              <w:rPr>
                <w:rFonts w:hint="eastAsia" w:ascii="宋体" w:hAnsi="宋体" w:eastAsia="宋体" w:cs="宋体"/>
                <w:sz w:val="20"/>
                <w:szCs w:val="20"/>
              </w:rPr>
            </w:pPr>
            <w:r>
              <w:rPr>
                <w:rFonts w:hint="eastAsia" w:ascii="宋体" w:hAnsi="宋体" w:eastAsia="宋体" w:cs="宋体"/>
                <w:sz w:val="20"/>
                <w:szCs w:val="20"/>
              </w:rPr>
              <w:t>填写说明：这一部分应对申请日前的现有技术进行重点描述和评价，即记载申请人所知，且对理解、检索、审查该申请有参考作用的背景技术。对现有技术的简介应简要说明该现有技术的主要相关内容，例如主要的结构和原理，或者所采用的技术手段和方法步骤。</w:t>
            </w:r>
          </w:p>
        </w:tc>
      </w:tr>
      <w:tr w14:paraId="7C30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823"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00AA60BA">
            <w:pPr>
              <w:snapToGrid w:val="0"/>
              <w:spacing w:line="276" w:lineRule="auto"/>
              <w:rPr>
                <w:rFonts w:hint="default" w:ascii="宋体" w:hAnsi="宋体" w:eastAsia="宋体"/>
                <w:sz w:val="20"/>
                <w:szCs w:val="20"/>
                <w:lang w:val="en-US" w:eastAsia="zh-CN"/>
              </w:rPr>
            </w:pPr>
            <w:r>
              <w:rPr>
                <w:rFonts w:hint="eastAsia" w:ascii="宋体" w:hAnsi="宋体" w:eastAsia="宋体"/>
                <w:sz w:val="20"/>
                <w:szCs w:val="20"/>
                <w:lang w:val="en-US" w:eastAsia="zh-CN"/>
              </w:rPr>
              <w:t>本技术是在软件定义存储产品中，对各地域对象存储对象池容量进行巡检的一种优化方案。</w:t>
            </w:r>
          </w:p>
          <w:p w14:paraId="35A603F1">
            <w:pPr>
              <w:snapToGrid w:val="0"/>
              <w:spacing w:line="276" w:lineRule="auto"/>
              <w:rPr>
                <w:rFonts w:hint="eastAsia" w:ascii="宋体" w:hAnsi="宋体" w:eastAsia="宋体" w:cs="宋体"/>
                <w:sz w:val="20"/>
                <w:szCs w:val="20"/>
              </w:rPr>
            </w:pPr>
            <w:r>
              <w:rPr>
                <w:rFonts w:hint="eastAsia" w:ascii="宋体" w:hAnsi="宋体" w:eastAsia="宋体"/>
                <w:sz w:val="20"/>
                <w:szCs w:val="20"/>
                <w:lang w:val="en-US" w:eastAsia="zh-CN"/>
              </w:rPr>
              <w:t>在现有的广域分布式存储产品中，会将数据存储在全国各地云池中。由于每个地域存储的数据比较大，会有对应元数据来统计每个地域池子所占大小，但是中间可能涉及数据复制，数据迁移，以及数据清理等操作导致元数据统计容量不准确，因此需要对各地域池子进行扫描，及时告警，解决可能隐藏的问题。然而，传统巡检方式可能是建立索引扫描，但是如果数据量过大可能导致对索引库压力太大，影响到原本正常的业务运行，进而影响用户体验。本方案在容量巡检的基础上，提出一种兼顾容量巡检且影响原有业务很小的优化方法。</w:t>
            </w:r>
          </w:p>
        </w:tc>
      </w:tr>
      <w:tr w14:paraId="3B64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9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4998668A">
            <w:pPr>
              <w:pStyle w:val="15"/>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现有技术的缺点是什么？针对这些缺点，说明本发明的目的。</w:t>
            </w:r>
          </w:p>
          <w:p w14:paraId="545E0FE3">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填写说明：这一部分应写明本方案解决现有技术中存在的哪些问题。通常针对最接近的现有技术存在的问题结合本发明或实用新型取得的效果提出所要解决的任务。</w:t>
            </w:r>
          </w:p>
          <w:p w14:paraId="35F1B84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 xml:space="preserve"> 具体要求如下：</w:t>
            </w:r>
          </w:p>
          <w:p w14:paraId="281B8A74">
            <w:pPr>
              <w:numPr>
                <w:ilvl w:val="0"/>
                <w:numId w:val="2"/>
              </w:num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应采用正面语句直接、清楚、客观地写明目的，明确说明要解决的问题。</w:t>
            </w:r>
          </w:p>
          <w:p w14:paraId="4813E56D">
            <w:pPr>
              <w:numPr>
                <w:ilvl w:val="0"/>
                <w:numId w:val="2"/>
              </w:numPr>
              <w:snapToGrid w:val="0"/>
              <w:spacing w:line="276" w:lineRule="auto"/>
              <w:rPr>
                <w:rFonts w:hint="eastAsia" w:ascii="宋体" w:hAnsi="宋体" w:eastAsia="宋体" w:cs="宋体"/>
                <w:sz w:val="20"/>
                <w:szCs w:val="20"/>
              </w:rPr>
            </w:pPr>
            <w:r>
              <w:rPr>
                <w:rFonts w:hint="eastAsia" w:ascii="宋体" w:hAnsi="宋体" w:eastAsia="宋体" w:cs="宋体"/>
                <w:sz w:val="20"/>
                <w:szCs w:val="20"/>
                <w:lang w:val="en-US" w:eastAsia="zh-CN"/>
              </w:rPr>
              <w:t>现有技术的缺点应与本发明的目的对应。</w:t>
            </w:r>
          </w:p>
          <w:p w14:paraId="46693C70">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w:t>
            </w:r>
            <w:r>
              <w:rPr>
                <w:rFonts w:hint="eastAsia" w:ascii="宋体" w:hAnsi="宋体" w:eastAsia="宋体" w:cs="宋体"/>
                <w:sz w:val="20"/>
                <w:szCs w:val="20"/>
                <w:lang w:val="en-US" w:eastAsia="zh-CN"/>
              </w:rPr>
              <w:t>3</w:t>
            </w:r>
            <w:r>
              <w:rPr>
                <w:rFonts w:hint="eastAsia" w:ascii="宋体" w:hAnsi="宋体" w:eastAsia="宋体" w:cs="宋体"/>
                <w:sz w:val="20"/>
                <w:szCs w:val="20"/>
              </w:rPr>
              <w:t>） 应具体体现出要解决的技术问题，避免采用“节省能源”、“提高质量”等笼统的说法，不包含技术方案的具体内容。</w:t>
            </w:r>
          </w:p>
          <w:p w14:paraId="6B3C3CBA">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w:t>
            </w:r>
            <w:r>
              <w:rPr>
                <w:rFonts w:hint="eastAsia" w:ascii="宋体" w:hAnsi="宋体" w:eastAsia="宋体" w:cs="宋体"/>
                <w:sz w:val="20"/>
                <w:szCs w:val="20"/>
                <w:lang w:val="en-US" w:eastAsia="zh-CN"/>
              </w:rPr>
              <w:t>4</w:t>
            </w:r>
            <w:r>
              <w:rPr>
                <w:rFonts w:hint="eastAsia" w:ascii="宋体" w:hAnsi="宋体" w:eastAsia="宋体" w:cs="宋体"/>
                <w:sz w:val="20"/>
                <w:szCs w:val="20"/>
              </w:rPr>
              <w:t>） 不得采用广告性宣传用语。</w:t>
            </w:r>
          </w:p>
        </w:tc>
      </w:tr>
      <w:tr w14:paraId="241D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850"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FEE9BA8">
            <w:pPr>
              <w:snapToGrid w:val="0"/>
              <w:spacing w:line="276" w:lineRule="auto"/>
              <w:rPr>
                <w:rFonts w:hint="eastAsia" w:ascii="宋体" w:hAnsi="宋体" w:eastAsia="宋体"/>
                <w:b/>
                <w:bCs/>
                <w:sz w:val="20"/>
                <w:szCs w:val="20"/>
                <w:lang w:val="en-US" w:eastAsia="zh-CN"/>
              </w:rPr>
            </w:pPr>
            <w:r>
              <w:rPr>
                <w:rFonts w:hint="eastAsia" w:ascii="宋体" w:hAnsi="宋体" w:eastAsia="宋体"/>
                <w:b/>
                <w:bCs/>
                <w:sz w:val="20"/>
                <w:szCs w:val="20"/>
                <w:lang w:val="en-US" w:eastAsia="zh-CN"/>
              </w:rPr>
              <w:t>现有技术的缺点如下：</w:t>
            </w:r>
          </w:p>
          <w:p w14:paraId="6D87C883">
            <w:pPr>
              <w:numPr>
                <w:ilvl w:val="0"/>
                <w:numId w:val="3"/>
              </w:numPr>
              <w:snapToGrid w:val="0"/>
              <w:spacing w:line="276" w:lineRule="auto"/>
              <w:ind w:left="200" w:leftChars="0" w:firstLine="0" w:firstLineChars="0"/>
              <w:rPr>
                <w:rFonts w:hint="eastAsia" w:ascii="宋体" w:hAnsi="宋体" w:eastAsia="宋体"/>
                <w:b/>
                <w:bCs/>
                <w:sz w:val="20"/>
                <w:szCs w:val="20"/>
                <w:lang w:val="en-US" w:eastAsia="zh-CN"/>
              </w:rPr>
            </w:pPr>
            <w:r>
              <w:rPr>
                <w:rFonts w:hint="eastAsia" w:ascii="宋体" w:hAnsi="宋体" w:eastAsia="宋体"/>
                <w:b/>
                <w:bCs/>
                <w:sz w:val="20"/>
                <w:szCs w:val="20"/>
                <w:lang w:val="en-US" w:eastAsia="zh-CN"/>
              </w:rPr>
              <w:t>容量巡检准确性不够：传统方法只是利用监控系统，或者脚本来对空间进行查询，监控系统检测的是ceph的整体占比，而脚本查询也只是针对磁盘空间查询，是所有的占比，而需要针对单个桶或用户，明显粒度不太够。</w:t>
            </w:r>
          </w:p>
          <w:p w14:paraId="4BA19F04">
            <w:pPr>
              <w:numPr>
                <w:ilvl w:val="0"/>
                <w:numId w:val="3"/>
              </w:numPr>
              <w:snapToGrid w:val="0"/>
              <w:spacing w:line="276" w:lineRule="auto"/>
              <w:ind w:left="200" w:leftChars="0" w:firstLine="0" w:firstLineChars="0"/>
              <w:rPr>
                <w:rFonts w:hint="eastAsia" w:ascii="宋体" w:hAnsi="宋体" w:eastAsia="宋体"/>
                <w:b/>
                <w:bCs/>
                <w:sz w:val="20"/>
                <w:szCs w:val="20"/>
                <w:lang w:val="en-US" w:eastAsia="zh-CN"/>
              </w:rPr>
            </w:pPr>
            <w:r>
              <w:rPr>
                <w:rFonts w:hint="eastAsia" w:ascii="宋体" w:hAnsi="宋体" w:eastAsia="宋体"/>
                <w:b/>
                <w:bCs/>
                <w:sz w:val="20"/>
                <w:szCs w:val="20"/>
                <w:lang w:val="en-US" w:eastAsia="zh-CN"/>
              </w:rPr>
              <w:t>容量巡检对当前业务影响较大：传统方法会添加索引来提升准确性和及时性，但是对整体业务影响比较大，如果扫描某个时间段的对象索引，可能还涉及更改以及删除，准确性无法保证。</w:t>
            </w:r>
          </w:p>
          <w:p w14:paraId="0419CA63">
            <w:pPr>
              <w:widowControl w:val="0"/>
              <w:numPr>
                <w:ilvl w:val="0"/>
                <w:numId w:val="0"/>
              </w:numPr>
              <w:snapToGrid w:val="0"/>
              <w:spacing w:line="276" w:lineRule="auto"/>
              <w:jc w:val="both"/>
              <w:rPr>
                <w:rFonts w:hint="eastAsia" w:ascii="宋体" w:hAnsi="宋体" w:eastAsia="宋体"/>
                <w:b/>
                <w:bCs/>
                <w:sz w:val="20"/>
                <w:szCs w:val="20"/>
                <w:lang w:val="en-US" w:eastAsia="zh-CN"/>
              </w:rPr>
            </w:pPr>
            <w:r>
              <w:rPr>
                <w:rFonts w:hint="eastAsia" w:ascii="宋体" w:hAnsi="宋体" w:eastAsia="宋体"/>
                <w:b/>
                <w:bCs/>
                <w:sz w:val="20"/>
                <w:szCs w:val="20"/>
                <w:lang w:val="en-US" w:eastAsia="zh-CN"/>
              </w:rPr>
              <w:t>本发明的目的就是解决以上2个问题：</w:t>
            </w:r>
          </w:p>
          <w:p w14:paraId="32A0E842">
            <w:pPr>
              <w:numPr>
                <w:ilvl w:val="0"/>
                <w:numId w:val="4"/>
              </w:numPr>
              <w:snapToGrid w:val="0"/>
              <w:spacing w:line="276" w:lineRule="auto"/>
              <w:ind w:left="200" w:leftChars="0" w:firstLine="0" w:firstLineChars="0"/>
              <w:rPr>
                <w:rFonts w:hint="eastAsia" w:ascii="宋体" w:hAnsi="宋体" w:eastAsia="宋体"/>
                <w:b/>
                <w:bCs/>
                <w:sz w:val="20"/>
                <w:szCs w:val="20"/>
                <w:lang w:val="en-US" w:eastAsia="zh-CN"/>
              </w:rPr>
            </w:pPr>
            <w:r>
              <w:rPr>
                <w:rFonts w:hint="eastAsia" w:ascii="宋体" w:hAnsi="宋体" w:eastAsia="宋体"/>
                <w:b/>
                <w:bCs/>
                <w:sz w:val="20"/>
                <w:szCs w:val="20"/>
                <w:lang w:val="en-US" w:eastAsia="zh-CN"/>
              </w:rPr>
              <w:t>提升容量巡检的准确性，能够更细粒度的检测单个用户或者单个桶的容量准确度。</w:t>
            </w:r>
          </w:p>
          <w:p w14:paraId="2F59ECB1">
            <w:pPr>
              <w:numPr>
                <w:ilvl w:val="0"/>
                <w:numId w:val="4"/>
              </w:numPr>
              <w:snapToGrid w:val="0"/>
              <w:spacing w:line="276" w:lineRule="auto"/>
              <w:ind w:left="200" w:leftChars="0" w:firstLine="0" w:firstLineChars="0"/>
              <w:rPr>
                <w:rFonts w:hint="eastAsia" w:ascii="宋体" w:hAnsi="宋体" w:eastAsia="宋体" w:cs="宋体"/>
                <w:b/>
                <w:bCs/>
                <w:sz w:val="20"/>
                <w:szCs w:val="20"/>
              </w:rPr>
            </w:pPr>
            <w:r>
              <w:rPr>
                <w:rFonts w:hint="eastAsia" w:ascii="宋体" w:hAnsi="宋体" w:eastAsia="宋体"/>
                <w:b/>
                <w:bCs/>
                <w:sz w:val="20"/>
                <w:szCs w:val="20"/>
                <w:lang w:val="en-US" w:eastAsia="zh-CN"/>
              </w:rPr>
              <w:t>利用增量扫描和全量扫描来提升准确性，同时减少巡检对性能的影响。</w:t>
            </w:r>
          </w:p>
        </w:tc>
      </w:tr>
      <w:tr w14:paraId="4636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975"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3E5016FA">
            <w:pPr>
              <w:pStyle w:val="15"/>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本发明技术方案的详细阐述，应该给出实施例并结合附图进行说明。</w:t>
            </w:r>
          </w:p>
          <w:p w14:paraId="6BB4C2F7">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这一部分是核心部分，这部分的描述应使所属技术领域的技术人员能够理解，并能达到发明或实用新型的目的。如果是产品发明，应该表明产品的构成及各部分之间的关系，各部分都起什么作用；其中属于您发明的部分是什么；如果是方法发明，应该表明该方法由几个步骤构成，每个步骤要求什么条件，各步骤之间是什么关系，各起什么作用等。应达到使所属领域的技术人员不必花费创造性劳动就能够实施。</w:t>
            </w:r>
          </w:p>
          <w:p w14:paraId="0466135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要求：</w:t>
            </w:r>
          </w:p>
          <w:p w14:paraId="544A480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（1）必须提供至少一个完整的可以实现发明目的的技术方案，不能单纯提供实现原理或功能介绍；必要时可列举多个实施例。</w:t>
            </w:r>
          </w:p>
          <w:p w14:paraId="1A3C3721">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（2）对于软件、业务模式和方法，应提供相关的流程图、系统结构图和相关的系统装置。</w:t>
            </w:r>
          </w:p>
          <w:p w14:paraId="47BF9A58">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（3）附图以方框图、黑白方式提供，不必提供彩色图例。</w:t>
            </w:r>
          </w:p>
          <w:p w14:paraId="126EB6F2">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（4）提交的每个附图必须有对应的文字描述，文字描述应达到不看附图即可实现该技术方案的效果。</w:t>
            </w:r>
          </w:p>
        </w:tc>
      </w:tr>
      <w:tr w14:paraId="332B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4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30781112">
            <w:pPr>
              <w:bidi w:val="0"/>
              <w:rPr>
                <w:rFonts w:hint="eastAsia"/>
                <w:lang w:val="en-US" w:eastAsia="zh-CN"/>
              </w:rPr>
            </w:pPr>
            <w:r>
              <w:rPr>
                <w:rFonts w:hint="eastAsia"/>
                <w:lang w:val="en-US" w:eastAsia="zh-CN"/>
              </w:rPr>
              <w:t>本发明提出了一种容量巡检方法，在容量巡检过程中，会对所有对象索引进行一次全量扫描，以当前时间点作为checkpoint，扫描与容量关联的日志，如s3日志以及生命周期日志，主要关注涉及对象容量变化的操作日志，如新增，删除以及迁移、回收等，进而可以更细粒度来实现对单个用户和桶的巡检。方案如下：</w:t>
            </w:r>
          </w:p>
          <w:p w14:paraId="4D14087A">
            <w:pPr>
              <w:bidi w:val="0"/>
              <w:rPr>
                <w:rFonts w:hint="eastAsia" w:eastAsiaTheme="minorEastAsia"/>
                <w:lang w:eastAsia="zh-CN"/>
              </w:rPr>
            </w:pPr>
            <w:r>
              <w:rPr>
                <w:rFonts w:hint="eastAsia"/>
                <w:lang w:val="en-US" w:eastAsia="zh-CN"/>
              </w:rPr>
              <w:t>本方案中，巡检架构分为2个模块，增量巡检和全量巡检。</w:t>
            </w:r>
          </w:p>
          <w:p w14:paraId="763F90F7">
            <w:pPr>
              <w:bidi w:val="0"/>
            </w:pPr>
            <w:r>
              <w:rPr>
                <w:rFonts w:hint="eastAsia"/>
                <w:lang w:val="en-US" w:eastAsia="zh-CN"/>
              </w:rPr>
              <w:t>全量巡检</w:t>
            </w:r>
            <w:r>
              <w:t>是</w:t>
            </w:r>
            <w:r>
              <w:rPr>
                <w:rFonts w:hint="eastAsia"/>
                <w:lang w:val="en-US" w:eastAsia="zh-CN"/>
              </w:rPr>
              <w:t>针对所有对象的扫描，由于广域本身架构，如果该桶存储在a地域，则对象索引都会存储在该地域，因此全量巡检会在每个地域都执行，如果该地域有多台机器，则会进行选主，由主节点进行全量扫描，同时为了避免其他地域在执行全量扫描时候会重复扫描增量扫描的checkpoint，因此会同步该checkpoint到各个地域节点，再将checkpoint广播到各个地域，具体全量巡检流程图如下</w:t>
            </w:r>
            <w:r>
              <w:t>。</w:t>
            </w:r>
          </w:p>
          <w:p w14:paraId="257E9BED">
            <w:pPr>
              <w:bidi w:val="0"/>
              <w:rPr>
                <w:rFonts w:hint="eastAsia" w:eastAsiaTheme="minorEastAsia"/>
                <w:lang w:eastAsia="zh-CN"/>
              </w:rPr>
            </w:pPr>
            <w:bookmarkStart w:id="0" w:name="agent"/>
            <w:r>
              <w:rPr>
                <w:rFonts w:hint="eastAsia" w:eastAsiaTheme="minorEastAsia"/>
                <w:lang w:eastAsia="zh-CN"/>
              </w:rPr>
              <w:drawing>
                <wp:inline distT="0" distB="0" distL="114300" distR="114300">
                  <wp:extent cx="5060950" cy="2000885"/>
                  <wp:effectExtent l="0" t="0" r="6350" b="18415"/>
                  <wp:docPr id="1" name="图片 1" descr="whiteboard_exported_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hiteboard_exported_image (31)"/>
                          <pic:cNvPicPr>
                            <a:picLocks noChangeAspect="1"/>
                          </pic:cNvPicPr>
                        </pic:nvPicPr>
                        <pic:blipFill>
                          <a:blip r:embed="rId5"/>
                          <a:stretch>
                            <a:fillRect/>
                          </a:stretch>
                        </pic:blipFill>
                        <pic:spPr>
                          <a:xfrm>
                            <a:off x="0" y="0"/>
                            <a:ext cx="5060950" cy="2000885"/>
                          </a:xfrm>
                          <a:prstGeom prst="rect">
                            <a:avLst/>
                          </a:prstGeom>
                        </pic:spPr>
                      </pic:pic>
                    </a:graphicData>
                  </a:graphic>
                </wp:inline>
              </w:drawing>
            </w:r>
          </w:p>
          <w:p w14:paraId="22118A94">
            <w:pPr>
              <w:bidi w:val="0"/>
              <w:jc w:val="left"/>
              <w:rPr>
                <w:rFonts w:hint="eastAsia"/>
                <w:lang w:val="en-US" w:eastAsia="zh-CN"/>
              </w:rPr>
            </w:pPr>
            <w:r>
              <w:rPr>
                <w:rFonts w:hint="eastAsia"/>
                <w:lang w:val="en-US" w:eastAsia="zh-CN"/>
              </w:rPr>
              <w:t>增量巡检主要是对全量巡检的补充，每个地域的每台机器都会运行；广域分布式存储由ba_yig、ba_stat、ba_lc、ba_gc四部分组成，其中涉及容量更改的日志主要是ba_yig和ba_lc两部分日志</w:t>
            </w:r>
            <w:r>
              <w:t>，</w:t>
            </w:r>
            <w:r>
              <w:rPr>
                <w:rFonts w:hint="eastAsia"/>
                <w:lang w:val="en-US" w:eastAsia="zh-CN"/>
              </w:rPr>
              <w:t>增量巡检会针对扫描这两个日志，聚集每次容量的变化，并定期同步扫描的checkpoint，同一地域会有多台机器部署，由于负载均衡，每台机器可能都会收到请求，因此每台机器都需要执行增量扫描，具体增量巡检流程可参考下面流程图。</w:t>
            </w:r>
          </w:p>
          <w:p w14:paraId="4EC5422B">
            <w:pPr>
              <w:bidi w:val="0"/>
              <w:jc w:val="left"/>
              <w:rPr>
                <w:rFonts w:hint="eastAsia"/>
                <w:lang w:val="en-US" w:eastAsia="zh-CN"/>
              </w:rPr>
            </w:pPr>
            <w:r>
              <w:rPr>
                <w:rFonts w:hint="eastAsia"/>
                <w:lang w:val="en-US" w:eastAsia="zh-CN"/>
              </w:rPr>
              <w:br w:type="textWrapping"/>
            </w:r>
            <w:r>
              <w:rPr>
                <w:rFonts w:hint="eastAsia"/>
                <w:lang w:val="en-US" w:eastAsia="zh-CN"/>
              </w:rPr>
              <w:drawing>
                <wp:inline distT="0" distB="0" distL="114300" distR="114300">
                  <wp:extent cx="5139055" cy="2341880"/>
                  <wp:effectExtent l="0" t="0" r="4445" b="1270"/>
                  <wp:docPr id="2" name="图片 2" descr="whiteboard_exported_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hiteboard_exported_image (32)"/>
                          <pic:cNvPicPr>
                            <a:picLocks noChangeAspect="1"/>
                          </pic:cNvPicPr>
                        </pic:nvPicPr>
                        <pic:blipFill>
                          <a:blip r:embed="rId6"/>
                          <a:stretch>
                            <a:fillRect/>
                          </a:stretch>
                        </pic:blipFill>
                        <pic:spPr>
                          <a:xfrm>
                            <a:off x="0" y="0"/>
                            <a:ext cx="5139055" cy="2341880"/>
                          </a:xfrm>
                          <a:prstGeom prst="rect">
                            <a:avLst/>
                          </a:prstGeom>
                        </pic:spPr>
                      </pic:pic>
                    </a:graphicData>
                  </a:graphic>
                </wp:inline>
              </w:drawing>
            </w:r>
            <w:r>
              <w:rPr>
                <w:rFonts w:hint="eastAsia"/>
                <w:lang w:val="en-US" w:eastAsia="zh-CN"/>
              </w:rPr>
              <w:br w:type="textWrapping"/>
            </w:r>
            <w:bookmarkEnd w:id="0"/>
            <w:r>
              <w:rPr>
                <w:rFonts w:hint="eastAsia"/>
                <w:lang w:val="en-US" w:eastAsia="zh-CN"/>
              </w:rPr>
              <w:t>全量巡检是一周执行一次，而增量巡检则是每天执行一次，具体执行流程如下：</w:t>
            </w:r>
            <w:r>
              <w:rPr>
                <w:rFonts w:hint="eastAsia"/>
                <w:lang w:val="en-US" w:eastAsia="zh-CN"/>
              </w:rPr>
              <w:br w:type="textWrapping"/>
            </w:r>
            <w:r>
              <w:rPr>
                <w:rFonts w:hint="eastAsia"/>
                <w:lang w:val="en-US" w:eastAsia="zh-CN"/>
              </w:rPr>
              <w:t>第一阶段：各个地域主节点选举与全量巡检协同流程</w:t>
            </w:r>
          </w:p>
          <w:p w14:paraId="08C74D67">
            <w:pPr>
              <w:bidi w:val="0"/>
              <w:jc w:val="left"/>
              <w:rPr>
                <w:rFonts w:hint="eastAsia"/>
                <w:lang w:val="en-US" w:eastAsia="zh-CN"/>
              </w:rPr>
            </w:pPr>
            <w:r>
              <w:rPr>
                <w:rFonts w:hint="eastAsia"/>
                <w:lang w:val="en-US" w:eastAsia="zh-CN"/>
              </w:rPr>
              <w:t>步骤1：地域内主节点选举与初始化</w:t>
            </w:r>
          </w:p>
          <w:p w14:paraId="60BFF1CD">
            <w:pPr>
              <w:numPr>
                <w:ilvl w:val="0"/>
                <w:numId w:val="5"/>
              </w:numPr>
              <w:bidi w:val="0"/>
              <w:rPr>
                <w:rFonts w:hint="eastAsia"/>
                <w:lang w:val="en-US" w:eastAsia="zh-CN"/>
              </w:rPr>
            </w:pPr>
            <w:r>
              <w:rPr>
                <w:rFonts w:hint="eastAsia"/>
                <w:lang w:val="en-US" w:eastAsia="zh-CN"/>
              </w:rPr>
              <w:t>地域内所有存储节点（包括主节点与从节点）周期性通过心跳包（含节点负载、磁盘可用空间等信息）向集群广播状态；</w:t>
            </w:r>
          </w:p>
          <w:p w14:paraId="32058370">
            <w:pPr>
              <w:numPr>
                <w:ilvl w:val="0"/>
                <w:numId w:val="5"/>
              </w:numPr>
              <w:bidi w:val="0"/>
              <w:rPr>
                <w:rFonts w:hint="eastAsia"/>
                <w:lang w:val="en-US" w:eastAsia="zh-CN"/>
              </w:rPr>
            </w:pPr>
            <w:r>
              <w:rPr>
                <w:rFonts w:hint="default"/>
                <w:lang w:val="en-US" w:eastAsia="zh-CN"/>
              </w:rPr>
              <w:t>当主节点失效（连续3个心跳周期无响应）或集群初始化时，触发选举：候选节点通过原子操作（CAS）竞争主节点锁（存储于分布式键值存储etcd中），成功者成为新主节点并同步更新集群元数据；</w:t>
            </w:r>
          </w:p>
          <w:p w14:paraId="25E127F9">
            <w:pPr>
              <w:numPr>
                <w:ilvl w:val="0"/>
                <w:numId w:val="5"/>
              </w:numPr>
              <w:bidi w:val="0"/>
              <w:rPr>
                <w:rFonts w:hint="eastAsia"/>
                <w:lang w:val="en-US" w:eastAsia="zh-CN"/>
              </w:rPr>
            </w:pPr>
            <w:r>
              <w:rPr>
                <w:rFonts w:hint="default"/>
                <w:lang w:val="en-US" w:eastAsia="zh-CN"/>
              </w:rPr>
              <w:t>主节点初始化时，加载本地存储的全局元数据（包含地域Bucket索引映射表、</w:t>
            </w:r>
            <w:r>
              <w:rPr>
                <w:rFonts w:hint="eastAsia"/>
                <w:lang w:val="en-US" w:eastAsia="zh-CN"/>
              </w:rPr>
              <w:t>所有文件的</w:t>
            </w:r>
            <w:r>
              <w:rPr>
                <w:rFonts w:hint="default"/>
                <w:lang w:val="en-US" w:eastAsia="zh-CN"/>
              </w:rPr>
              <w:t>Checkpoint），并与地域中心缓存（Region Cache）完成初始同步，确保主节点状态与全局一致。</w:t>
            </w:r>
          </w:p>
          <w:p w14:paraId="61F636AD">
            <w:pPr>
              <w:bidi w:val="0"/>
              <w:jc w:val="left"/>
              <w:rPr>
                <w:rFonts w:hint="eastAsia"/>
                <w:lang w:val="en-US" w:eastAsia="zh-CN"/>
              </w:rPr>
            </w:pPr>
          </w:p>
          <w:p w14:paraId="15D58665">
            <w:pPr>
              <w:bidi w:val="0"/>
              <w:jc w:val="left"/>
              <w:rPr>
                <w:rFonts w:hint="eastAsia"/>
                <w:lang w:val="en-US" w:eastAsia="zh-CN"/>
              </w:rPr>
            </w:pPr>
            <w:r>
              <w:rPr>
                <w:rFonts w:hint="eastAsia"/>
                <w:lang w:val="en-US" w:eastAsia="zh-CN"/>
              </w:rPr>
              <w:t>步骤2：跨地域全量Checkpoint同步与冲突解决​</w:t>
            </w:r>
          </w:p>
          <w:p w14:paraId="42FDCD96">
            <w:pPr>
              <w:numPr>
                <w:ilvl w:val="0"/>
                <w:numId w:val="6"/>
              </w:numPr>
              <w:bidi w:val="0"/>
              <w:rPr>
                <w:rFonts w:hint="eastAsia"/>
                <w:lang w:val="en-US" w:eastAsia="zh-CN"/>
              </w:rPr>
            </w:pPr>
            <w:r>
              <w:rPr>
                <w:rFonts w:hint="eastAsia"/>
                <w:lang w:val="en-US" w:eastAsia="zh-CN"/>
              </w:rPr>
              <w:t>Checkpoint拉取与校验</w:t>
            </w:r>
            <w:r>
              <w:rPr>
                <w:rFonts w:hint="default"/>
                <w:lang w:val="en-US" w:eastAsia="zh-CN"/>
              </w:rPr>
              <w:t>：主节点通过</w:t>
            </w:r>
            <w:r>
              <w:rPr>
                <w:rFonts w:hint="eastAsia"/>
                <w:lang w:val="en-US" w:eastAsia="zh-CN"/>
              </w:rPr>
              <w:t>消息队列</w:t>
            </w:r>
            <w:r>
              <w:rPr>
                <w:rFonts w:hint="default"/>
                <w:lang w:val="en-US" w:eastAsia="zh-CN"/>
              </w:rPr>
              <w:t>向其他地域主节点</w:t>
            </w:r>
            <w:r>
              <w:rPr>
                <w:rFonts w:hint="eastAsia"/>
                <w:lang w:val="en-US" w:eastAsia="zh-CN"/>
              </w:rPr>
              <w:t>广播</w:t>
            </w:r>
            <w:r>
              <w:rPr>
                <w:rFonts w:hint="default"/>
                <w:lang w:val="en-US" w:eastAsia="zh-CN"/>
              </w:rPr>
              <w:t>Checkpoint同步请求（携带当前地域ID、当前时间戳T1及本地最新Checkpoint</w:t>
            </w:r>
            <w:r>
              <w:rPr>
                <w:rFonts w:hint="eastAsia"/>
                <w:lang w:val="en-US" w:eastAsia="zh-CN"/>
              </w:rPr>
              <w:t>、更新的Bucket</w:t>
            </w:r>
            <w:r>
              <w:rPr>
                <w:rFonts w:hint="default"/>
                <w:lang w:val="en-US" w:eastAsia="zh-CN"/>
              </w:rPr>
              <w:t>）；</w:t>
            </w:r>
            <w:r>
              <w:rPr>
                <w:rFonts w:hint="eastAsia"/>
                <w:lang w:val="en-US" w:eastAsia="zh-CN"/>
              </w:rPr>
              <w:t>由于本地域仅仅会扫描本地域关联的Bucket，其他地域直接更新接受到的</w:t>
            </w:r>
            <w:r>
              <w:rPr>
                <w:rFonts w:hint="default"/>
                <w:lang w:val="en-US" w:eastAsia="zh-CN"/>
              </w:rPr>
              <w:t>Checkpoint</w:t>
            </w:r>
            <w:r>
              <w:rPr>
                <w:rFonts w:hint="eastAsia"/>
                <w:lang w:val="en-US" w:eastAsia="zh-CN"/>
              </w:rPr>
              <w:t>即可，而无需比较</w:t>
            </w:r>
            <w:r>
              <w:rPr>
                <w:rFonts w:hint="default"/>
                <w:lang w:val="en-US" w:eastAsia="zh-CN"/>
              </w:rPr>
              <w:t>；</w:t>
            </w:r>
          </w:p>
          <w:p w14:paraId="7F9A96A8">
            <w:pPr>
              <w:numPr>
                <w:ilvl w:val="0"/>
                <w:numId w:val="6"/>
              </w:numPr>
              <w:bidi w:val="0"/>
              <w:rPr>
                <w:rFonts w:hint="eastAsia"/>
                <w:lang w:val="en-US" w:eastAsia="zh-CN"/>
              </w:rPr>
            </w:pPr>
            <w:r>
              <w:rPr>
                <w:rFonts w:hint="eastAsia"/>
                <w:lang w:val="en-US" w:eastAsia="zh-CN"/>
              </w:rPr>
              <w:t>Checkpoint聚集统一发送</w:t>
            </w:r>
            <w:r>
              <w:rPr>
                <w:rFonts w:hint="default"/>
                <w:lang w:val="en-US" w:eastAsia="zh-CN"/>
              </w:rPr>
              <w:t>：主节点</w:t>
            </w:r>
            <w:r>
              <w:rPr>
                <w:rFonts w:hint="eastAsia"/>
                <w:lang w:val="en-US" w:eastAsia="zh-CN"/>
              </w:rPr>
              <w:t>执行全量扫描后，为避免扫描一个Bucket广播一次，会将同一地域的Bucket统一打包广播到各个地域节点的缓存中心中；</w:t>
            </w:r>
          </w:p>
          <w:p w14:paraId="4FAFFE7B">
            <w:pPr>
              <w:numPr>
                <w:ilvl w:val="0"/>
                <w:numId w:val="6"/>
              </w:numPr>
              <w:bidi w:val="0"/>
              <w:rPr>
                <w:rFonts w:hint="eastAsia"/>
                <w:lang w:val="en-US" w:eastAsia="zh-CN"/>
              </w:rPr>
            </w:pPr>
            <w:r>
              <w:rPr>
                <w:rFonts w:hint="eastAsia"/>
                <w:lang w:val="en-US" w:eastAsia="zh-CN"/>
              </w:rPr>
              <w:t>版本冲突解决：主节点基于“版本号优先+时间戳兜底”策略校验跨地域Checkpoint：若V_remote &gt; V_local，则采用远程Checkpoint；若版本号相同但T_remote &gt; T_local，则以时间戳更大的版本为准；</w:t>
            </w:r>
          </w:p>
          <w:p w14:paraId="1342CA22">
            <w:pPr>
              <w:numPr>
                <w:ilvl w:val="0"/>
                <w:numId w:val="6"/>
              </w:numPr>
              <w:bidi w:val="0"/>
              <w:rPr>
                <w:rFonts w:hint="eastAsia"/>
                <w:lang w:val="en-US" w:eastAsia="zh-CN"/>
              </w:rPr>
            </w:pPr>
            <w:r>
              <w:rPr>
                <w:rFonts w:hint="default"/>
                <w:lang w:val="en-US" w:eastAsia="zh-CN"/>
              </w:rPr>
              <w:t>本地缓存预热：主节点将最终确认的全量Checkpoint解析为键值对（</w:t>
            </w:r>
            <w:r>
              <w:rPr>
                <w:rFonts w:hint="eastAsia"/>
                <w:lang w:val="en-US" w:eastAsia="zh-CN"/>
              </w:rPr>
              <w:t>Bucket-&gt;scanTime</w:t>
            </w:r>
            <w:r>
              <w:rPr>
                <w:rFonts w:hint="default"/>
                <w:lang w:val="en-US" w:eastAsia="zh-CN"/>
              </w:rPr>
              <w:t>），写入</w:t>
            </w:r>
            <w:r>
              <w:rPr>
                <w:rFonts w:hint="eastAsia"/>
                <w:lang w:val="en-US" w:eastAsia="zh-CN"/>
              </w:rPr>
              <w:t>该地域中心缓存中，最后由该地域各节点同步至</w:t>
            </w:r>
            <w:r>
              <w:rPr>
                <w:rFonts w:hint="default"/>
                <w:lang w:val="en-US" w:eastAsia="zh-CN"/>
              </w:rPr>
              <w:t>本地缓存</w:t>
            </w:r>
            <w:r>
              <w:rPr>
                <w:rFonts w:hint="eastAsia"/>
                <w:lang w:val="en-US" w:eastAsia="zh-CN"/>
              </w:rPr>
              <w:t>中。</w:t>
            </w:r>
          </w:p>
          <w:p w14:paraId="084CF9DB">
            <w:pPr>
              <w:numPr>
                <w:ilvl w:val="0"/>
                <w:numId w:val="0"/>
              </w:numPr>
              <w:bidi w:val="0"/>
              <w:rPr>
                <w:rFonts w:hint="default"/>
                <w:lang w:val="en-US" w:eastAsia="zh-CN"/>
              </w:rPr>
            </w:pPr>
          </w:p>
          <w:p w14:paraId="6C2B1DA7">
            <w:pPr>
              <w:numPr>
                <w:ilvl w:val="0"/>
                <w:numId w:val="0"/>
              </w:numPr>
              <w:bidi w:val="0"/>
              <w:rPr>
                <w:rFonts w:hint="default"/>
                <w:lang w:val="en-US" w:eastAsia="zh-CN"/>
              </w:rPr>
            </w:pPr>
            <w:r>
              <w:rPr>
                <w:rFonts w:hint="default"/>
                <w:lang w:val="en-US" w:eastAsia="zh-CN"/>
              </w:rPr>
              <w:t>步骤3：</w:t>
            </w:r>
            <w:r>
              <w:rPr>
                <w:rFonts w:hint="eastAsia"/>
                <w:lang w:val="en-US" w:eastAsia="zh-CN"/>
              </w:rPr>
              <w:t>主节点</w:t>
            </w:r>
            <w:r>
              <w:rPr>
                <w:rFonts w:hint="default"/>
                <w:lang w:val="en-US" w:eastAsia="zh-CN"/>
              </w:rPr>
              <w:t>全量扫描任务调度与执行​</w:t>
            </w:r>
          </w:p>
          <w:p w14:paraId="7AE8EABF">
            <w:pPr>
              <w:numPr>
                <w:ilvl w:val="0"/>
                <w:numId w:val="7"/>
              </w:numPr>
              <w:bidi w:val="0"/>
              <w:rPr>
                <w:rFonts w:hint="default"/>
                <w:lang w:val="en-US" w:eastAsia="zh-CN"/>
              </w:rPr>
            </w:pPr>
            <w:r>
              <w:rPr>
                <w:rFonts w:hint="eastAsia"/>
                <w:lang w:val="en-US" w:eastAsia="zh-CN"/>
              </w:rPr>
              <w:t>扫描范围限定：根据本地存储的地域Bucket索引映射表（如廊坊地域对应Bucket_A、Bucket_B），筛选当前地域所属的Bucket集合S，生成本次扫描的白名单；</w:t>
            </w:r>
          </w:p>
          <w:p w14:paraId="288D482E">
            <w:pPr>
              <w:numPr>
                <w:ilvl w:val="0"/>
                <w:numId w:val="7"/>
              </w:numPr>
              <w:bidi w:val="0"/>
              <w:rPr>
                <w:rFonts w:hint="default"/>
                <w:lang w:val="en-US" w:eastAsia="zh-CN"/>
              </w:rPr>
            </w:pPr>
            <w:r>
              <w:rPr>
                <w:rFonts w:hint="eastAsia"/>
                <w:lang w:val="en-US" w:eastAsia="zh-CN"/>
              </w:rPr>
              <w:t>增量差异检测：对比本地内存缓存（Local Cache）与最新全量Checkpoint（V_max）的容量值，若差异超过阈值（如±5%或绝对差值&gt;1GB），则触发全量扫描；否则跳过本次扫描并记录“无变化”日志；</w:t>
            </w:r>
          </w:p>
          <w:p w14:paraId="51DE0FDB">
            <w:pPr>
              <w:numPr>
                <w:ilvl w:val="0"/>
                <w:numId w:val="7"/>
              </w:numPr>
              <w:bidi w:val="0"/>
              <w:rPr>
                <w:rFonts w:hint="default"/>
                <w:lang w:val="en-US" w:eastAsia="zh-CN"/>
              </w:rPr>
            </w:pPr>
            <w:r>
              <w:rPr>
                <w:rFonts w:hint="eastAsia"/>
                <w:lang w:val="en-US" w:eastAsia="zh-CN"/>
              </w:rPr>
              <w:t>全量扫描执行：遍历集合S中每个Bucket的元数据，统计各Bucket的当前总容量（对象大小之和），生成本次扫描的bucket容量集合记录S(Capacity)</w:t>
            </w:r>
          </w:p>
          <w:p w14:paraId="5BA00075">
            <w:pPr>
              <w:numPr>
                <w:ilvl w:val="0"/>
                <w:numId w:val="7"/>
              </w:numPr>
              <w:bidi w:val="0"/>
              <w:rPr>
                <w:rFonts w:hint="default"/>
                <w:lang w:val="en-US" w:eastAsia="zh-CN"/>
              </w:rPr>
            </w:pPr>
            <w:r>
              <w:rPr>
                <w:rFonts w:hint="eastAsia"/>
                <w:lang w:val="en-US" w:eastAsia="zh-CN"/>
              </w:rPr>
              <w:t>扫描结果校验：将S(Capacity)与本地磁盘持久化存储的桶容量记录H(Capacity)比对，若连续3次扫描差异均异常（如持续增长但无新增对象），则标记该Bucket为“异常桶”并触发告警。</w:t>
            </w:r>
          </w:p>
          <w:p w14:paraId="2543C83E">
            <w:pPr>
              <w:widowControl w:val="0"/>
              <w:numPr>
                <w:ilvl w:val="0"/>
                <w:numId w:val="0"/>
              </w:numPr>
              <w:bidi w:val="0"/>
              <w:jc w:val="both"/>
              <w:rPr>
                <w:rFonts w:ascii="宋体" w:hAnsi="宋体" w:eastAsia="宋体" w:cs="宋体"/>
                <w:sz w:val="24"/>
                <w:szCs w:val="24"/>
              </w:rPr>
            </w:pPr>
          </w:p>
          <w:p w14:paraId="59E8B1C3">
            <w:pPr>
              <w:numPr>
                <w:ilvl w:val="0"/>
                <w:numId w:val="0"/>
              </w:numPr>
              <w:bidi w:val="0"/>
              <w:rPr>
                <w:rFonts w:hint="default"/>
                <w:lang w:val="en-US" w:eastAsia="zh-CN"/>
              </w:rPr>
            </w:pPr>
            <w:r>
              <w:rPr>
                <w:rFonts w:hint="default"/>
                <w:lang w:val="en-US" w:eastAsia="zh-CN"/>
              </w:rPr>
              <w:t>第二阶段：</w:t>
            </w:r>
            <w:r>
              <w:rPr>
                <w:rFonts w:hint="eastAsia"/>
                <w:lang w:val="en-US" w:eastAsia="zh-CN"/>
              </w:rPr>
              <w:t>每个</w:t>
            </w:r>
            <w:r>
              <w:rPr>
                <w:rFonts w:hint="default"/>
                <w:lang w:val="en-US" w:eastAsia="zh-CN"/>
              </w:rPr>
              <w:t>地域节点增量扫描执行流程</w:t>
            </w:r>
          </w:p>
          <w:p w14:paraId="4E72DFC3">
            <w:pPr>
              <w:numPr>
                <w:ilvl w:val="0"/>
                <w:numId w:val="0"/>
              </w:numPr>
              <w:bidi w:val="0"/>
              <w:rPr>
                <w:rFonts w:hint="default"/>
                <w:lang w:val="en-US" w:eastAsia="zh-CN"/>
              </w:rPr>
            </w:pPr>
            <w:r>
              <w:rPr>
                <w:rFonts w:hint="default"/>
                <w:lang w:val="en-US" w:eastAsia="zh-CN"/>
              </w:rPr>
              <w:t>步骤1：日志处理器初始化与Checkpoint加载​​</w:t>
            </w:r>
          </w:p>
          <w:p w14:paraId="79E0B5B6">
            <w:pPr>
              <w:numPr>
                <w:ilvl w:val="0"/>
                <w:numId w:val="0"/>
              </w:numPr>
              <w:bidi w:val="0"/>
              <w:rPr>
                <w:rFonts w:hint="default"/>
                <w:lang w:val="en-US" w:eastAsia="zh-CN"/>
              </w:rPr>
            </w:pPr>
            <w:r>
              <w:rPr>
                <w:rFonts w:hint="default"/>
                <w:lang w:val="en-US" w:eastAsia="zh-CN"/>
              </w:rPr>
              <w:t>地域节点启动时，</w:t>
            </w:r>
            <w:r>
              <w:rPr>
                <w:rFonts w:hint="eastAsia"/>
                <w:lang w:val="en-US" w:eastAsia="zh-CN"/>
              </w:rPr>
              <w:t>会</w:t>
            </w:r>
            <w:r>
              <w:rPr>
                <w:rFonts w:hint="default"/>
                <w:lang w:val="en-US" w:eastAsia="zh-CN"/>
              </w:rPr>
              <w:t>初始化两类专用日志处理器，并加载最新日志扫描位置：</w:t>
            </w:r>
          </w:p>
          <w:p w14:paraId="77D5B391">
            <w:pPr>
              <w:numPr>
                <w:ilvl w:val="0"/>
                <w:numId w:val="8"/>
              </w:numPr>
              <w:bidi w:val="0"/>
              <w:rPr>
                <w:rFonts w:hint="eastAsia"/>
                <w:lang w:val="en-US" w:eastAsia="zh-CN"/>
              </w:rPr>
            </w:pPr>
            <w:r>
              <w:rPr>
                <w:rFonts w:hint="eastAsia"/>
                <w:lang w:val="en-US" w:eastAsia="zh-CN"/>
              </w:rPr>
              <w:t>ba_yig处理器：针对s3操作格式存储日志（记录对象上传、删除、迁移等操作），初始化时从地域中心缓存（Region Cache）拉取最新Log Checkpoint（含文件偏移量Offset、最后扫描时间戳T_last）；</w:t>
            </w:r>
          </w:p>
          <w:p w14:paraId="59736388">
            <w:pPr>
              <w:numPr>
                <w:ilvl w:val="0"/>
                <w:numId w:val="8"/>
              </w:numPr>
              <w:bidi w:val="0"/>
              <w:rPr>
                <w:rFonts w:ascii="宋体" w:hAnsi="宋体" w:eastAsia="宋体" w:cs="宋体"/>
                <w:sz w:val="24"/>
                <w:szCs w:val="24"/>
              </w:rPr>
            </w:pPr>
            <w:r>
              <w:rPr>
                <w:rFonts w:hint="eastAsia"/>
                <w:lang w:val="en-US" w:eastAsia="zh-CN"/>
              </w:rPr>
              <w:t>ba_lc处理器：针对LC格式生命周期管理日志（记录对象过期、自动删除、信控删除等操作），同理拉取Log Checkpoint（含文件偏移量Offset_lc、最后扫描时间戳T_lc_last）；</w:t>
            </w:r>
          </w:p>
          <w:p w14:paraId="4786D31B">
            <w:pPr>
              <w:numPr>
                <w:ilvl w:val="0"/>
                <w:numId w:val="8"/>
              </w:numPr>
              <w:bidi w:val="0"/>
              <w:rPr>
                <w:rFonts w:hint="eastAsia"/>
                <w:lang w:val="en-US" w:eastAsia="zh-CN"/>
              </w:rPr>
            </w:pPr>
            <w:r>
              <w:rPr>
                <w:rFonts w:hint="eastAsia"/>
                <w:lang w:val="en-US" w:eastAsia="zh-CN"/>
              </w:rPr>
              <w:t>处理器将加载的Checkpoint写入本地内存缓存，作为增量扫描的起始基准。</w:t>
            </w:r>
          </w:p>
          <w:p w14:paraId="4DF9002F">
            <w:pPr>
              <w:widowControl w:val="0"/>
              <w:numPr>
                <w:ilvl w:val="0"/>
                <w:numId w:val="0"/>
              </w:numPr>
              <w:bidi w:val="0"/>
              <w:jc w:val="both"/>
              <w:rPr>
                <w:rFonts w:ascii="宋体" w:hAnsi="宋体" w:eastAsia="宋体" w:cs="宋体"/>
                <w:sz w:val="24"/>
                <w:szCs w:val="24"/>
              </w:rPr>
            </w:pPr>
          </w:p>
          <w:p w14:paraId="29D8EFC5">
            <w:pPr>
              <w:numPr>
                <w:ilvl w:val="0"/>
                <w:numId w:val="0"/>
              </w:numPr>
              <w:bidi w:val="0"/>
              <w:rPr>
                <w:rFonts w:hint="default"/>
                <w:lang w:val="en-US" w:eastAsia="zh-CN"/>
              </w:rPr>
            </w:pPr>
            <w:r>
              <w:rPr>
                <w:rFonts w:hint="default"/>
                <w:lang w:val="en-US" w:eastAsia="zh-CN"/>
              </w:rPr>
              <w:t>步骤2：增量扫描触发条件与文件列表生成​</w:t>
            </w:r>
          </w:p>
          <w:p w14:paraId="01963986">
            <w:pPr>
              <w:numPr>
                <w:ilvl w:val="0"/>
                <w:numId w:val="0"/>
              </w:numPr>
              <w:bidi w:val="0"/>
              <w:rPr>
                <w:rFonts w:hint="default"/>
                <w:lang w:val="en-US" w:eastAsia="zh-CN"/>
              </w:rPr>
            </w:pPr>
            <w:r>
              <w:rPr>
                <w:rFonts w:hint="default"/>
                <w:lang w:val="en-US" w:eastAsia="zh-CN"/>
              </w:rPr>
              <w:t>增量扫描通过时间窗口驱动机制触发，确保覆盖所有未处理的容量变化事件：</w:t>
            </w:r>
          </w:p>
          <w:p w14:paraId="17E32EFA">
            <w:pPr>
              <w:numPr>
                <w:ilvl w:val="0"/>
                <w:numId w:val="9"/>
              </w:numPr>
              <w:bidi w:val="0"/>
              <w:rPr>
                <w:rFonts w:hint="eastAsia"/>
                <w:lang w:val="en-US" w:eastAsia="zh-CN"/>
              </w:rPr>
            </w:pPr>
            <w:r>
              <w:rPr>
                <w:rFonts w:hint="eastAsia"/>
                <w:lang w:val="en-US" w:eastAsia="zh-CN"/>
              </w:rPr>
              <w:t>时间窗口触发：当前时间T_now与上一次增量扫描结束时间T_last的间隔超过预设阈值（如24小时），触发定期增量扫描；</w:t>
            </w:r>
          </w:p>
          <w:p w14:paraId="778B7625">
            <w:pPr>
              <w:numPr>
                <w:ilvl w:val="0"/>
                <w:numId w:val="9"/>
              </w:numPr>
              <w:bidi w:val="0"/>
              <w:rPr>
                <w:rFonts w:hint="eastAsia"/>
                <w:lang w:val="en-US" w:eastAsia="zh-CN"/>
              </w:rPr>
            </w:pPr>
            <w:r>
              <w:rPr>
                <w:rFonts w:hint="eastAsia"/>
                <w:lang w:val="en-US" w:eastAsia="zh-CN"/>
              </w:rPr>
              <w:t>文件列表筛选：根据时间窗口筛选待扫描日志文件：对于ba_yig处理器，筛选文件名格式为“ba_yig_log_YYYYMMDD_HHMMSS.log.gz”且时间戳在[T_yig_last, T_now]范围内的文件；对于ba_lc处理器，同理筛选“ba_lc_log_YYYYMMDD_HHMMSS.log.gz”文件；排除已标记为“已扫描”的文件（通过文件file log checkpoint来记录上一次扫描文件位置）。</w:t>
            </w:r>
          </w:p>
          <w:p w14:paraId="405978A0">
            <w:pPr>
              <w:widowControl w:val="0"/>
              <w:numPr>
                <w:ilvl w:val="0"/>
                <w:numId w:val="0"/>
              </w:numPr>
              <w:bidi w:val="0"/>
              <w:jc w:val="both"/>
            </w:pPr>
          </w:p>
          <w:p w14:paraId="5C029B82">
            <w:pPr>
              <w:numPr>
                <w:ilvl w:val="0"/>
                <w:numId w:val="0"/>
              </w:numPr>
              <w:bidi w:val="0"/>
              <w:rPr>
                <w:rFonts w:hint="default"/>
                <w:lang w:val="en-US" w:eastAsia="zh-CN"/>
              </w:rPr>
            </w:pPr>
            <w:r>
              <w:rPr>
                <w:rFonts w:hint="default"/>
                <w:lang w:val="en-US" w:eastAsia="zh-CN"/>
              </w:rPr>
              <w:t>步骤3：日志增量解析与容量变化统计​</w:t>
            </w:r>
          </w:p>
          <w:p w14:paraId="118129F5">
            <w:pPr>
              <w:numPr>
                <w:ilvl w:val="0"/>
                <w:numId w:val="0"/>
              </w:numPr>
              <w:bidi w:val="0"/>
              <w:rPr>
                <w:rFonts w:hint="default"/>
                <w:lang w:val="en-US" w:eastAsia="zh-CN"/>
              </w:rPr>
            </w:pPr>
            <w:r>
              <w:rPr>
                <w:rFonts w:hint="default"/>
                <w:lang w:val="en-US" w:eastAsia="zh-CN"/>
              </w:rPr>
              <w:t>对筛选出的日志文件，执行逐行解析与容量变化统计，确保精准捕获对象操作事件</w:t>
            </w:r>
          </w:p>
          <w:p w14:paraId="138EAEA9">
            <w:pPr>
              <w:numPr>
                <w:ilvl w:val="0"/>
                <w:numId w:val="10"/>
              </w:numPr>
              <w:bidi w:val="0"/>
              <w:rPr>
                <w:rFonts w:hint="default"/>
                <w:lang w:val="en-US" w:eastAsia="zh-CN"/>
              </w:rPr>
            </w:pPr>
            <w:r>
              <w:rPr>
                <w:rFonts w:hint="eastAsia"/>
                <w:lang w:val="en-US" w:eastAsia="zh-CN"/>
              </w:rPr>
              <w:t>日志偏移量定位：从本地缓存中获取当前日志文件的扫描位置（Offset），定位至该偏移量后开始顺序扫描，每扫描一次将扫描的位置保存至本地缓存中；</w:t>
            </w:r>
          </w:p>
          <w:p w14:paraId="4E2D5B31">
            <w:pPr>
              <w:numPr>
                <w:ilvl w:val="0"/>
                <w:numId w:val="10"/>
              </w:numPr>
              <w:bidi w:val="0"/>
              <w:rPr>
                <w:rFonts w:hint="default"/>
                <w:lang w:val="en-US" w:eastAsia="zh-CN"/>
              </w:rPr>
            </w:pPr>
            <w:r>
              <w:rPr>
                <w:rFonts w:hint="eastAsia"/>
                <w:lang w:val="en-US" w:eastAsia="zh-CN"/>
              </w:rPr>
              <w:t>操作类型识别：基于正则表达式匹配日志行内容：对于PUT操作（如operation:PutObject, bucket: a,delta_info:{"langfang4":{"Usage":87026,"FileNum":1}}），提取对象大小Size并标记为“+Size”；对于DELETE操作（如operation:DeleteObject,  delta_info:{"langfang4":{"Usage":87026,"FileNum":1}}），提取对象大小Size并标记为“-Size”；对于不同地域的对象迁移操作，可能涉及不同地域容量变化如(operation:Transfer, delta_info:{"langfang4":{"Usage":-87026,"FileNum":-1},"langfang4":{"Usage":87026,"FileNum":1}}),则提取不同地域对象大小，对于LC操作（如lifecycle :bucket: a,delta_info:{"langfang4":{"Usage":-87026,"FileNum":-1}}），同理提取并标记为“-Size”；</w:t>
            </w:r>
          </w:p>
          <w:p w14:paraId="058EE1A1">
            <w:pPr>
              <w:numPr>
                <w:ilvl w:val="0"/>
                <w:numId w:val="10"/>
              </w:numPr>
              <w:bidi w:val="0"/>
              <w:rPr>
                <w:rFonts w:hint="eastAsia"/>
              </w:rPr>
            </w:pPr>
            <w:r>
              <w:rPr>
                <w:rFonts w:hint="eastAsia"/>
                <w:lang w:val="en-US" w:eastAsia="zh-CN"/>
              </w:rPr>
              <w:t>容量统计累加：将每次容量变化记录到metrics中，利用prometheus展示每次不同时间的容量变化；同时记录异常日志（如解析失败的行、未知操作类型），后续触发重试或人工干预。</w:t>
            </w:r>
          </w:p>
        </w:tc>
      </w:tr>
      <w:tr w14:paraId="29A21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861"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D0FEE1E">
            <w:pPr>
              <w:pStyle w:val="15"/>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本发明/实用新型的关键点和保护点是什么？</w:t>
            </w:r>
          </w:p>
          <w:p w14:paraId="2951A296">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填写说明：这一部分应对本发明带来有益效果的关键技术点描述，不得将已经被现有技术公开的技术点列入。</w:t>
            </w:r>
          </w:p>
        </w:tc>
      </w:tr>
      <w:tr w14:paraId="1CC9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662"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0F713F81">
            <w:pPr>
              <w:snapToGrid w:val="0"/>
              <w:spacing w:line="276" w:lineRule="auto"/>
              <w:rPr>
                <w:rFonts w:hint="eastAsia" w:ascii="宋体" w:hAnsi="宋体" w:eastAsia="宋体" w:cs="宋体"/>
                <w:sz w:val="20"/>
                <w:szCs w:val="20"/>
              </w:rPr>
            </w:pPr>
            <w:r>
              <w:rPr>
                <w:rFonts w:hint="eastAsia" w:ascii="宋体" w:hAnsi="宋体" w:eastAsia="宋体"/>
                <w:sz w:val="20"/>
                <w:szCs w:val="20"/>
                <w:lang w:val="en-US" w:eastAsia="zh-CN"/>
              </w:rPr>
              <w:t>本发明方案的容量巡检方法，在存储系统的容量巡检这个环节中，通过全量扫描和增量扫描，在保证云池可用的同时，细化巡检的颗粒度，针对用户级、桶级进行巡检，在不影响整体业务运行的情况下，能够更快的定位出是哪个用户操作了那个桶出现了容量不一致的情况。</w:t>
            </w:r>
          </w:p>
        </w:tc>
      </w:tr>
      <w:tr w14:paraId="172E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231"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6631D4A">
            <w:pPr>
              <w:pStyle w:val="15"/>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针对第三部分的技术方案，是否有其他替代方案同样能完成本发明/实用新型目的？</w:t>
            </w:r>
          </w:p>
          <w:p w14:paraId="4F2A2E00">
            <w:pPr>
              <w:snapToGrid w:val="0"/>
              <w:spacing w:line="276" w:lineRule="auto"/>
              <w:ind w:firstLine="747" w:firstLineChars="372"/>
              <w:rPr>
                <w:rFonts w:hint="eastAsia" w:ascii="宋体" w:hAnsi="宋体" w:eastAsia="宋体" w:cs="宋体"/>
                <w:b/>
                <w:bCs/>
                <w:sz w:val="20"/>
                <w:szCs w:val="20"/>
              </w:rPr>
            </w:pPr>
            <w:r>
              <w:rPr>
                <w:rFonts w:hint="eastAsia" w:ascii="宋体" w:hAnsi="宋体" w:eastAsia="宋体" w:cs="宋体"/>
                <w:b/>
                <w:bCs/>
                <w:sz w:val="20"/>
                <w:szCs w:val="20"/>
              </w:rPr>
              <w:t>有□  无</w:t>
            </w:r>
            <w:r>
              <w:rPr>
                <w:rFonts w:hint="eastAsia" w:ascii="宋体" w:hAnsi="宋体" w:eastAsia="宋体" w:cs="宋体"/>
                <w:b/>
                <w:bCs/>
                <w:sz w:val="20"/>
                <w:szCs w:val="20"/>
                <w:lang w:eastAsia="zh-CN"/>
              </w:rPr>
              <w:t>☑</w:t>
            </w:r>
            <w:r>
              <w:rPr>
                <w:rFonts w:hint="eastAsia" w:ascii="宋体" w:hAnsi="宋体" w:eastAsia="宋体" w:cs="宋体"/>
                <w:b/>
                <w:bCs/>
                <w:sz w:val="20"/>
                <w:szCs w:val="20"/>
              </w:rPr>
              <w:t xml:space="preserve"> </w:t>
            </w:r>
          </w:p>
          <w:p w14:paraId="4A7A8B5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如果有，请尽量描述详细，这将有助于扩大本发明/实用新型的保护范围，防止他人绕过本发明/实用新型而实现同样的目的；“替代方案”可以是部分结构、器件、方法步骤的替代，也可以是完整技术方案的替代。</w:t>
            </w:r>
          </w:p>
        </w:tc>
      </w:tr>
      <w:tr w14:paraId="1304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0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7106BCF">
            <w:pPr>
              <w:snapToGrid w:val="0"/>
              <w:spacing w:line="276" w:lineRule="auto"/>
              <w:rPr>
                <w:rFonts w:hint="eastAsia" w:ascii="宋体" w:hAnsi="宋体" w:eastAsia="宋体" w:cs="宋体"/>
                <w:b/>
                <w:bCs/>
                <w:sz w:val="20"/>
                <w:szCs w:val="20"/>
              </w:rPr>
            </w:pPr>
          </w:p>
        </w:tc>
      </w:tr>
      <w:tr w14:paraId="644C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90"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C0EF427">
            <w:pPr>
              <w:pStyle w:val="15"/>
              <w:numPr>
                <w:ilvl w:val="0"/>
                <w:numId w:val="1"/>
              </w:numPr>
              <w:snapToGrid w:val="0"/>
              <w:spacing w:line="276" w:lineRule="auto"/>
              <w:ind w:firstLineChars="0"/>
              <w:rPr>
                <w:rFonts w:hint="default" w:ascii="宋体" w:hAnsi="宋体" w:eastAsia="宋体" w:cs="宋体"/>
                <w:b/>
                <w:bCs/>
                <w:sz w:val="20"/>
                <w:szCs w:val="20"/>
                <w:lang w:val="en-US"/>
              </w:rPr>
            </w:pPr>
            <w:r>
              <w:rPr>
                <w:rFonts w:hint="eastAsia" w:ascii="宋体" w:hAnsi="宋体" w:eastAsia="宋体" w:cs="宋体"/>
                <w:b/>
                <w:bCs/>
                <w:sz w:val="20"/>
                <w:szCs w:val="20"/>
                <w:lang w:val="en-US" w:eastAsia="zh-CN"/>
              </w:rPr>
              <w:t>请说明</w:t>
            </w:r>
            <w:r>
              <w:rPr>
                <w:rFonts w:hint="eastAsia" w:ascii="宋体" w:hAnsi="宋体" w:eastAsia="宋体" w:cs="宋体"/>
                <w:b/>
                <w:bCs/>
                <w:sz w:val="20"/>
                <w:szCs w:val="20"/>
              </w:rPr>
              <w:t>本发明/实用新型</w:t>
            </w:r>
            <w:r>
              <w:rPr>
                <w:rFonts w:hint="eastAsia" w:ascii="宋体" w:hAnsi="宋体" w:eastAsia="宋体" w:cs="宋体"/>
                <w:b/>
                <w:bCs/>
                <w:sz w:val="20"/>
                <w:szCs w:val="20"/>
                <w:lang w:val="en-US" w:eastAsia="zh-CN"/>
              </w:rPr>
              <w:t>技术方案的落地可能性？</w:t>
            </w:r>
          </w:p>
          <w:p w14:paraId="734948E3">
            <w:pPr>
              <w:snapToGrid w:val="0"/>
              <w:spacing w:line="276" w:lineRule="auto"/>
              <w:rPr>
                <w:rFonts w:hint="eastAsia" w:ascii="宋体" w:hAnsi="宋体" w:eastAsia="宋体" w:cs="宋体"/>
                <w:sz w:val="20"/>
                <w:szCs w:val="20"/>
                <w:lang w:val="en-US" w:eastAsia="zh-CN"/>
              </w:rPr>
            </w:pPr>
            <w:r>
              <w:rPr>
                <w:rFonts w:hint="eastAsia" w:ascii="宋体" w:hAnsi="宋体" w:eastAsia="宋体" w:cs="宋体"/>
                <w:sz w:val="20"/>
                <w:szCs w:val="20"/>
              </w:rPr>
              <w:t>填写说明：</w:t>
            </w:r>
            <w:r>
              <w:rPr>
                <w:rFonts w:hint="eastAsia" w:ascii="宋体" w:hAnsi="宋体" w:eastAsia="宋体" w:cs="宋体"/>
                <w:sz w:val="20"/>
                <w:szCs w:val="20"/>
                <w:lang w:val="en-US" w:eastAsia="zh-CN"/>
              </w:rPr>
              <w:t>请分析技术方案的落地可能性并附相关说明。</w:t>
            </w:r>
          </w:p>
          <w:p w14:paraId="14218725">
            <w:pPr>
              <w:snapToGrid w:val="0"/>
              <w:spacing w:line="276" w:lineRule="auto"/>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如：已确定或计划应用于XX版本的XX产品中；或者已确定或计划纳入XX标准中。</w:t>
            </w:r>
          </w:p>
        </w:tc>
      </w:tr>
      <w:tr w14:paraId="005E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0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68CEFD66">
            <w:pPr>
              <w:snapToGrid w:val="0"/>
              <w:spacing w:line="276" w:lineRule="auto"/>
              <w:rPr>
                <w:rFonts w:hint="eastAsia" w:ascii="宋体" w:hAnsi="宋体" w:eastAsia="宋体" w:cs="宋体"/>
                <w:sz w:val="20"/>
                <w:szCs w:val="20"/>
              </w:rPr>
            </w:pPr>
            <w:r>
              <w:rPr>
                <w:rFonts w:hint="eastAsia" w:ascii="宋体" w:hAnsi="宋体" w:eastAsia="宋体" w:cs="宋体"/>
                <w:sz w:val="20"/>
                <w:szCs w:val="20"/>
                <w:lang w:val="en-US" w:eastAsia="zh-CN"/>
              </w:rPr>
              <w:t>计划应用于V2.4.0版本的广域分布式存储产品中；</w:t>
            </w:r>
          </w:p>
        </w:tc>
      </w:tr>
    </w:tbl>
    <w:p w14:paraId="7611F54A">
      <w:pPr>
        <w:snapToGrid w:val="0"/>
        <w:spacing w:line="276" w:lineRule="auto"/>
        <w:jc w:val="left"/>
        <w:rPr>
          <w:rFonts w:hint="eastAsia" w:ascii="宋体" w:hAnsi="宋体" w:eastAsia="宋体" w:cs="宋体"/>
          <w:b/>
          <w:bCs/>
          <w:kern w:val="0"/>
          <w:sz w:val="20"/>
          <w:szCs w:val="20"/>
        </w:rPr>
      </w:pPr>
      <w:r>
        <w:rPr>
          <w:rFonts w:hint="eastAsia" w:ascii="宋体" w:hAnsi="宋体" w:eastAsia="宋体" w:cs="宋体"/>
          <w:sz w:val="20"/>
          <w:szCs w:val="20"/>
        </w:rPr>
        <w:t xml:space="preserve"> </w:t>
      </w:r>
      <w:r>
        <w:rPr>
          <w:rFonts w:hint="eastAsia" w:ascii="宋体" w:hAnsi="宋体" w:eastAsia="宋体" w:cs="宋体"/>
          <w:b/>
          <w:bCs/>
          <w:kern w:val="0"/>
          <w:sz w:val="20"/>
          <w:szCs w:val="20"/>
        </w:rPr>
        <w:t>注意</w:t>
      </w:r>
      <w:r>
        <w:rPr>
          <w:rFonts w:hint="eastAsia" w:ascii="宋体" w:hAnsi="宋体" w:eastAsia="宋体" w:cs="宋体"/>
          <w:kern w:val="0"/>
          <w:sz w:val="20"/>
          <w:szCs w:val="20"/>
        </w:rPr>
        <w:t>：交底书应当对发明创造作出清楚、完整说明，术语应采用行业标准用语，公开技术必须彻底、详尽。由于专利申请文件在申请后不能对其内容进行修改，即不能改变、增加或删除，因此交底书必须充分完整。现有技术不足或存在问题、发明目的、采取的技术手段、及新技术手段带来的优点效果应统一。</w:t>
      </w:r>
      <w:r>
        <w:rPr>
          <w:rFonts w:hint="eastAsia" w:ascii="宋体" w:hAnsi="宋体" w:eastAsia="宋体" w:cs="宋体"/>
          <w:b/>
          <w:bCs/>
          <w:kern w:val="0"/>
          <w:sz w:val="20"/>
          <w:szCs w:val="20"/>
        </w:rPr>
        <w:t>尤需注意，发明创新点应是在申请专利时全世界范围内都没有公开的，如已有销售等公开行为请告知。</w:t>
      </w:r>
    </w:p>
    <w:p w14:paraId="541AFEC9">
      <w:pPr>
        <w:rPr>
          <w:rFonts w:hint="eastAsia" w:ascii="宋体" w:hAnsi="宋体" w:eastAsia="宋体" w:cs="宋体"/>
          <w:b/>
          <w:bCs/>
          <w:kern w:val="0"/>
          <w:sz w:val="20"/>
          <w:szCs w:val="20"/>
        </w:rPr>
      </w:pPr>
      <w:r>
        <w:rPr>
          <w:rFonts w:hint="eastAsia" w:ascii="宋体" w:hAnsi="宋体" w:eastAsia="宋体" w:cs="宋体"/>
          <w:b/>
          <w:bCs/>
          <w:kern w:val="0"/>
          <w:sz w:val="20"/>
          <w:szCs w:val="20"/>
        </w:rPr>
        <w:br w:type="page"/>
      </w:r>
    </w:p>
    <w:p w14:paraId="6899AA83">
      <w:pPr>
        <w:snapToGrid w:val="0"/>
        <w:spacing w:line="276" w:lineRule="auto"/>
        <w:jc w:val="left"/>
        <w:rPr>
          <w:rFonts w:hint="eastAsia" w:ascii="宋体" w:hAnsi="宋体" w:eastAsia="宋体" w:cs="宋体"/>
          <w:b/>
          <w:bCs/>
          <w:sz w:val="20"/>
          <w:szCs w:val="20"/>
        </w:rPr>
      </w:pPr>
      <w:r>
        <w:rPr>
          <w:rFonts w:hint="eastAsia" w:ascii="宋体" w:hAnsi="宋体" w:eastAsia="宋体" w:cs="宋体"/>
          <w:b/>
          <w:bCs/>
          <w:sz w:val="20"/>
          <w:szCs w:val="20"/>
          <w:shd w:val="clear" w:color="auto" w:fill="FFFFFF"/>
        </w:rPr>
        <w:t>*所有发明/实用新型专利必须进行初步检索（</w:t>
      </w:r>
      <w:r>
        <w:rPr>
          <w:rFonts w:hint="eastAsia" w:ascii="宋体" w:hAnsi="宋体" w:eastAsia="宋体" w:cs="宋体"/>
          <w:b/>
          <w:bCs/>
          <w:sz w:val="20"/>
          <w:szCs w:val="20"/>
        </w:rPr>
        <w:t>表格不够可另附页）</w:t>
      </w:r>
    </w:p>
    <w:tbl>
      <w:tblPr>
        <w:tblStyle w:val="8"/>
        <w:tblW w:w="8647" w:type="dxa"/>
        <w:tblInd w:w="-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851"/>
        <w:gridCol w:w="816"/>
        <w:gridCol w:w="318"/>
        <w:gridCol w:w="6662"/>
      </w:tblGrid>
      <w:tr w14:paraId="5AB0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55" w:hRule="atLeast"/>
        </w:trPr>
        <w:tc>
          <w:tcPr>
            <w:tcW w:w="8647" w:type="dxa"/>
            <w:gridSpan w:val="4"/>
            <w:tcBorders>
              <w:top w:val="single" w:color="000000" w:sz="8" w:space="0"/>
              <w:left w:val="single" w:color="000000" w:sz="8" w:space="0"/>
              <w:bottom w:val="single" w:color="000000" w:sz="8" w:space="0"/>
              <w:right w:val="single" w:color="000000" w:sz="8" w:space="0"/>
            </w:tcBorders>
            <w:vAlign w:val="center"/>
          </w:tcPr>
          <w:p w14:paraId="796E101C">
            <w:pPr>
              <w:snapToGrid w:val="0"/>
              <w:spacing w:line="276" w:lineRule="auto"/>
              <w:jc w:val="center"/>
              <w:rPr>
                <w:rFonts w:hint="eastAsia" w:ascii="宋体" w:hAnsi="宋体" w:eastAsia="宋体" w:cs="宋体"/>
                <w:sz w:val="20"/>
                <w:szCs w:val="20"/>
              </w:rPr>
            </w:pPr>
            <w:r>
              <w:rPr>
                <w:rFonts w:hint="eastAsia" w:ascii="宋体" w:hAnsi="宋体" w:eastAsia="宋体" w:cs="宋体"/>
                <w:b/>
                <w:bCs/>
                <w:sz w:val="36"/>
                <w:szCs w:val="36"/>
                <w:lang w:val="en-US" w:eastAsia="zh-CN"/>
              </w:rPr>
              <w:t>第二</w:t>
            </w:r>
            <w:r>
              <w:rPr>
                <w:rFonts w:hint="eastAsia" w:ascii="宋体" w:hAnsi="宋体" w:eastAsia="宋体" w:cs="宋体"/>
                <w:b/>
                <w:bCs/>
                <w:sz w:val="36"/>
                <w:szCs w:val="36"/>
              </w:rPr>
              <w:t>部分 检索报告</w:t>
            </w:r>
          </w:p>
        </w:tc>
      </w:tr>
      <w:tr w14:paraId="3CFC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55" w:hRule="atLeast"/>
        </w:trPr>
        <w:tc>
          <w:tcPr>
            <w:tcW w:w="1667" w:type="dxa"/>
            <w:gridSpan w:val="2"/>
            <w:tcBorders>
              <w:top w:val="single" w:color="000000" w:sz="8" w:space="0"/>
              <w:left w:val="single" w:color="000000" w:sz="8" w:space="0"/>
              <w:bottom w:val="single" w:color="000000" w:sz="8" w:space="0"/>
              <w:right w:val="single" w:color="000000" w:sz="8" w:space="0"/>
            </w:tcBorders>
            <w:vAlign w:val="center"/>
          </w:tcPr>
          <w:p w14:paraId="78F6D7DC">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提案名称</w:t>
            </w:r>
          </w:p>
        </w:tc>
        <w:tc>
          <w:tcPr>
            <w:tcW w:w="6980" w:type="dxa"/>
            <w:gridSpan w:val="2"/>
            <w:tcBorders>
              <w:top w:val="single" w:color="000000" w:sz="8" w:space="0"/>
              <w:left w:val="single" w:color="000000" w:sz="8" w:space="0"/>
              <w:bottom w:val="single" w:color="000000" w:sz="8" w:space="0"/>
              <w:right w:val="single" w:color="000000" w:sz="8" w:space="0"/>
            </w:tcBorders>
            <w:vAlign w:val="center"/>
          </w:tcPr>
          <w:p w14:paraId="68F94A2C">
            <w:pPr>
              <w:snapToGrid w:val="0"/>
              <w:spacing w:line="276" w:lineRule="auto"/>
              <w:rPr>
                <w:rFonts w:hint="eastAsia" w:ascii="宋体" w:hAnsi="宋体" w:eastAsia="宋体" w:cs="宋体"/>
                <w:sz w:val="20"/>
                <w:szCs w:val="20"/>
              </w:rPr>
            </w:pPr>
            <w:r>
              <w:rPr>
                <w:rFonts w:hint="eastAsia" w:ascii="宋体" w:hAnsi="宋体" w:eastAsia="宋体" w:cs="宋体"/>
                <w:b/>
                <w:bCs/>
                <w:kern w:val="2"/>
                <w:sz w:val="20"/>
                <w:szCs w:val="20"/>
                <w:lang w:val="en-US" w:eastAsia="zh-CN" w:bidi="ar-SA"/>
              </w:rPr>
              <w:t>一种广域分布式存储对象容量巡检方法</w:t>
            </w:r>
          </w:p>
        </w:tc>
      </w:tr>
      <w:tr w14:paraId="1E4A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80"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4BB084C8">
            <w:pPr>
              <w:snapToGrid w:val="0"/>
              <w:spacing w:line="276" w:lineRule="auto"/>
              <w:rPr>
                <w:rFonts w:hint="eastAsia" w:ascii="宋体" w:hAnsi="宋体" w:eastAsia="宋体" w:cs="宋体"/>
                <w:b/>
                <w:bCs/>
                <w:sz w:val="20"/>
                <w:szCs w:val="20"/>
              </w:rPr>
            </w:pPr>
            <w:r>
              <w:rPr>
                <w:rFonts w:hint="eastAsia" w:ascii="宋体" w:hAnsi="宋体" w:eastAsia="宋体" w:cs="宋体"/>
                <w:b/>
                <w:bCs/>
                <w:sz w:val="20"/>
                <w:szCs w:val="20"/>
              </w:rPr>
              <w:t>中国联通专利数据库检索结果</w:t>
            </w:r>
          </w:p>
        </w:tc>
        <w:tc>
          <w:tcPr>
            <w:tcW w:w="7796" w:type="dxa"/>
            <w:gridSpan w:val="3"/>
            <w:tcBorders>
              <w:top w:val="single" w:color="000000" w:sz="8" w:space="0"/>
              <w:left w:val="single" w:color="000000" w:sz="8" w:space="0"/>
              <w:bottom w:val="single" w:color="000000" w:sz="8" w:space="0"/>
              <w:right w:val="single" w:color="000000" w:sz="8" w:space="0"/>
            </w:tcBorders>
            <w:vAlign w:val="center"/>
          </w:tcPr>
          <w:p w14:paraId="52AA3E4B">
            <w:pPr>
              <w:snapToGrid w:val="0"/>
              <w:spacing w:line="276" w:lineRule="auto"/>
              <w:rPr>
                <w:rFonts w:hint="eastAsia" w:ascii="宋体" w:hAnsi="宋体" w:eastAsia="宋体" w:cs="宋体"/>
                <w:b/>
                <w:bCs/>
                <w:sz w:val="20"/>
                <w:szCs w:val="20"/>
              </w:rPr>
            </w:pPr>
            <w:r>
              <w:rPr>
                <w:rFonts w:hint="eastAsia" w:ascii="宋体" w:hAnsi="宋体" w:eastAsia="宋体" w:cs="宋体"/>
                <w:b/>
                <w:bCs/>
                <w:sz w:val="20"/>
                <w:szCs w:val="20"/>
              </w:rPr>
              <w:t>登录方式：集团云门户-应用中心-科技创新平台-专利服务-专利数据查询</w:t>
            </w:r>
          </w:p>
        </w:tc>
      </w:tr>
      <w:tr w14:paraId="65C76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47"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6AA5F604">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57869B16">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检索关键词</w:t>
            </w:r>
          </w:p>
        </w:tc>
        <w:tc>
          <w:tcPr>
            <w:tcW w:w="6662" w:type="dxa"/>
            <w:tcBorders>
              <w:top w:val="single" w:color="000000" w:sz="8" w:space="0"/>
              <w:left w:val="single" w:color="000000" w:sz="8" w:space="0"/>
              <w:bottom w:val="single" w:color="000000" w:sz="8" w:space="0"/>
              <w:right w:val="single" w:color="000000" w:sz="8" w:space="0"/>
            </w:tcBorders>
            <w:vAlign w:val="center"/>
          </w:tcPr>
          <w:p w14:paraId="302DEDD0">
            <w:pPr>
              <w:snapToGrid w:val="0"/>
              <w:spacing w:line="276" w:lineRule="auto"/>
              <w:rPr>
                <w:rFonts w:hint="default" w:ascii="宋体" w:hAnsi="宋体" w:eastAsia="宋体"/>
                <w:sz w:val="20"/>
                <w:szCs w:val="20"/>
                <w:lang w:val="en-US" w:eastAsia="zh-CN"/>
              </w:rPr>
            </w:pPr>
            <w:r>
              <w:rPr>
                <w:rFonts w:hint="eastAsia" w:ascii="宋体" w:hAnsi="宋体" w:eastAsia="宋体"/>
                <w:sz w:val="20"/>
                <w:szCs w:val="20"/>
                <w:lang w:val="en-US" w:eastAsia="zh-CN"/>
              </w:rPr>
              <w:t>分布式：</w:t>
            </w:r>
          </w:p>
          <w:p w14:paraId="2180AF08">
            <w:pPr>
              <w:snapToGrid w:val="0"/>
              <w:spacing w:line="276" w:lineRule="auto"/>
              <w:rPr>
                <w:rFonts w:hint="default" w:ascii="宋体" w:hAnsi="宋体" w:eastAsia="宋体"/>
                <w:sz w:val="20"/>
                <w:szCs w:val="20"/>
                <w:lang w:val="en-US" w:eastAsia="zh-CN"/>
              </w:rPr>
            </w:pPr>
            <w:r>
              <w:rPr>
                <w:rFonts w:hint="eastAsia" w:ascii="宋体" w:hAnsi="宋体" w:eastAsia="宋体"/>
                <w:sz w:val="20"/>
                <w:szCs w:val="20"/>
                <w:lang w:val="en-US" w:eastAsia="zh-CN"/>
              </w:rPr>
              <w:t>存储</w:t>
            </w:r>
            <w:r>
              <w:rPr>
                <w:rFonts w:hint="eastAsia" w:ascii="宋体" w:hAnsi="宋体" w:eastAsia="宋体"/>
                <w:sz w:val="20"/>
                <w:szCs w:val="20"/>
              </w:rPr>
              <w:t>：</w:t>
            </w:r>
          </w:p>
          <w:p w14:paraId="6FF5BECD">
            <w:pPr>
              <w:snapToGrid w:val="0"/>
              <w:spacing w:line="276" w:lineRule="auto"/>
              <w:rPr>
                <w:rFonts w:hint="eastAsia" w:ascii="宋体" w:hAnsi="宋体" w:eastAsia="宋体" w:cs="宋体"/>
                <w:sz w:val="20"/>
                <w:szCs w:val="20"/>
              </w:rPr>
            </w:pPr>
            <w:r>
              <w:rPr>
                <w:rFonts w:hint="eastAsia" w:ascii="宋体" w:hAnsi="宋体" w:eastAsia="宋体"/>
                <w:sz w:val="20"/>
                <w:szCs w:val="20"/>
                <w:lang w:val="en-US" w:eastAsia="zh-CN"/>
              </w:rPr>
              <w:t>容量巡检</w:t>
            </w:r>
            <w:r>
              <w:rPr>
                <w:rFonts w:hint="eastAsia" w:ascii="宋体" w:hAnsi="宋体" w:eastAsia="宋体"/>
                <w:sz w:val="20"/>
                <w:szCs w:val="20"/>
              </w:rPr>
              <w:t>：</w:t>
            </w:r>
          </w:p>
        </w:tc>
      </w:tr>
      <w:tr w14:paraId="65C3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403"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7618AFCB">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17AA3639">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2E52CA69">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1）根据发明主题选择最能体现该发明技术特征及创新点的词语，避免使用一般描述性词语；（2）关键词不得少于三个，第一个应选择独立关键词，其他两个应选择组合关键词；（3）不要选择英文缩写。</w:t>
            </w:r>
          </w:p>
        </w:tc>
      </w:tr>
      <w:tr w14:paraId="2088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928"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6F0F55FF">
            <w:pPr>
              <w:snapToGrid w:val="0"/>
              <w:spacing w:line="276" w:lineRule="auto"/>
              <w:rPr>
                <w:rFonts w:hint="eastAsia" w:ascii="宋体" w:hAnsi="宋体" w:eastAsia="宋体" w:cs="宋体"/>
                <w:sz w:val="20"/>
                <w:szCs w:val="20"/>
              </w:rPr>
            </w:pP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38BCD792">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检索结果明细</w:t>
            </w:r>
          </w:p>
        </w:tc>
        <w:tc>
          <w:tcPr>
            <w:tcW w:w="6662" w:type="dxa"/>
            <w:tcBorders>
              <w:top w:val="single" w:color="000000" w:sz="8" w:space="0"/>
              <w:left w:val="single" w:color="000000" w:sz="8" w:space="0"/>
              <w:bottom w:val="single" w:color="000000" w:sz="8" w:space="0"/>
              <w:right w:val="single" w:color="000000" w:sz="8" w:space="0"/>
            </w:tcBorders>
            <w:vAlign w:val="center"/>
          </w:tcPr>
          <w:p w14:paraId="25064637">
            <w:pPr>
              <w:numPr>
                <w:ilvl w:val="0"/>
                <w:numId w:val="11"/>
              </w:numPr>
              <w:bidi w:val="0"/>
              <w:rPr>
                <w:rFonts w:hint="default"/>
              </w:rPr>
            </w:pPr>
            <w:r>
              <w:rPr>
                <w:rFonts w:hint="eastAsia" w:cstheme="minorBidi"/>
                <w:b w:val="0"/>
                <w:bCs w:val="0"/>
                <w:kern w:val="2"/>
                <w:sz w:val="21"/>
                <w:szCs w:val="22"/>
                <w:lang w:val="en-US" w:eastAsia="zh-CN" w:bidi="ar-SA"/>
              </w:rPr>
              <w:t>C</w:t>
            </w:r>
            <w:r>
              <w:rPr>
                <w:rFonts w:hint="default" w:asciiTheme="minorHAnsi" w:hAnsiTheme="minorHAnsi" w:eastAsiaTheme="minorEastAsia" w:cstheme="minorBidi"/>
                <w:b w:val="0"/>
                <w:bCs w:val="0"/>
                <w:kern w:val="2"/>
                <w:sz w:val="21"/>
                <w:szCs w:val="22"/>
                <w:lang w:val="en-US" w:eastAsia="zh-CN" w:bidi="ar-SA"/>
              </w:rPr>
              <w:t>N110389876A</w:t>
            </w:r>
            <w:r>
              <w:rPr>
                <w:rFonts w:hint="eastAsia"/>
                <w:lang w:val="en-US" w:eastAsia="zh-CN"/>
              </w:rPr>
              <w:t>存储容量校验方法、装置及计算机设备</w:t>
            </w:r>
          </w:p>
          <w:p w14:paraId="08A67A7E">
            <w:pPr>
              <w:numPr>
                <w:ilvl w:val="0"/>
                <w:numId w:val="11"/>
              </w:numPr>
              <w:bidi w:val="0"/>
              <w:rPr>
                <w:rFonts w:ascii="宋体" w:hAnsi="宋体" w:eastAsia="宋体"/>
                <w:sz w:val="20"/>
                <w:szCs w:val="20"/>
              </w:rPr>
            </w:pPr>
            <w:r>
              <w:rPr>
                <w:rFonts w:hint="eastAsia" w:asciiTheme="minorHAnsi" w:hAnsiTheme="minorHAnsi" w:eastAsiaTheme="minorEastAsia" w:cstheme="minorBidi"/>
                <w:b w:val="0"/>
                <w:bCs w:val="0"/>
                <w:kern w:val="2"/>
                <w:sz w:val="21"/>
                <w:szCs w:val="22"/>
                <w:lang w:val="en-US" w:eastAsia="zh-CN" w:bidi="ar-SA"/>
              </w:rPr>
              <w:t>CN111752979B 一种存储池的容量校验方法、系统及装置</w:t>
            </w:r>
          </w:p>
          <w:p w14:paraId="2274F271">
            <w:pPr>
              <w:numPr>
                <w:ilvl w:val="0"/>
                <w:numId w:val="11"/>
              </w:numPr>
              <w:bidi w:val="0"/>
              <w:rPr>
                <w:rFonts w:hint="eastAsia" w:ascii="宋体" w:hAnsi="宋体" w:eastAsia="宋体" w:cs="宋体"/>
                <w:sz w:val="20"/>
                <w:szCs w:val="20"/>
              </w:rPr>
            </w:pPr>
            <w:r>
              <w:rPr>
                <w:rFonts w:hint="eastAsia" w:asciiTheme="minorHAnsi" w:hAnsiTheme="minorHAnsi" w:eastAsiaTheme="minorEastAsia" w:cstheme="minorBidi"/>
                <w:b w:val="0"/>
                <w:bCs w:val="0"/>
                <w:kern w:val="2"/>
                <w:sz w:val="21"/>
                <w:szCs w:val="22"/>
                <w:lang w:val="en-US" w:eastAsia="zh-CN" w:bidi="ar-SA"/>
              </w:rPr>
              <w:t>CN117687572A 一种分布式存储系统的容量检测方法、装置、设备及介质</w:t>
            </w:r>
          </w:p>
        </w:tc>
      </w:tr>
      <w:tr w14:paraId="3293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858"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5943BCA0">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4AD2EEB3">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最相关的专利文献分析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251C9AF6">
            <w:pPr>
              <w:numPr>
                <w:numId w:val="0"/>
              </w:numPr>
              <w:bidi w:val="0"/>
              <w:rPr>
                <w:rFonts w:hint="eastAsia" w:asciiTheme="minorHAnsi" w:hAnsiTheme="minorHAnsi" w:eastAsiaTheme="minorEastAsia" w:cstheme="minorBidi"/>
                <w:b w:val="0"/>
                <w:bCs w:val="0"/>
                <w:kern w:val="2"/>
                <w:sz w:val="21"/>
                <w:szCs w:val="22"/>
                <w:lang w:val="en-US" w:eastAsia="zh-CN" w:bidi="ar-SA"/>
              </w:rPr>
            </w:pPr>
            <w:r>
              <w:rPr>
                <w:rFonts w:hint="eastAsia" w:cstheme="minorBidi"/>
                <w:b w:val="0"/>
                <w:bCs w:val="0"/>
                <w:kern w:val="2"/>
                <w:sz w:val="21"/>
                <w:szCs w:val="22"/>
                <w:lang w:val="en-US" w:eastAsia="zh-CN" w:bidi="ar-SA"/>
              </w:rPr>
              <w:t>C</w:t>
            </w:r>
            <w:r>
              <w:rPr>
                <w:rFonts w:hint="default" w:asciiTheme="minorHAnsi" w:hAnsiTheme="minorHAnsi" w:eastAsiaTheme="minorEastAsia" w:cstheme="minorBidi"/>
                <w:b w:val="0"/>
                <w:bCs w:val="0"/>
                <w:kern w:val="2"/>
                <w:sz w:val="21"/>
                <w:szCs w:val="22"/>
                <w:lang w:val="en-US" w:eastAsia="zh-CN" w:bidi="ar-SA"/>
              </w:rPr>
              <w:t>N110389876A</w:t>
            </w:r>
            <w:r>
              <w:rPr>
                <w:rFonts w:hint="eastAsia" w:asciiTheme="minorHAnsi" w:hAnsiTheme="minorHAnsi" w:eastAsiaTheme="minorEastAsia" w:cstheme="minorBidi"/>
                <w:b w:val="0"/>
                <w:bCs w:val="0"/>
                <w:kern w:val="2"/>
                <w:sz w:val="21"/>
                <w:szCs w:val="22"/>
                <w:lang w:val="en-US" w:eastAsia="zh-CN" w:bidi="ar-SA"/>
              </w:rPr>
              <w:t>基础资源容量监管方法、装置、设备及存储介质</w:t>
            </w:r>
          </w:p>
          <w:p w14:paraId="3500D08D">
            <w:pPr>
              <w:snapToGrid w:val="0"/>
              <w:spacing w:line="276" w:lineRule="auto"/>
              <w:rPr>
                <w:rFonts w:ascii="宋体" w:hAnsi="宋体" w:eastAsia="宋体"/>
                <w:sz w:val="20"/>
                <w:szCs w:val="20"/>
              </w:rPr>
            </w:pPr>
          </w:p>
          <w:p w14:paraId="303BEFAF">
            <w:pPr>
              <w:snapToGrid w:val="0"/>
              <w:spacing w:line="276" w:lineRule="auto"/>
              <w:rPr>
                <w:rFonts w:hint="eastAsia" w:ascii="宋体" w:hAnsi="宋体" w:eastAsia="宋体" w:cs="宋体"/>
                <w:sz w:val="20"/>
                <w:szCs w:val="20"/>
              </w:rPr>
            </w:pPr>
            <w:r>
              <w:rPr>
                <w:rFonts w:hint="eastAsia" w:ascii="宋体" w:hAnsi="宋体" w:eastAsia="宋体"/>
                <w:sz w:val="20"/>
                <w:szCs w:val="20"/>
                <w:lang w:val="en-US" w:eastAsia="zh-CN"/>
              </w:rPr>
              <w:t>与本方案要解决的问题以及处理方法有一定相似性，本方案不仅解决了不同地域云池的容量巡检，还包含更细粒度的巡检，如用户以及桶粒度的容量巡检策略，在容量出错后，能更为迅速的定位出错位置，解决对应问题。</w:t>
            </w:r>
          </w:p>
        </w:tc>
      </w:tr>
      <w:tr w14:paraId="5895C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705"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5D6D60DD">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7C7CB9E9">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44F6CACC">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w:t>
            </w:r>
          </w:p>
          <w:p w14:paraId="32149C1A">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1、包括名称、专利号或申请号、已公布的技术实现方案、与该发明的异同等</w:t>
            </w:r>
          </w:p>
          <w:p w14:paraId="6736E1D2">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2、最相关的专利文献是指：（1）该专利文献的缺点或不足正是本发明专利所要解决的技术问题；（2）该专利文献与本发明专利要解决的技术问题相同或类似，但采取了不同的技术手段；（3）该专利文献与本发明专利采用了相同或类似的技术手段。</w:t>
            </w:r>
          </w:p>
        </w:tc>
      </w:tr>
      <w:tr w14:paraId="72C4C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577"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1ED70318">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公共搜索引擎检索结果</w:t>
            </w: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45A3AEC7">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搜索引擎</w:t>
            </w:r>
          </w:p>
        </w:tc>
        <w:tc>
          <w:tcPr>
            <w:tcW w:w="6662" w:type="dxa"/>
            <w:tcBorders>
              <w:top w:val="single" w:color="000000" w:sz="8" w:space="0"/>
              <w:left w:val="single" w:color="000000" w:sz="8" w:space="0"/>
              <w:bottom w:val="single" w:color="000000" w:sz="8" w:space="0"/>
              <w:right w:val="single" w:color="000000" w:sz="8" w:space="0"/>
            </w:tcBorders>
            <w:vAlign w:val="center"/>
          </w:tcPr>
          <w:p w14:paraId="3620052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 xml:space="preserve">百度（ </w:t>
            </w:r>
            <w:r>
              <w:rPr>
                <w:rFonts w:hint="default" w:ascii="Arial" w:hAnsi="Arial" w:eastAsia="宋体" w:cs="Arial"/>
                <w:sz w:val="20"/>
                <w:szCs w:val="20"/>
              </w:rPr>
              <w:t>√</w:t>
            </w:r>
            <w:r>
              <w:rPr>
                <w:rFonts w:hint="eastAsia" w:ascii="宋体" w:hAnsi="宋体" w:eastAsia="宋体" w:cs="宋体"/>
                <w:sz w:val="20"/>
                <w:szCs w:val="20"/>
              </w:rPr>
              <w:t xml:space="preserve"> ）  google（ </w:t>
            </w:r>
            <w:r>
              <w:rPr>
                <w:rFonts w:hint="default" w:ascii="Arial" w:hAnsi="Arial" w:eastAsia="宋体" w:cs="Arial"/>
                <w:sz w:val="20"/>
                <w:szCs w:val="20"/>
              </w:rPr>
              <w:t>√</w:t>
            </w:r>
            <w:r>
              <w:rPr>
                <w:rFonts w:hint="eastAsia" w:ascii="宋体" w:hAnsi="宋体" w:eastAsia="宋体" w:cs="宋体"/>
                <w:sz w:val="20"/>
                <w:szCs w:val="20"/>
              </w:rPr>
              <w:t xml:space="preserve"> ）  其他（   ）</w:t>
            </w:r>
          </w:p>
        </w:tc>
      </w:tr>
      <w:tr w14:paraId="6E17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630"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17C5AFD4">
            <w:pPr>
              <w:snapToGrid w:val="0"/>
              <w:spacing w:line="276" w:lineRule="auto"/>
              <w:rPr>
                <w:rFonts w:hint="eastAsia" w:ascii="宋体" w:hAnsi="宋体" w:eastAsia="宋体" w:cs="宋体"/>
                <w:sz w:val="20"/>
                <w:szCs w:val="20"/>
              </w:rPr>
            </w:pP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23309A80">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检索关键词</w:t>
            </w:r>
          </w:p>
        </w:tc>
        <w:tc>
          <w:tcPr>
            <w:tcW w:w="6662" w:type="dxa"/>
            <w:tcBorders>
              <w:top w:val="single" w:color="000000" w:sz="8" w:space="0"/>
              <w:left w:val="single" w:color="000000" w:sz="8" w:space="0"/>
              <w:bottom w:val="single" w:color="000000" w:sz="8" w:space="0"/>
              <w:right w:val="single" w:color="000000" w:sz="8" w:space="0"/>
            </w:tcBorders>
            <w:vAlign w:val="center"/>
          </w:tcPr>
          <w:p w14:paraId="22BFA7C7">
            <w:pPr>
              <w:snapToGrid w:val="0"/>
              <w:spacing w:line="276" w:lineRule="auto"/>
              <w:rPr>
                <w:rFonts w:hint="default" w:ascii="宋体" w:hAnsi="宋体" w:eastAsia="宋体"/>
                <w:sz w:val="20"/>
                <w:szCs w:val="20"/>
                <w:lang w:val="en-US" w:eastAsia="zh-CN"/>
              </w:rPr>
            </w:pPr>
            <w:r>
              <w:rPr>
                <w:rFonts w:hint="eastAsia" w:ascii="宋体" w:hAnsi="宋体" w:eastAsia="宋体"/>
                <w:sz w:val="20"/>
                <w:szCs w:val="20"/>
                <w:lang w:val="en-US" w:eastAsia="zh-CN"/>
              </w:rPr>
              <w:t>分布式：</w:t>
            </w:r>
          </w:p>
          <w:p w14:paraId="018EF4D1">
            <w:pPr>
              <w:snapToGrid w:val="0"/>
              <w:spacing w:line="276" w:lineRule="auto"/>
              <w:rPr>
                <w:rFonts w:hint="default" w:ascii="宋体" w:hAnsi="宋体" w:eastAsia="宋体"/>
                <w:sz w:val="20"/>
                <w:szCs w:val="20"/>
                <w:lang w:val="en-US" w:eastAsia="zh-CN"/>
              </w:rPr>
            </w:pPr>
            <w:r>
              <w:rPr>
                <w:rFonts w:hint="eastAsia" w:ascii="宋体" w:hAnsi="宋体" w:eastAsia="宋体"/>
                <w:sz w:val="20"/>
                <w:szCs w:val="20"/>
                <w:lang w:val="en-US" w:eastAsia="zh-CN"/>
              </w:rPr>
              <w:t>存储</w:t>
            </w:r>
            <w:r>
              <w:rPr>
                <w:rFonts w:hint="eastAsia" w:ascii="宋体" w:hAnsi="宋体" w:eastAsia="宋体"/>
                <w:sz w:val="20"/>
                <w:szCs w:val="20"/>
              </w:rPr>
              <w:t>：</w:t>
            </w:r>
          </w:p>
          <w:p w14:paraId="49A80F58">
            <w:pPr>
              <w:snapToGrid w:val="0"/>
              <w:spacing w:line="276" w:lineRule="auto"/>
              <w:rPr>
                <w:rFonts w:hint="eastAsia" w:ascii="宋体" w:hAnsi="宋体" w:eastAsia="宋体" w:cs="宋体"/>
                <w:sz w:val="20"/>
                <w:szCs w:val="20"/>
              </w:rPr>
            </w:pPr>
            <w:r>
              <w:rPr>
                <w:rFonts w:hint="eastAsia" w:ascii="宋体" w:hAnsi="宋体" w:eastAsia="宋体"/>
                <w:sz w:val="20"/>
                <w:szCs w:val="20"/>
                <w:lang w:val="en-US" w:eastAsia="zh-CN"/>
              </w:rPr>
              <w:t>容量巡检</w:t>
            </w:r>
            <w:r>
              <w:rPr>
                <w:rFonts w:hint="eastAsia" w:ascii="宋体" w:hAnsi="宋体" w:eastAsia="宋体"/>
                <w:sz w:val="20"/>
                <w:szCs w:val="20"/>
              </w:rPr>
              <w:t>：</w:t>
            </w:r>
          </w:p>
        </w:tc>
      </w:tr>
      <w:tr w14:paraId="37FC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525"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3538C094">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35B548B3">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检索结果明细</w:t>
            </w:r>
          </w:p>
        </w:tc>
        <w:tc>
          <w:tcPr>
            <w:tcW w:w="6662" w:type="dxa"/>
            <w:tcBorders>
              <w:top w:val="single" w:color="000000" w:sz="8" w:space="0"/>
              <w:left w:val="single" w:color="000000" w:sz="8" w:space="0"/>
              <w:bottom w:val="single" w:color="000000" w:sz="8" w:space="0"/>
              <w:right w:val="single" w:color="000000" w:sz="8" w:space="0"/>
            </w:tcBorders>
            <w:vAlign w:val="center"/>
          </w:tcPr>
          <w:p w14:paraId="11C826AB">
            <w:pPr>
              <w:pStyle w:val="2"/>
              <w:keepNext w:val="0"/>
              <w:keepLines w:val="0"/>
              <w:widowControl/>
              <w:suppressLineNumbers w:val="0"/>
              <w:pBdr>
                <w:top w:val="none" w:color="auto" w:sz="0" w:space="0"/>
              </w:pBdr>
              <w:shd w:val="clear" w:fill="FFFFFF"/>
              <w:spacing w:before="0" w:beforeAutospacing="0" w:after="100" w:afterAutospacing="0" w:line="11" w:lineRule="atLeast"/>
              <w:ind w:left="0" w:right="0" w:firstLine="0"/>
              <w:rPr>
                <w:rFonts w:hint="default" w:ascii="Helvetica" w:hAnsi="Helvetica" w:eastAsia="Helvetica" w:cs="Helvetica"/>
                <w:b w:val="0"/>
                <w:bCs w:val="0"/>
                <w:i w:val="0"/>
                <w:iCs w:val="0"/>
                <w:caps w:val="0"/>
                <w:color w:val="333333"/>
                <w:spacing w:val="0"/>
                <w:sz w:val="20"/>
                <w:szCs w:val="20"/>
                <w:shd w:val="clear" w:fill="FFFFFF"/>
              </w:rPr>
            </w:pPr>
            <w:r>
              <w:rPr>
                <w:rFonts w:hint="eastAsia" w:ascii="宋体" w:hAnsi="宋体" w:eastAsia="宋体" w:cs="宋体"/>
                <w:b w:val="0"/>
                <w:bCs w:val="0"/>
                <w:sz w:val="20"/>
                <w:szCs w:val="20"/>
                <w:lang w:val="en-US" w:eastAsia="zh-CN"/>
              </w:rPr>
              <w:fldChar w:fldCharType="begin"/>
            </w:r>
            <w:r>
              <w:rPr>
                <w:rFonts w:hint="eastAsia" w:ascii="宋体" w:hAnsi="宋体" w:eastAsia="宋体" w:cs="宋体"/>
                <w:b w:val="0"/>
                <w:bCs w:val="0"/>
                <w:sz w:val="20"/>
                <w:szCs w:val="20"/>
                <w:lang w:val="en-US" w:eastAsia="zh-CN"/>
              </w:rPr>
              <w:instrText xml:space="preserve"> HYPERLINK "https://blog.csdn.net/u011436273/article/details/127714154" </w:instrText>
            </w:r>
            <w:r>
              <w:rPr>
                <w:rFonts w:hint="eastAsia" w:ascii="宋体" w:hAnsi="宋体" w:eastAsia="宋体" w:cs="宋体"/>
                <w:b w:val="0"/>
                <w:bCs w:val="0"/>
                <w:sz w:val="20"/>
                <w:szCs w:val="20"/>
                <w:lang w:val="en-US" w:eastAsia="zh-CN"/>
              </w:rPr>
              <w:fldChar w:fldCharType="separate"/>
            </w:r>
            <w:r>
              <w:rPr>
                <w:rStyle w:val="11"/>
                <w:rFonts w:hint="eastAsia" w:ascii="宋体" w:hAnsi="宋体" w:eastAsia="宋体" w:cs="宋体"/>
                <w:b w:val="0"/>
                <w:bCs w:val="0"/>
                <w:sz w:val="20"/>
                <w:szCs w:val="20"/>
                <w:lang w:val="en-US" w:eastAsia="zh-CN"/>
              </w:rPr>
              <w:t>https://blog.csdn.net/u011436273/article/details/127714154</w:t>
            </w:r>
            <w:r>
              <w:rPr>
                <w:rFonts w:hint="eastAsia" w:ascii="宋体" w:hAnsi="宋体" w:eastAsia="宋体" w:cs="宋体"/>
                <w:b w:val="0"/>
                <w:bCs w:val="0"/>
                <w:sz w:val="20"/>
                <w:szCs w:val="20"/>
                <w:lang w:val="en-US" w:eastAsia="zh-CN"/>
              </w:rPr>
              <w:fldChar w:fldCharType="end"/>
            </w:r>
            <w:r>
              <w:rPr>
                <w:rFonts w:hint="eastAsia" w:ascii="宋体" w:hAnsi="宋体" w:eastAsia="宋体" w:cs="宋体"/>
                <w:b w:val="0"/>
                <w:bCs w:val="0"/>
                <w:sz w:val="20"/>
                <w:szCs w:val="20"/>
                <w:lang w:val="en-US" w:eastAsia="zh-CN"/>
              </w:rPr>
              <w:t xml:space="preserve"> </w:t>
            </w:r>
            <w:r>
              <w:rPr>
                <w:rFonts w:hint="default" w:ascii="Helvetica" w:hAnsi="Helvetica" w:eastAsia="Helvetica" w:cs="Helvetica"/>
                <w:b w:val="0"/>
                <w:bCs w:val="0"/>
                <w:i w:val="0"/>
                <w:iCs w:val="0"/>
                <w:caps w:val="0"/>
                <w:color w:val="333333"/>
                <w:spacing w:val="0"/>
                <w:sz w:val="20"/>
                <w:szCs w:val="20"/>
                <w:shd w:val="clear" w:fill="FFFFFF"/>
              </w:rPr>
              <w:t>CubeFS存储技术揭秘(3)— 均衡、巡检与故障自愈</w:t>
            </w:r>
          </w:p>
          <w:p w14:paraId="56F7FF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hint="default" w:ascii="宋体" w:hAnsi="宋体" w:eastAsia="宋体" w:cs="宋体"/>
                <w:sz w:val="24"/>
                <w:szCs w:val="24"/>
                <w:lang w:val="en-US" w:eastAsia="zh-CN"/>
              </w:rPr>
            </w:pPr>
            <w:r>
              <w:rPr>
                <w:rFonts w:hint="eastAsia" w:ascii="宋体" w:hAnsi="宋体" w:eastAsia="宋体"/>
                <w:sz w:val="20"/>
                <w:szCs w:val="20"/>
                <w:lang w:val="en-US" w:eastAsia="zh-CN"/>
              </w:rPr>
              <w:fldChar w:fldCharType="begin"/>
            </w:r>
            <w:r>
              <w:rPr>
                <w:rFonts w:hint="eastAsia" w:ascii="宋体" w:hAnsi="宋体" w:eastAsia="宋体"/>
                <w:sz w:val="20"/>
                <w:szCs w:val="20"/>
                <w:lang w:val="en-US" w:eastAsia="zh-CN"/>
              </w:rPr>
              <w:instrText xml:space="preserve"> HYPERLINK "https://patents.google.com/patent/CN111782141A/zh" </w:instrText>
            </w:r>
            <w:r>
              <w:rPr>
                <w:rFonts w:hint="eastAsia" w:ascii="宋体" w:hAnsi="宋体" w:eastAsia="宋体"/>
                <w:sz w:val="20"/>
                <w:szCs w:val="20"/>
                <w:lang w:val="en-US" w:eastAsia="zh-CN"/>
              </w:rPr>
              <w:fldChar w:fldCharType="separate"/>
            </w:r>
            <w:r>
              <w:rPr>
                <w:rStyle w:val="11"/>
                <w:rFonts w:hint="eastAsia" w:ascii="宋体" w:hAnsi="宋体" w:eastAsia="宋体"/>
                <w:sz w:val="20"/>
                <w:szCs w:val="20"/>
                <w:lang w:val="en-US" w:eastAsia="zh-CN"/>
              </w:rPr>
              <w:t>https://patents.google.com/patent/CN111782141A/zh</w:t>
            </w:r>
            <w:r>
              <w:rPr>
                <w:rFonts w:hint="eastAsia" w:ascii="宋体" w:hAnsi="宋体" w:eastAsia="宋体"/>
                <w:sz w:val="20"/>
                <w:szCs w:val="20"/>
                <w:lang w:val="en-US" w:eastAsia="zh-CN"/>
              </w:rPr>
              <w:fldChar w:fldCharType="end"/>
            </w:r>
            <w:r>
              <w:rPr>
                <w:rFonts w:hint="eastAsia" w:ascii="宋体" w:hAnsi="宋体" w:eastAsia="宋体"/>
                <w:sz w:val="20"/>
                <w:szCs w:val="20"/>
                <w:lang w:val="en-US" w:eastAsia="zh-CN"/>
              </w:rPr>
              <w:t xml:space="preserve"> </w:t>
            </w:r>
            <w:r>
              <w:rPr>
                <w:rFonts w:hint="default" w:ascii="Helvetica" w:hAnsi="Helvetica" w:eastAsia="Helvetica" w:cs="Helvetica"/>
                <w:b w:val="0"/>
                <w:bCs w:val="0"/>
                <w:i w:val="0"/>
                <w:iCs w:val="0"/>
                <w:caps w:val="0"/>
                <w:color w:val="333333"/>
                <w:spacing w:val="0"/>
                <w:sz w:val="20"/>
                <w:szCs w:val="20"/>
                <w:shd w:val="clear" w:fill="FFFFFF"/>
              </w:rPr>
              <w:t>一种数据巡检方法及装置</w:t>
            </w:r>
          </w:p>
          <w:p w14:paraId="159750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rPr>
                <w:rFonts w:ascii="微软雅黑" w:hAnsi="微软雅黑" w:eastAsia="微软雅黑" w:cs="微软雅黑"/>
                <w:b/>
                <w:bCs/>
                <w:i w:val="0"/>
                <w:iCs w:val="0"/>
                <w:caps w:val="0"/>
                <w:color w:val="222226"/>
                <w:spacing w:val="0"/>
                <w:sz w:val="28"/>
                <w:szCs w:val="28"/>
              </w:rPr>
            </w:pPr>
            <w:r>
              <w:rPr>
                <w:rFonts w:hint="eastAsia" w:ascii="宋体" w:hAnsi="宋体" w:eastAsia="宋体"/>
                <w:sz w:val="20"/>
                <w:szCs w:val="20"/>
                <w:lang w:val="en-US" w:eastAsia="zh-CN"/>
              </w:rPr>
              <w:fldChar w:fldCharType="begin"/>
            </w:r>
            <w:r>
              <w:rPr>
                <w:rFonts w:hint="eastAsia" w:ascii="宋体" w:hAnsi="宋体" w:eastAsia="宋体"/>
                <w:sz w:val="20"/>
                <w:szCs w:val="20"/>
                <w:lang w:val="en-US" w:eastAsia="zh-CN"/>
              </w:rPr>
              <w:instrText xml:space="preserve"> HYPERLINK "https://www.doc88.com/p-60029796383204.html" </w:instrText>
            </w:r>
            <w:r>
              <w:rPr>
                <w:rFonts w:hint="eastAsia" w:ascii="宋体" w:hAnsi="宋体" w:eastAsia="宋体"/>
                <w:sz w:val="20"/>
                <w:szCs w:val="20"/>
                <w:lang w:val="en-US" w:eastAsia="zh-CN"/>
              </w:rPr>
              <w:fldChar w:fldCharType="separate"/>
            </w:r>
            <w:r>
              <w:rPr>
                <w:rStyle w:val="12"/>
                <w:rFonts w:hint="eastAsia" w:ascii="宋体" w:hAnsi="宋体" w:eastAsia="宋体"/>
                <w:sz w:val="20"/>
                <w:szCs w:val="20"/>
                <w:lang w:val="en-US" w:eastAsia="zh-CN"/>
              </w:rPr>
              <w:t>https://www.doc88.com/p-60029796383204.html</w:t>
            </w:r>
            <w:r>
              <w:rPr>
                <w:rFonts w:hint="eastAsia" w:ascii="宋体" w:hAnsi="宋体" w:eastAsia="宋体"/>
                <w:sz w:val="20"/>
                <w:szCs w:val="20"/>
                <w:lang w:val="en-US" w:eastAsia="zh-CN"/>
              </w:rPr>
              <w:fldChar w:fldCharType="end"/>
            </w:r>
            <w:r>
              <w:rPr>
                <w:rFonts w:hint="eastAsia" w:ascii="宋体" w:hAnsi="宋体" w:eastAsia="宋体"/>
                <w:sz w:val="20"/>
                <w:szCs w:val="20"/>
                <w:lang w:val="en-US" w:eastAsia="zh-CN"/>
              </w:rPr>
              <w:t xml:space="preserve"> </w:t>
            </w:r>
            <w:r>
              <w:rPr>
                <w:rFonts w:hint="eastAsia" w:ascii="宋体" w:hAnsi="宋体" w:eastAsia="宋体" w:cstheme="minorBidi"/>
                <w:b w:val="0"/>
                <w:bCs w:val="0"/>
                <w:kern w:val="2"/>
                <w:sz w:val="20"/>
                <w:szCs w:val="20"/>
                <w:lang w:val="en-US" w:eastAsia="zh-CN" w:bidi="ar-SA"/>
              </w:rPr>
              <w:t>一种分布式对象存储在巡检系统中的研究应用</w:t>
            </w:r>
          </w:p>
          <w:p w14:paraId="005217E4">
            <w:pPr>
              <w:snapToGrid w:val="0"/>
              <w:spacing w:line="276" w:lineRule="auto"/>
              <w:rPr>
                <w:rFonts w:hint="eastAsia" w:ascii="宋体" w:hAnsi="宋体" w:eastAsia="宋体" w:cs="宋体"/>
                <w:sz w:val="20"/>
                <w:szCs w:val="20"/>
              </w:rPr>
            </w:pPr>
            <w:r>
              <w:rPr>
                <w:rFonts w:hint="eastAsia" w:ascii="宋体" w:hAnsi="宋体" w:eastAsia="宋体"/>
                <w:sz w:val="20"/>
                <w:szCs w:val="20"/>
                <w:lang w:val="en-US" w:eastAsia="zh-CN"/>
              </w:rPr>
              <w:fldChar w:fldCharType="begin"/>
            </w:r>
            <w:r>
              <w:rPr>
                <w:rFonts w:hint="eastAsia" w:ascii="宋体" w:hAnsi="宋体" w:eastAsia="宋体"/>
                <w:sz w:val="20"/>
                <w:szCs w:val="20"/>
                <w:lang w:val="en-US" w:eastAsia="zh-CN"/>
              </w:rPr>
              <w:instrText xml:space="preserve"> HYPERLINK "https://tech.meituan.com/2020/06/04/mysql-detection-system.html" </w:instrText>
            </w:r>
            <w:r>
              <w:rPr>
                <w:rFonts w:hint="eastAsia" w:ascii="宋体" w:hAnsi="宋体" w:eastAsia="宋体"/>
                <w:sz w:val="20"/>
                <w:szCs w:val="20"/>
                <w:lang w:val="en-US" w:eastAsia="zh-CN"/>
              </w:rPr>
              <w:fldChar w:fldCharType="separate"/>
            </w:r>
            <w:r>
              <w:rPr>
                <w:rStyle w:val="12"/>
                <w:rFonts w:hint="eastAsia" w:ascii="宋体" w:hAnsi="宋体" w:eastAsia="宋体"/>
                <w:sz w:val="20"/>
                <w:szCs w:val="20"/>
                <w:lang w:val="en-US" w:eastAsia="zh-CN"/>
              </w:rPr>
              <w:t>https://tech.meituan.com/2020/06/04/mysql-detection-system.html</w:t>
            </w:r>
            <w:r>
              <w:rPr>
                <w:rFonts w:hint="eastAsia" w:ascii="宋体" w:hAnsi="宋体" w:eastAsia="宋体"/>
                <w:sz w:val="20"/>
                <w:szCs w:val="20"/>
                <w:lang w:val="en-US" w:eastAsia="zh-CN"/>
              </w:rPr>
              <w:fldChar w:fldCharType="end"/>
            </w:r>
            <w:r>
              <w:rPr>
                <w:rFonts w:hint="eastAsia" w:ascii="宋体" w:hAnsi="宋体" w:eastAsia="宋体"/>
                <w:sz w:val="20"/>
                <w:szCs w:val="20"/>
                <w:lang w:val="en-US" w:eastAsia="zh-CN"/>
              </w:rPr>
              <w:t xml:space="preserve"> </w:t>
            </w:r>
            <w:r>
              <w:rPr>
                <w:rFonts w:hint="default" w:ascii="宋体" w:hAnsi="宋体" w:eastAsia="宋体" w:cstheme="minorBidi"/>
                <w:b w:val="0"/>
                <w:bCs w:val="0"/>
                <w:kern w:val="2"/>
                <w:sz w:val="20"/>
                <w:szCs w:val="20"/>
                <w:lang w:val="en-US" w:eastAsia="zh-CN" w:bidi="ar-SA"/>
              </w:rPr>
              <w:t>美团MySQL数据库巡检系统的设计与应用</w:t>
            </w:r>
          </w:p>
        </w:tc>
      </w:tr>
      <w:tr w14:paraId="260B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67"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710DC00B">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9FFC569">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4E0BECDE">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填写说明：包括名称、主要内容</w:t>
            </w:r>
          </w:p>
        </w:tc>
      </w:tr>
      <w:tr w14:paraId="087FA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809"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7B762A2B">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1236C31B">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与最接近现有技术的对比分析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7C6C881A">
            <w:pPr>
              <w:snapToGrid w:val="0"/>
              <w:spacing w:line="276" w:lineRule="auto"/>
              <w:rPr>
                <w:rFonts w:hint="default" w:ascii="Helvetica" w:hAnsi="Helvetica" w:eastAsia="Helvetica" w:cs="Helvetica"/>
                <w:b w:val="0"/>
                <w:bCs w:val="0"/>
                <w:i w:val="0"/>
                <w:iCs w:val="0"/>
                <w:caps w:val="0"/>
                <w:color w:val="333333"/>
                <w:spacing w:val="0"/>
                <w:sz w:val="20"/>
                <w:szCs w:val="20"/>
                <w:shd w:val="clear" w:fill="FFFFFF"/>
              </w:rPr>
            </w:pPr>
            <w:r>
              <w:rPr>
                <w:rFonts w:hint="eastAsia" w:ascii="宋体" w:hAnsi="宋体" w:eastAsia="宋体" w:cs="宋体"/>
                <w:b w:val="0"/>
                <w:bCs w:val="0"/>
                <w:sz w:val="20"/>
                <w:szCs w:val="20"/>
                <w:lang w:val="en-US" w:eastAsia="zh-CN"/>
              </w:rPr>
              <w:fldChar w:fldCharType="begin"/>
            </w:r>
            <w:r>
              <w:rPr>
                <w:rFonts w:hint="eastAsia" w:ascii="宋体" w:hAnsi="宋体" w:eastAsia="宋体" w:cs="宋体"/>
                <w:b w:val="0"/>
                <w:bCs w:val="0"/>
                <w:sz w:val="20"/>
                <w:szCs w:val="20"/>
                <w:lang w:val="en-US" w:eastAsia="zh-CN"/>
              </w:rPr>
              <w:instrText xml:space="preserve"> HYPERLINK "https://blog.csdn.net/u011436273/article/details/127714154" </w:instrText>
            </w:r>
            <w:r>
              <w:rPr>
                <w:rFonts w:hint="eastAsia" w:ascii="宋体" w:hAnsi="宋体" w:eastAsia="宋体" w:cs="宋体"/>
                <w:b w:val="0"/>
                <w:bCs w:val="0"/>
                <w:sz w:val="20"/>
                <w:szCs w:val="20"/>
                <w:lang w:val="en-US" w:eastAsia="zh-CN"/>
              </w:rPr>
              <w:fldChar w:fldCharType="separate"/>
            </w:r>
            <w:r>
              <w:rPr>
                <w:rStyle w:val="11"/>
                <w:rFonts w:hint="eastAsia" w:ascii="宋体" w:hAnsi="宋体" w:eastAsia="宋体" w:cs="宋体"/>
                <w:b w:val="0"/>
                <w:bCs w:val="0"/>
                <w:sz w:val="20"/>
                <w:szCs w:val="20"/>
                <w:lang w:val="en-US" w:eastAsia="zh-CN"/>
              </w:rPr>
              <w:t>https://blog.csdn.net/u011436273/article/details/127714154</w:t>
            </w:r>
            <w:r>
              <w:rPr>
                <w:rFonts w:hint="eastAsia" w:ascii="宋体" w:hAnsi="宋体" w:eastAsia="宋体" w:cs="宋体"/>
                <w:b w:val="0"/>
                <w:bCs w:val="0"/>
                <w:sz w:val="20"/>
                <w:szCs w:val="20"/>
                <w:lang w:val="en-US" w:eastAsia="zh-CN"/>
              </w:rPr>
              <w:fldChar w:fldCharType="end"/>
            </w:r>
            <w:r>
              <w:rPr>
                <w:rFonts w:hint="eastAsia" w:ascii="宋体" w:hAnsi="宋体" w:eastAsia="宋体" w:cs="宋体"/>
                <w:b w:val="0"/>
                <w:bCs w:val="0"/>
                <w:sz w:val="20"/>
                <w:szCs w:val="20"/>
                <w:lang w:val="en-US" w:eastAsia="zh-CN"/>
              </w:rPr>
              <w:t xml:space="preserve"> </w:t>
            </w:r>
            <w:r>
              <w:rPr>
                <w:rFonts w:hint="eastAsia" w:ascii="宋体" w:hAnsi="宋体" w:eastAsia="宋体"/>
                <w:sz w:val="20"/>
                <w:szCs w:val="20"/>
                <w:lang w:val="en-US" w:eastAsia="zh-CN"/>
              </w:rPr>
              <w:t xml:space="preserve"> </w:t>
            </w:r>
            <w:r>
              <w:rPr>
                <w:rFonts w:hint="default" w:ascii="Helvetica" w:hAnsi="Helvetica" w:eastAsia="Helvetica" w:cs="Helvetica"/>
                <w:b w:val="0"/>
                <w:bCs w:val="0"/>
                <w:i w:val="0"/>
                <w:iCs w:val="0"/>
                <w:caps w:val="0"/>
                <w:color w:val="333333"/>
                <w:spacing w:val="0"/>
                <w:sz w:val="20"/>
                <w:szCs w:val="20"/>
                <w:shd w:val="clear" w:fill="FFFFFF"/>
              </w:rPr>
              <w:t>CubeFS存储技术揭秘(3)— 均衡、巡检与故障自愈</w:t>
            </w:r>
          </w:p>
          <w:p w14:paraId="1A1BDFB5">
            <w:pPr>
              <w:snapToGrid w:val="0"/>
              <w:spacing w:line="276" w:lineRule="auto"/>
              <w:rPr>
                <w:rFonts w:hint="eastAsia" w:ascii="Helvetica" w:hAnsi="Helvetica" w:eastAsia="Helvetica" w:cs="Helvetica"/>
                <w:b w:val="0"/>
                <w:bCs w:val="0"/>
                <w:i w:val="0"/>
                <w:iCs w:val="0"/>
                <w:caps w:val="0"/>
                <w:color w:val="333333"/>
                <w:spacing w:val="0"/>
                <w:sz w:val="20"/>
                <w:szCs w:val="20"/>
                <w:shd w:val="clear" w:fill="FFFFFF"/>
                <w:lang w:val="en-US" w:eastAsia="zh-CN"/>
              </w:rPr>
            </w:pPr>
          </w:p>
          <w:p w14:paraId="4E07CAC0">
            <w:pPr>
              <w:snapToGrid w:val="0"/>
              <w:spacing w:line="276" w:lineRule="auto"/>
              <w:rPr>
                <w:rFonts w:hint="default" w:ascii="Helvetica" w:hAnsi="Helvetica" w:eastAsia="宋体" w:cs="Helvetica"/>
                <w:b w:val="0"/>
                <w:bCs w:val="0"/>
                <w:i w:val="0"/>
                <w:iCs w:val="0"/>
                <w:caps w:val="0"/>
                <w:color w:val="333333"/>
                <w:spacing w:val="0"/>
                <w:sz w:val="20"/>
                <w:szCs w:val="20"/>
                <w:shd w:val="clear" w:fill="FFFFFF"/>
                <w:lang w:val="en-US" w:eastAsia="zh-CN"/>
              </w:rPr>
            </w:pPr>
            <w:r>
              <w:rPr>
                <w:rFonts w:hint="eastAsia" w:ascii="Helvetica" w:hAnsi="Helvetica" w:eastAsia="宋体" w:cs="Helvetica"/>
                <w:b w:val="0"/>
                <w:bCs w:val="0"/>
                <w:i w:val="0"/>
                <w:iCs w:val="0"/>
                <w:caps w:val="0"/>
                <w:color w:val="333333"/>
                <w:spacing w:val="0"/>
                <w:sz w:val="20"/>
                <w:szCs w:val="20"/>
                <w:shd w:val="clear" w:fill="FFFFFF"/>
                <w:lang w:val="en-US" w:eastAsia="zh-CN"/>
              </w:rPr>
              <w:t>该技术主要是扫描元数据，读取相关数据进而判断出错的数据，我们则是全量扫描加增量扫描相结合，全量扫描负责扫描元数据，时间可配置，基本1周或者一个月才运行一次，增量扫描则是每天运行，针对日志进行扫描，对</w:t>
            </w:r>
            <w:r>
              <w:rPr>
                <w:rFonts w:hint="eastAsia" w:ascii="Helvetica" w:hAnsi="Helvetica" w:eastAsia="宋体" w:cs="Helvetica"/>
                <w:b w:val="0"/>
                <w:bCs w:val="0"/>
                <w:i w:val="0"/>
                <w:iCs w:val="0"/>
                <w:caps w:val="0"/>
                <w:color w:val="333333"/>
                <w:spacing w:val="0"/>
                <w:sz w:val="20"/>
                <w:szCs w:val="20"/>
                <w:shd w:val="clear" w:fill="FFFFFF"/>
                <w:lang w:val="en-US" w:eastAsia="zh-CN"/>
              </w:rPr>
              <w:t>原本业务运转</w:t>
            </w:r>
            <w:r>
              <w:rPr>
                <w:rFonts w:hint="eastAsia" w:ascii="Helvetica" w:hAnsi="Helvetica" w:eastAsia="宋体" w:cs="Helvetica"/>
                <w:b w:val="0"/>
                <w:bCs w:val="0"/>
                <w:i w:val="0"/>
                <w:iCs w:val="0"/>
                <w:caps w:val="0"/>
                <w:color w:val="333333"/>
                <w:spacing w:val="0"/>
                <w:sz w:val="20"/>
                <w:szCs w:val="20"/>
                <w:shd w:val="clear" w:fill="FFFFFF"/>
                <w:lang w:val="en-US" w:eastAsia="zh-CN"/>
              </w:rPr>
              <w:t>影响很小，且支持对象存储桶</w:t>
            </w:r>
            <w:bookmarkStart w:id="1" w:name="_GoBack"/>
            <w:bookmarkEnd w:id="1"/>
            <w:r>
              <w:rPr>
                <w:rFonts w:hint="eastAsia" w:ascii="Helvetica" w:hAnsi="Helvetica" w:eastAsia="宋体" w:cs="Helvetica"/>
                <w:b w:val="0"/>
                <w:bCs w:val="0"/>
                <w:i w:val="0"/>
                <w:iCs w:val="0"/>
                <w:caps w:val="0"/>
                <w:color w:val="333333"/>
                <w:spacing w:val="0"/>
                <w:sz w:val="20"/>
                <w:szCs w:val="20"/>
                <w:shd w:val="clear" w:fill="FFFFFF"/>
                <w:lang w:val="en-US" w:eastAsia="zh-CN"/>
              </w:rPr>
              <w:t>级别的巡检。</w:t>
            </w:r>
          </w:p>
          <w:p w14:paraId="75773B35">
            <w:pPr>
              <w:snapToGrid w:val="0"/>
              <w:spacing w:line="276" w:lineRule="auto"/>
              <w:rPr>
                <w:rFonts w:hint="eastAsia" w:ascii="宋体" w:hAnsi="宋体" w:eastAsia="宋体" w:cstheme="minorBidi"/>
                <w:b w:val="0"/>
                <w:bCs w:val="0"/>
                <w:kern w:val="2"/>
                <w:sz w:val="20"/>
                <w:szCs w:val="20"/>
                <w:lang w:val="en-US" w:eastAsia="zh-CN" w:bidi="ar-SA"/>
              </w:rPr>
            </w:pPr>
          </w:p>
        </w:tc>
      </w:tr>
      <w:tr w14:paraId="25E2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374"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0CB56809">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703D6C4">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19EAF6ED">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填写说明：包括网址、篇名、已公布的技术方案、与该发明专利的异同等。最接近现有技术、期刊涉及主要内容可参考最相关的专利文献</w:t>
            </w:r>
          </w:p>
        </w:tc>
      </w:tr>
      <w:tr w14:paraId="344A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2491"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3586BD48">
            <w:pPr>
              <w:snapToGrid w:val="0"/>
              <w:spacing w:line="276" w:lineRule="auto"/>
              <w:jc w:val="center"/>
              <w:rPr>
                <w:rFonts w:hint="eastAsia" w:ascii="宋体" w:hAnsi="宋体" w:eastAsia="宋体" w:cs="宋体"/>
                <w:sz w:val="20"/>
                <w:szCs w:val="20"/>
              </w:rPr>
            </w:pPr>
          </w:p>
          <w:p w14:paraId="6F3E6DD7">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期刊、学术论文等资料检索</w:t>
            </w: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55A78AC5">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文章题目、主要内容及对比分析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65FD4A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1" w:beforeAutospacing="0" w:after="141" w:afterAutospacing="0" w:line="350" w:lineRule="atLeast"/>
              <w:ind w:left="0" w:right="0" w:firstLine="0"/>
              <w:jc w:val="center"/>
              <w:textAlignment w:val="center"/>
              <w:rPr>
                <w:rFonts w:ascii="微软雅黑" w:hAnsi="微软雅黑" w:eastAsia="微软雅黑" w:cs="微软雅黑"/>
                <w:b w:val="0"/>
                <w:bCs w:val="0"/>
                <w:i w:val="0"/>
                <w:iCs w:val="0"/>
                <w:caps w:val="0"/>
                <w:color w:val="333333"/>
                <w:spacing w:val="0"/>
                <w:sz w:val="24"/>
                <w:szCs w:val="24"/>
              </w:rPr>
            </w:pPr>
            <w:r>
              <w:rPr>
                <w:rFonts w:hint="eastAsia" w:ascii="微软雅黑" w:hAnsi="微软雅黑" w:eastAsia="微软雅黑" w:cs="微软雅黑"/>
                <w:b w:val="0"/>
                <w:bCs w:val="0"/>
                <w:i w:val="0"/>
                <w:iCs w:val="0"/>
                <w:caps w:val="0"/>
                <w:color w:val="333333"/>
                <w:spacing w:val="0"/>
                <w:sz w:val="24"/>
                <w:szCs w:val="24"/>
                <w:shd w:val="clear" w:fill="FFFFFF"/>
              </w:rPr>
              <w:t>一种分布式对象存储在巡检系统中的研究应用</w:t>
            </w:r>
          </w:p>
          <w:p w14:paraId="3898B087">
            <w:pPr>
              <w:snapToGrid w:val="0"/>
              <w:spacing w:line="276" w:lineRule="auto"/>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该文件仅仅是讲述了在巡检系统中如何利用MinIO存储巡检产生的数据，而本技术则是倾向于对对象存储不同桶、用户、地域进行容量巡检，继而快速发现风险。</w:t>
            </w:r>
          </w:p>
        </w:tc>
      </w:tr>
      <w:tr w14:paraId="62D1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60" w:type="dxa"/>
            <w:bottom w:w="120" w:type="dxa"/>
            <w:right w:w="60" w:type="dxa"/>
          </w:tblCellMar>
        </w:tblPrEx>
        <w:trPr>
          <w:trHeight w:val="162"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057486C6">
            <w:pPr>
              <w:snapToGrid w:val="0"/>
              <w:spacing w:line="276" w:lineRule="auto"/>
              <w:jc w:val="center"/>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60074BD3">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76C1C371">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填写说明：包括出处、页码、已公布的技术方案、与该发明专利的异同等</w:t>
            </w:r>
          </w:p>
        </w:tc>
      </w:tr>
    </w:tbl>
    <w:p w14:paraId="348C8595">
      <w:pPr>
        <w:snapToGrid w:val="0"/>
        <w:spacing w:line="276" w:lineRule="auto"/>
        <w:jc w:val="left"/>
        <w:rPr>
          <w:rFonts w:ascii="宋体" w:hAnsi="宋体" w:eastAsia="宋体"/>
          <w:szCs w:val="21"/>
        </w:rPr>
      </w:pPr>
    </w:p>
    <w:sectPr>
      <w:footerReference r:id="rId3" w:type="default"/>
      <w:pgSz w:w="11906" w:h="16838"/>
      <w:pgMar w:top="1418" w:right="1797" w:bottom="1418"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Wingdings 2">
    <w:panose1 w:val="050201020105070707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Noto Sans SC">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8061764"/>
      <w:docPartObj>
        <w:docPartGallery w:val="autotext"/>
      </w:docPartObj>
    </w:sdtPr>
    <w:sdtContent>
      <w:sdt>
        <w:sdtPr>
          <w:id w:val="1728636285"/>
          <w:docPartObj>
            <w:docPartGallery w:val="autotext"/>
          </w:docPartObj>
        </w:sdtPr>
        <w:sdtContent>
          <w:p w14:paraId="3F5367E2">
            <w:pPr>
              <w:pStyle w:val="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4B6753C0">
    <w:pPr>
      <w:snapToGrid w:val="0"/>
      <w:ind w:right="360"/>
      <w:jc w:val="left"/>
      <w:rPr>
        <w:rFonts w:ascii="宋体" w:hAnsi="宋体" w:eastAsia="宋体"/>
        <w:color w:val="000000"/>
        <w:sz w:val="18"/>
        <w:szCs w:val="1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BD9322"/>
    <w:multiLevelType w:val="singleLevel"/>
    <w:tmpl w:val="85BD9322"/>
    <w:lvl w:ilvl="0" w:tentative="0">
      <w:start w:val="1"/>
      <w:numFmt w:val="decimal"/>
      <w:suff w:val="nothing"/>
      <w:lvlText w:val="%1、"/>
      <w:lvlJc w:val="left"/>
    </w:lvl>
  </w:abstractNum>
  <w:abstractNum w:abstractNumId="1">
    <w:nsid w:val="86F817F2"/>
    <w:multiLevelType w:val="singleLevel"/>
    <w:tmpl w:val="86F817F2"/>
    <w:lvl w:ilvl="0" w:tentative="0">
      <w:start w:val="1"/>
      <w:numFmt w:val="decimal"/>
      <w:suff w:val="space"/>
      <w:lvlText w:val="%1、"/>
      <w:lvlJc w:val="left"/>
    </w:lvl>
  </w:abstractNum>
  <w:abstractNum w:abstractNumId="2">
    <w:nsid w:val="8804438F"/>
    <w:multiLevelType w:val="singleLevel"/>
    <w:tmpl w:val="8804438F"/>
    <w:lvl w:ilvl="0" w:tentative="0">
      <w:start w:val="1"/>
      <w:numFmt w:val="decimal"/>
      <w:suff w:val="space"/>
      <w:lvlText w:val="%1、"/>
      <w:lvlJc w:val="left"/>
    </w:lvl>
  </w:abstractNum>
  <w:abstractNum w:abstractNumId="3">
    <w:nsid w:val="AF24A5D7"/>
    <w:multiLevelType w:val="singleLevel"/>
    <w:tmpl w:val="AF24A5D7"/>
    <w:lvl w:ilvl="0" w:tentative="0">
      <w:start w:val="1"/>
      <w:numFmt w:val="decimal"/>
      <w:suff w:val="space"/>
      <w:lvlText w:val="（%1）"/>
      <w:lvlJc w:val="left"/>
    </w:lvl>
  </w:abstractNum>
  <w:abstractNum w:abstractNumId="4">
    <w:nsid w:val="C781AA7D"/>
    <w:multiLevelType w:val="singleLevel"/>
    <w:tmpl w:val="C781AA7D"/>
    <w:lvl w:ilvl="0" w:tentative="0">
      <w:start w:val="1"/>
      <w:numFmt w:val="decimal"/>
      <w:suff w:val="space"/>
      <w:lvlText w:val="%1."/>
      <w:lvlJc w:val="left"/>
      <w:pPr>
        <w:ind w:left="200" w:leftChars="0" w:firstLine="0" w:firstLineChars="0"/>
      </w:pPr>
    </w:lvl>
  </w:abstractNum>
  <w:abstractNum w:abstractNumId="5">
    <w:nsid w:val="D6640256"/>
    <w:multiLevelType w:val="singleLevel"/>
    <w:tmpl w:val="D6640256"/>
    <w:lvl w:ilvl="0" w:tentative="0">
      <w:start w:val="1"/>
      <w:numFmt w:val="decimal"/>
      <w:suff w:val="space"/>
      <w:lvlText w:val="%1、"/>
      <w:lvlJc w:val="left"/>
    </w:lvl>
  </w:abstractNum>
  <w:abstractNum w:abstractNumId="6">
    <w:nsid w:val="DB658091"/>
    <w:multiLevelType w:val="singleLevel"/>
    <w:tmpl w:val="DB658091"/>
    <w:lvl w:ilvl="0" w:tentative="0">
      <w:start w:val="1"/>
      <w:numFmt w:val="decimal"/>
      <w:suff w:val="space"/>
      <w:lvlText w:val="%1、"/>
      <w:lvlJc w:val="left"/>
    </w:lvl>
  </w:abstractNum>
  <w:abstractNum w:abstractNumId="7">
    <w:nsid w:val="DB6A5E12"/>
    <w:multiLevelType w:val="singleLevel"/>
    <w:tmpl w:val="DB6A5E12"/>
    <w:lvl w:ilvl="0" w:tentative="0">
      <w:start w:val="1"/>
      <w:numFmt w:val="decimal"/>
      <w:suff w:val="space"/>
      <w:lvlText w:val="%1、"/>
      <w:lvlJc w:val="left"/>
    </w:lvl>
  </w:abstractNum>
  <w:abstractNum w:abstractNumId="8">
    <w:nsid w:val="4DE9A8A9"/>
    <w:multiLevelType w:val="singleLevel"/>
    <w:tmpl w:val="4DE9A8A9"/>
    <w:lvl w:ilvl="0" w:tentative="0">
      <w:start w:val="1"/>
      <w:numFmt w:val="decimal"/>
      <w:suff w:val="space"/>
      <w:lvlText w:val="%1."/>
      <w:lvlJc w:val="left"/>
      <w:pPr>
        <w:ind w:left="200" w:leftChars="0" w:firstLine="0" w:firstLineChars="0"/>
      </w:pPr>
    </w:lvl>
  </w:abstractNum>
  <w:abstractNum w:abstractNumId="9">
    <w:nsid w:val="6FAC69CD"/>
    <w:multiLevelType w:val="multilevel"/>
    <w:tmpl w:val="6FAC69CD"/>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02F02B4"/>
    <w:multiLevelType w:val="singleLevel"/>
    <w:tmpl w:val="702F02B4"/>
    <w:lvl w:ilvl="0" w:tentative="0">
      <w:start w:val="1"/>
      <w:numFmt w:val="decimal"/>
      <w:suff w:val="nothing"/>
      <w:lvlText w:val="%1、"/>
      <w:lvlJc w:val="left"/>
    </w:lvl>
  </w:abstractNum>
  <w:num w:numId="1">
    <w:abstractNumId w:val="9"/>
  </w:num>
  <w:num w:numId="2">
    <w:abstractNumId w:val="3"/>
  </w:num>
  <w:num w:numId="3">
    <w:abstractNumId w:val="4"/>
  </w:num>
  <w:num w:numId="4">
    <w:abstractNumId w:val="8"/>
  </w:num>
  <w:num w:numId="5">
    <w:abstractNumId w:val="10"/>
  </w:num>
  <w:num w:numId="6">
    <w:abstractNumId w:val="1"/>
  </w:num>
  <w:num w:numId="7">
    <w:abstractNumId w:val="6"/>
  </w:num>
  <w:num w:numId="8">
    <w:abstractNumId w:val="7"/>
  </w:num>
  <w:num w:numId="9">
    <w:abstractNumId w:val="2"/>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ZhZDA4ZjEyYmQ2ZTMyNTVmZjU2YWMwN2QyMzY1NTIifQ=="/>
  </w:docVars>
  <w:rsids>
    <w:rsidRoot w:val="00BA0C1A"/>
    <w:rsid w:val="00072BF8"/>
    <w:rsid w:val="00094CD0"/>
    <w:rsid w:val="000C51B7"/>
    <w:rsid w:val="000C522A"/>
    <w:rsid w:val="000E0EA2"/>
    <w:rsid w:val="00117D85"/>
    <w:rsid w:val="001214A2"/>
    <w:rsid w:val="001B59EB"/>
    <w:rsid w:val="001E2531"/>
    <w:rsid w:val="00216EB9"/>
    <w:rsid w:val="00290D01"/>
    <w:rsid w:val="002D2736"/>
    <w:rsid w:val="002D38A3"/>
    <w:rsid w:val="003423D1"/>
    <w:rsid w:val="00373E7B"/>
    <w:rsid w:val="00395A27"/>
    <w:rsid w:val="003D2F52"/>
    <w:rsid w:val="004727F8"/>
    <w:rsid w:val="004D0A20"/>
    <w:rsid w:val="004F0EA1"/>
    <w:rsid w:val="0059531B"/>
    <w:rsid w:val="005977CB"/>
    <w:rsid w:val="005B333C"/>
    <w:rsid w:val="005F2FBA"/>
    <w:rsid w:val="00616505"/>
    <w:rsid w:val="0062213C"/>
    <w:rsid w:val="00633F40"/>
    <w:rsid w:val="00646872"/>
    <w:rsid w:val="006549AD"/>
    <w:rsid w:val="00670A28"/>
    <w:rsid w:val="00684D9C"/>
    <w:rsid w:val="006960BB"/>
    <w:rsid w:val="006B69BE"/>
    <w:rsid w:val="006E6EDC"/>
    <w:rsid w:val="00701047"/>
    <w:rsid w:val="007752BA"/>
    <w:rsid w:val="00786B70"/>
    <w:rsid w:val="00876F0D"/>
    <w:rsid w:val="00882246"/>
    <w:rsid w:val="008F467F"/>
    <w:rsid w:val="0090660B"/>
    <w:rsid w:val="00911B86"/>
    <w:rsid w:val="0094592B"/>
    <w:rsid w:val="009C63BC"/>
    <w:rsid w:val="00A51BFC"/>
    <w:rsid w:val="00A60633"/>
    <w:rsid w:val="00A92CE1"/>
    <w:rsid w:val="00B72665"/>
    <w:rsid w:val="00B92FF3"/>
    <w:rsid w:val="00BA0C1A"/>
    <w:rsid w:val="00C061CB"/>
    <w:rsid w:val="00C3138A"/>
    <w:rsid w:val="00C604EC"/>
    <w:rsid w:val="00C72E54"/>
    <w:rsid w:val="00D67337"/>
    <w:rsid w:val="00E205D8"/>
    <w:rsid w:val="00E24201"/>
    <w:rsid w:val="00E26251"/>
    <w:rsid w:val="00EA1EE8"/>
    <w:rsid w:val="00F1415E"/>
    <w:rsid w:val="00F35A92"/>
    <w:rsid w:val="00F53662"/>
    <w:rsid w:val="00FA40E3"/>
    <w:rsid w:val="00FC1D5F"/>
    <w:rsid w:val="00FD15C4"/>
    <w:rsid w:val="00FD4160"/>
    <w:rsid w:val="01A86C2C"/>
    <w:rsid w:val="01DA25BA"/>
    <w:rsid w:val="01F94A50"/>
    <w:rsid w:val="03646034"/>
    <w:rsid w:val="045C335B"/>
    <w:rsid w:val="04621141"/>
    <w:rsid w:val="083D07F0"/>
    <w:rsid w:val="09CD573F"/>
    <w:rsid w:val="0A7A46D0"/>
    <w:rsid w:val="0E43752E"/>
    <w:rsid w:val="0EA50BD6"/>
    <w:rsid w:val="0F5870BD"/>
    <w:rsid w:val="1028025F"/>
    <w:rsid w:val="105E3B74"/>
    <w:rsid w:val="12E4180D"/>
    <w:rsid w:val="12EA6E5D"/>
    <w:rsid w:val="14415662"/>
    <w:rsid w:val="155F037C"/>
    <w:rsid w:val="16F6268C"/>
    <w:rsid w:val="19151A97"/>
    <w:rsid w:val="192A752F"/>
    <w:rsid w:val="1C2C4424"/>
    <w:rsid w:val="1C6C7C4F"/>
    <w:rsid w:val="1CD54CE6"/>
    <w:rsid w:val="1DEC38DC"/>
    <w:rsid w:val="200547B4"/>
    <w:rsid w:val="215E4BF2"/>
    <w:rsid w:val="29BD3F36"/>
    <w:rsid w:val="2C032BEE"/>
    <w:rsid w:val="2E074302"/>
    <w:rsid w:val="30456175"/>
    <w:rsid w:val="30A30272"/>
    <w:rsid w:val="34FE2101"/>
    <w:rsid w:val="36772279"/>
    <w:rsid w:val="37170877"/>
    <w:rsid w:val="3AE61D99"/>
    <w:rsid w:val="3BB93D7D"/>
    <w:rsid w:val="3C442937"/>
    <w:rsid w:val="3D1A50E1"/>
    <w:rsid w:val="3DD420E3"/>
    <w:rsid w:val="3E726EF0"/>
    <w:rsid w:val="434067C1"/>
    <w:rsid w:val="452F78E8"/>
    <w:rsid w:val="458A2D71"/>
    <w:rsid w:val="485B2011"/>
    <w:rsid w:val="49D10110"/>
    <w:rsid w:val="49D722FD"/>
    <w:rsid w:val="4A9425D2"/>
    <w:rsid w:val="4C14606E"/>
    <w:rsid w:val="4C5C2F8D"/>
    <w:rsid w:val="4DA03055"/>
    <w:rsid w:val="4EF342DE"/>
    <w:rsid w:val="4FC13833"/>
    <w:rsid w:val="50081462"/>
    <w:rsid w:val="507F63B0"/>
    <w:rsid w:val="50D151B9"/>
    <w:rsid w:val="53CB31ED"/>
    <w:rsid w:val="54E35FFA"/>
    <w:rsid w:val="568D20C3"/>
    <w:rsid w:val="56A913AA"/>
    <w:rsid w:val="585D45E2"/>
    <w:rsid w:val="588261BD"/>
    <w:rsid w:val="59A14AFA"/>
    <w:rsid w:val="59E65F92"/>
    <w:rsid w:val="5AEE29D0"/>
    <w:rsid w:val="5C227C2E"/>
    <w:rsid w:val="5CE02E8C"/>
    <w:rsid w:val="5E77771D"/>
    <w:rsid w:val="5F4A2693"/>
    <w:rsid w:val="60870AB7"/>
    <w:rsid w:val="629379BE"/>
    <w:rsid w:val="632C35AB"/>
    <w:rsid w:val="63493E13"/>
    <w:rsid w:val="64007040"/>
    <w:rsid w:val="65CC08DA"/>
    <w:rsid w:val="66B4679A"/>
    <w:rsid w:val="6B7A19CE"/>
    <w:rsid w:val="6CA01AC4"/>
    <w:rsid w:val="6CEA475F"/>
    <w:rsid w:val="6EAF13B0"/>
    <w:rsid w:val="6FC42376"/>
    <w:rsid w:val="71061E72"/>
    <w:rsid w:val="727442DD"/>
    <w:rsid w:val="739A0AD1"/>
    <w:rsid w:val="74132F27"/>
    <w:rsid w:val="74536827"/>
    <w:rsid w:val="747846C3"/>
    <w:rsid w:val="76DD5656"/>
    <w:rsid w:val="7765374C"/>
    <w:rsid w:val="78941EA3"/>
    <w:rsid w:val="78A74AFF"/>
    <w:rsid w:val="7A3B2499"/>
    <w:rsid w:val="7FFD6B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6"/>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FollowedHyperlink"/>
    <w:basedOn w:val="9"/>
    <w:semiHidden/>
    <w:unhideWhenUsed/>
    <w:qFormat/>
    <w:uiPriority w:val="99"/>
    <w:rPr>
      <w:color w:val="800080"/>
      <w:u w:val="single"/>
    </w:rPr>
  </w:style>
  <w:style w:type="character" w:styleId="12">
    <w:name w:val="Hyperlink"/>
    <w:basedOn w:val="9"/>
    <w:semiHidden/>
    <w:unhideWhenUsed/>
    <w:qFormat/>
    <w:uiPriority w:val="99"/>
    <w:rPr>
      <w:color w:val="0000FF"/>
      <w:u w:val="single"/>
    </w:rPr>
  </w:style>
  <w:style w:type="character" w:customStyle="1" w:styleId="13">
    <w:name w:val="页眉 字符"/>
    <w:basedOn w:val="9"/>
    <w:link w:val="5"/>
    <w:semiHidden/>
    <w:qFormat/>
    <w:uiPriority w:val="99"/>
    <w:rPr>
      <w:sz w:val="18"/>
      <w:szCs w:val="18"/>
    </w:rPr>
  </w:style>
  <w:style w:type="character" w:customStyle="1" w:styleId="14">
    <w:name w:val="页脚 字符"/>
    <w:basedOn w:val="9"/>
    <w:link w:val="4"/>
    <w:qFormat/>
    <w:uiPriority w:val="99"/>
    <w:rPr>
      <w:sz w:val="18"/>
      <w:szCs w:val="18"/>
    </w:rPr>
  </w:style>
  <w:style w:type="paragraph" w:styleId="15">
    <w:name w:val="List Paragraph"/>
    <w:basedOn w:val="1"/>
    <w:qFormat/>
    <w:uiPriority w:val="34"/>
    <w:pPr>
      <w:ind w:firstLine="420" w:firstLineChars="200"/>
    </w:pPr>
  </w:style>
  <w:style w:type="character" w:customStyle="1" w:styleId="16">
    <w:name w:val="批注框文本 字符"/>
    <w:basedOn w:val="9"/>
    <w:link w:val="3"/>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ns10="http://schemas.openxmlformats.org/schemaLibrary/2006/main" xmlns:wne="http://schemas.microsoft.com/office/word/2006/wordml" xmlns:c="http://schemas.openxmlformats.org/drawingml/2006/chart" xmlns:ns13="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20="urn:schemas-microsoft-com:office:excel" xmlns:w10="urn:schemas-microsoft-com:office:word" xmlns:ns22="urn:schemas-microsoft-com:office:powerpoint" xmlns:ns24="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etp="http://schemas.microsoft.com/office/webextensions/taskpanes/2010/11" xmlns:we="http://schemas.microsoft.com/office/webextensions/webextension/2010/11" xmlns:ns34="http://schemas.openxmlformats.org/drawingml/2006/compatibility" xmlns:ns35="http://schemas.openxmlformats.org/drawingml/2006/lockedCanvas" SelectedStyle="\APASixthEditionOfficeOnline.xsl" StyleName="APA"/>
</file>

<file path=customXml/itemProps1.xml><?xml version="1.0" encoding="utf-8"?>
<ds:datastoreItem xmlns:ds="http://schemas.openxmlformats.org/officeDocument/2006/customXml" ds:itemID="{519BC990-40FD-42B6-B8DA-69B41A76D25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9</Pages>
  <Words>5184</Words>
  <Characters>6394</Characters>
  <Lines>15</Lines>
  <Paragraphs>4</Paragraphs>
  <TotalTime>0</TotalTime>
  <ScaleCrop>false</ScaleCrop>
  <LinksUpToDate>false</LinksUpToDate>
  <CharactersWithSpaces>6476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2020-09-23T08:49:00Z</dcterms:created>
  <dc:creator>Tencent</dc:creator>
  <cp:lastModifiedBy>爱穿秋裤的赵小雷</cp:lastModifiedBy>
  <cp:lastPrinted>2020-12-03T12:37:00Z</cp:lastPrinted>
  <dcterms:modified xsi:type="dcterms:W3CDTF">2025-08-04T07:54:36Z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B7CBCFE92DFF4714921EDCDEA52B40F6_13</vt:lpwstr>
  </property>
  <property fmtid="{D5CDD505-2E9C-101B-9397-08002B2CF9AE}" pid="4" name="KSOTemplateDocerSaveRecord">
    <vt:lpwstr>eyJoZGlkIjoiNzJlMWZkMzM5MWIyYWY3YzlmOTY0NDgzYzNhODMzZDciLCJ1c2VySWQiOiIzNzExMzEyMTMifQ==</vt:lpwstr>
  </property>
</Properties>
</file>