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2D75">
      <w:pPr>
        <w:snapToGrid w:val="0"/>
        <w:spacing w:line="276" w:lineRule="auto"/>
        <w:rPr>
          <w:rFonts w:ascii="微软雅黑" w:hAnsi="微软雅黑" w:eastAsia="微软雅黑"/>
          <w:sz w:val="32"/>
          <w:szCs w:val="32"/>
        </w:rPr>
      </w:pPr>
      <w:r>
        <w:rPr>
          <w:rFonts w:ascii="微软雅黑" w:hAnsi="微软雅黑" w:eastAsia="微软雅黑"/>
          <w:sz w:val="32"/>
          <w:szCs w:val="32"/>
        </w:rPr>
        <w:t xml:space="preserve">附件一：                        </w:t>
      </w:r>
    </w:p>
    <w:p w14:paraId="3B7FA4F9">
      <w:pPr>
        <w:snapToGrid w:val="0"/>
        <w:spacing w:line="276" w:lineRule="auto"/>
        <w:jc w:val="center"/>
        <w:rPr>
          <w:rFonts w:ascii="微软雅黑" w:hAnsi="微软雅黑" w:eastAsia="微软雅黑"/>
          <w:b/>
          <w:bCs/>
          <w:sz w:val="44"/>
          <w:szCs w:val="44"/>
        </w:rPr>
      </w:pPr>
      <w:r>
        <w:rPr>
          <w:rFonts w:hint="eastAsia" w:ascii="微软雅黑" w:hAnsi="微软雅黑" w:eastAsia="微软雅黑"/>
          <w:b/>
          <w:bCs/>
          <w:sz w:val="44"/>
          <w:szCs w:val="44"/>
        </w:rPr>
        <w:t>发明/实用新型技术</w:t>
      </w:r>
      <w:r>
        <w:rPr>
          <w:rFonts w:ascii="微软雅黑" w:hAnsi="微软雅黑" w:eastAsia="微软雅黑"/>
          <w:b/>
          <w:bCs/>
          <w:sz w:val="44"/>
          <w:szCs w:val="44"/>
        </w:rPr>
        <w:t>交底书</w:t>
      </w:r>
    </w:p>
    <w:p w14:paraId="2F2F2CB7">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rPr>
        <w:t>*申报专利类型为发明/实用新型，应填写此表及</w:t>
      </w:r>
      <w:r>
        <w:rPr>
          <w:rFonts w:hint="eastAsia" w:ascii="宋体" w:hAnsi="宋体" w:eastAsia="宋体" w:cs="宋体"/>
          <w:b/>
          <w:bCs/>
          <w:sz w:val="20"/>
          <w:szCs w:val="20"/>
          <w:lang w:val="en-US" w:eastAsia="zh-CN"/>
        </w:rPr>
        <w:t>第二</w:t>
      </w:r>
      <w:r>
        <w:rPr>
          <w:rFonts w:hint="eastAsia" w:ascii="宋体" w:hAnsi="宋体" w:eastAsia="宋体" w:cs="宋体"/>
          <w:b/>
          <w:bCs/>
          <w:sz w:val="20"/>
          <w:szCs w:val="20"/>
        </w:rPr>
        <w:t>部分的检索报告（表格不够可另附页）</w:t>
      </w:r>
    </w:p>
    <w:tbl>
      <w:tblPr>
        <w:tblStyle w:val="9"/>
        <w:tblW w:w="822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1"/>
        <w:gridCol w:w="4111"/>
      </w:tblGrid>
      <w:tr w14:paraId="799A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03959EA2">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rPr>
              <w:t xml:space="preserve">第一部分 </w:t>
            </w:r>
            <w:r>
              <w:rPr>
                <w:rFonts w:hint="eastAsia" w:ascii="宋体" w:hAnsi="宋体" w:eastAsia="宋体" w:cs="宋体"/>
                <w:b/>
                <w:bCs/>
                <w:sz w:val="36"/>
                <w:szCs w:val="36"/>
                <w:lang w:val="en-US" w:eastAsia="zh-CN"/>
              </w:rPr>
              <w:t>技术方案说明</w:t>
            </w:r>
          </w:p>
        </w:tc>
      </w:tr>
      <w:tr w14:paraId="380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34"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7F690A78">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提案名称：一种基于广域分布式存储的数据流动方法</w:t>
            </w:r>
          </w:p>
        </w:tc>
      </w:tr>
      <w:tr w14:paraId="28A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25" w:hRule="atLeast"/>
        </w:trPr>
        <w:tc>
          <w:tcPr>
            <w:tcW w:w="4111" w:type="dxa"/>
            <w:tcBorders>
              <w:top w:val="single" w:color="000000" w:sz="8" w:space="0"/>
              <w:left w:val="single" w:color="000000" w:sz="8" w:space="0"/>
              <w:bottom w:val="single" w:color="auto" w:sz="4" w:space="0"/>
              <w:right w:val="single" w:color="000000" w:sz="8" w:space="0"/>
            </w:tcBorders>
          </w:tcPr>
          <w:p w14:paraId="4D93EEDA">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申报单位：联通数字科技有限公司</w:t>
            </w:r>
          </w:p>
        </w:tc>
        <w:tc>
          <w:tcPr>
            <w:tcW w:w="4111" w:type="dxa"/>
            <w:tcBorders>
              <w:top w:val="single" w:color="000000" w:sz="8" w:space="0"/>
              <w:left w:val="single" w:color="000000" w:sz="8" w:space="0"/>
              <w:bottom w:val="single" w:color="auto" w:sz="4" w:space="0"/>
              <w:right w:val="single" w:color="000000" w:sz="8" w:space="0"/>
            </w:tcBorders>
          </w:tcPr>
          <w:p w14:paraId="39B04228">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技术联系人：黄辉辉</w:t>
            </w:r>
          </w:p>
        </w:tc>
      </w:tr>
      <w:tr w14:paraId="7E6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3588F962">
            <w:pPr>
              <w:pStyle w:val="17"/>
              <w:numPr>
                <w:ilvl w:val="0"/>
                <w:numId w:val="1"/>
              </w:numPr>
              <w:snapToGrid w:val="0"/>
              <w:spacing w:line="276" w:lineRule="auto"/>
              <w:ind w:left="360" w:firstLineChars="0"/>
              <w:rPr>
                <w:rFonts w:hint="eastAsia" w:ascii="宋体" w:hAnsi="宋体" w:eastAsia="宋体" w:cs="宋体"/>
                <w:b/>
                <w:bCs/>
                <w:sz w:val="20"/>
                <w:szCs w:val="20"/>
              </w:rPr>
            </w:pPr>
            <w:r>
              <w:rPr>
                <w:rFonts w:hint="eastAsia" w:ascii="宋体" w:hAnsi="宋体" w:eastAsia="宋体" w:cs="宋体"/>
                <w:b/>
                <w:bCs/>
                <w:sz w:val="20"/>
                <w:szCs w:val="20"/>
              </w:rPr>
              <w:t>是否就相关技术发表过文章</w:t>
            </w:r>
            <w:r>
              <w:rPr>
                <w:rFonts w:hint="eastAsia" w:ascii="宋体" w:hAnsi="宋体" w:eastAsia="宋体" w:cs="宋体"/>
                <w:b/>
                <w:bCs/>
                <w:sz w:val="20"/>
                <w:szCs w:val="20"/>
                <w:lang w:val="en-US" w:eastAsia="zh-CN"/>
              </w:rPr>
              <w:t>或即将发表</w:t>
            </w:r>
            <w:r>
              <w:rPr>
                <w:rFonts w:hint="eastAsia" w:ascii="宋体" w:hAnsi="宋体" w:eastAsia="宋体" w:cs="宋体"/>
                <w:b/>
                <w:bCs/>
                <w:sz w:val="20"/>
                <w:szCs w:val="20"/>
              </w:rPr>
              <w:t xml:space="preserve">？ 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未发表过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r>
              <w:rPr>
                <w:rFonts w:hint="eastAsia" w:ascii="宋体" w:hAnsi="宋体" w:eastAsia="宋体" w:cs="宋体"/>
                <w:b/>
                <w:bCs/>
                <w:sz w:val="20"/>
                <w:szCs w:val="20"/>
                <w:lang w:val="en-US" w:eastAsia="zh-CN"/>
              </w:rPr>
              <w:t xml:space="preserve"> 即将发表</w:t>
            </w:r>
            <w:r>
              <w:rPr>
                <w:rFonts w:hint="eastAsia" w:ascii="宋体" w:hAnsi="宋体" w:eastAsia="宋体" w:cs="宋体"/>
                <w:b/>
                <w:bCs/>
                <w:sz w:val="20"/>
                <w:szCs w:val="20"/>
              </w:rPr>
              <w:t xml:space="preserve"> </w:t>
            </w:r>
            <w:r>
              <w:rPr>
                <w:rFonts w:hint="eastAsia" w:ascii="宋体" w:hAnsi="宋体" w:eastAsia="宋体" w:cs="宋体"/>
                <w:b/>
                <w:bCs/>
                <w:sz w:val="20"/>
                <w:szCs w:val="20"/>
              </w:rPr>
              <w:sym w:font="Wingdings 2" w:char="00A3"/>
            </w:r>
          </w:p>
          <w:p w14:paraId="2D4EFC2B">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填写说明：如发表过相关技术的文章，请附上发表的文章，并描述该文章与本技术交底书中内容的差异点。</w:t>
            </w:r>
            <w:r>
              <w:rPr>
                <w:rFonts w:hint="eastAsia" w:ascii="宋体" w:hAnsi="宋体" w:eastAsia="宋体" w:cs="宋体"/>
                <w:sz w:val="20"/>
                <w:szCs w:val="20"/>
                <w:lang w:val="en-US" w:eastAsia="zh-CN"/>
              </w:rPr>
              <w:t>如即将发表，请填写</w:t>
            </w:r>
            <w:r>
              <w:rPr>
                <w:rFonts w:hint="eastAsia" w:ascii="宋体" w:hAnsi="宋体" w:eastAsia="宋体" w:cs="宋体"/>
                <w:sz w:val="20"/>
                <w:szCs w:val="20"/>
              </w:rPr>
              <w:t>该文章与本技术交底书中内容的差异点</w:t>
            </w:r>
            <w:r>
              <w:rPr>
                <w:rFonts w:hint="eastAsia" w:ascii="宋体" w:hAnsi="宋体" w:eastAsia="宋体" w:cs="宋体"/>
                <w:sz w:val="20"/>
                <w:szCs w:val="20"/>
                <w:lang w:val="en-US" w:eastAsia="zh-CN"/>
              </w:rPr>
              <w:t>及预计发表日期。</w:t>
            </w:r>
          </w:p>
        </w:tc>
      </w:tr>
      <w:tr w14:paraId="1463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2" w:hRule="atLeast"/>
        </w:trPr>
        <w:tc>
          <w:tcPr>
            <w:tcW w:w="8222" w:type="dxa"/>
            <w:gridSpan w:val="2"/>
            <w:tcBorders>
              <w:top w:val="single" w:color="auto" w:sz="4" w:space="0"/>
              <w:left w:val="single" w:color="000000" w:sz="8" w:space="0"/>
              <w:bottom w:val="single" w:color="000000" w:sz="8" w:space="0"/>
              <w:right w:val="single" w:color="000000" w:sz="8" w:space="0"/>
            </w:tcBorders>
          </w:tcPr>
          <w:p w14:paraId="2081E4B9">
            <w:pPr>
              <w:snapToGrid w:val="0"/>
              <w:spacing w:line="276" w:lineRule="auto"/>
              <w:rPr>
                <w:rFonts w:hint="eastAsia" w:ascii="宋体" w:hAnsi="宋体" w:eastAsia="宋体" w:cs="宋体"/>
                <w:sz w:val="20"/>
                <w:szCs w:val="20"/>
              </w:rPr>
            </w:pPr>
          </w:p>
        </w:tc>
      </w:tr>
      <w:tr w14:paraId="6CC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129"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45D07CC">
            <w:pPr>
              <w:pStyle w:val="17"/>
              <w:numPr>
                <w:ilvl w:val="0"/>
                <w:numId w:val="1"/>
              </w:numPr>
              <w:snapToGrid w:val="0"/>
              <w:spacing w:line="276" w:lineRule="auto"/>
              <w:ind w:firstLineChars="0"/>
              <w:jc w:val="left"/>
              <w:rPr>
                <w:rFonts w:hint="eastAsia" w:ascii="宋体" w:hAnsi="宋体" w:eastAsia="宋体" w:cs="宋体"/>
                <w:b/>
                <w:bCs/>
                <w:sz w:val="20"/>
                <w:szCs w:val="20"/>
              </w:rPr>
            </w:pPr>
            <w:r>
              <w:rPr>
                <w:rFonts w:hint="eastAsia" w:ascii="宋体" w:hAnsi="宋体" w:eastAsia="宋体" w:cs="宋体"/>
                <w:b/>
                <w:bCs/>
                <w:sz w:val="20"/>
                <w:szCs w:val="20"/>
              </w:rPr>
              <w:t>详细介绍技术背景，根据检索报告描述已有的与本发明最相近的实现方案。</w:t>
            </w:r>
          </w:p>
          <w:p w14:paraId="70B01278">
            <w:pPr>
              <w:snapToGrid w:val="0"/>
              <w:spacing w:line="276" w:lineRule="auto"/>
              <w:jc w:val="left"/>
              <w:rPr>
                <w:rFonts w:hint="eastAsia" w:ascii="宋体" w:hAnsi="宋体" w:eastAsia="宋体" w:cs="宋体"/>
                <w:sz w:val="20"/>
                <w:szCs w:val="20"/>
              </w:rPr>
            </w:pPr>
            <w:r>
              <w:rPr>
                <w:rFonts w:hint="eastAsia" w:ascii="宋体" w:hAnsi="宋体" w:eastAsia="宋体" w:cs="宋体"/>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14:paraId="7C30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23"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5A603F1">
            <w:pPr>
              <w:numPr>
                <w:ilvl w:val="0"/>
                <w:numId w:val="0"/>
              </w:numPr>
              <w:snapToGrid w:val="0"/>
              <w:spacing w:line="276" w:lineRule="auto"/>
              <w:rPr>
                <w:rFonts w:hint="eastAsia" w:ascii="宋体" w:hAnsi="宋体" w:eastAsia="宋体" w:cs="宋体"/>
                <w:sz w:val="20"/>
                <w:szCs w:val="20"/>
                <w:lang w:eastAsia="zh-CN"/>
              </w:rPr>
            </w:pPr>
            <w:r>
              <w:rPr>
                <w:rFonts w:hint="eastAsia" w:ascii="宋体" w:hAnsi="宋体" w:eastAsia="宋体" w:cs="宋体"/>
                <w:sz w:val="20"/>
                <w:szCs w:val="20"/>
              </w:rPr>
              <w:t>本技术涉及软件定义存储领域，尤其是一种面向多地域、多存储类型的数据流动支持方案。该方案旨在解决现有存储系统中，不同地域之间因网络隔离或存储异构性导致的数据迁移困难、支持范围有限以及效率低下等问题</w:t>
            </w:r>
            <w:r>
              <w:rPr>
                <w:rFonts w:hint="eastAsia" w:ascii="宋体" w:hAnsi="宋体" w:eastAsia="宋体" w:cs="宋体"/>
                <w:sz w:val="20"/>
                <w:szCs w:val="20"/>
                <w:lang w:eastAsia="zh-CN"/>
              </w:rPr>
              <w:t>。</w:t>
            </w:r>
            <w:r>
              <w:rPr>
                <w:rFonts w:hint="eastAsia" w:ascii="宋体" w:hAnsi="宋体" w:eastAsia="宋体" w:cs="宋体"/>
                <w:sz w:val="20"/>
                <w:szCs w:val="20"/>
              </w:rPr>
              <w:t>在现有的存储产品体系中，数据流动通常局限于特定存储类型之间（如用户磁盘与云存储之间），或依赖于直接网络连通的地域之间。传统方案对跨地域、跨存储类别的数据流转支持能力较弱，且往往缺乏对中间传输过程的统一调度与资源管理，导致灵活性差、性能瓶颈显著</w:t>
            </w:r>
            <w:r>
              <w:rPr>
                <w:rFonts w:hint="eastAsia" w:ascii="宋体" w:hAnsi="宋体" w:eastAsia="宋体" w:cs="宋体"/>
                <w:sz w:val="20"/>
                <w:szCs w:val="20"/>
                <w:lang w:eastAsia="zh-CN"/>
              </w:rPr>
              <w:t>。</w:t>
            </w:r>
            <w:r>
              <w:rPr>
                <w:rFonts w:hint="eastAsia" w:ascii="宋体" w:hAnsi="宋体" w:eastAsia="宋体" w:cs="宋体"/>
                <w:sz w:val="20"/>
                <w:szCs w:val="20"/>
              </w:rPr>
              <w:t>与传统方案相比，本技术的核心优势在于利用了广域分布式存储架构的固有特性，构建了一个高效、透明且支持多类型存储的数据流动中间层。具体地，当A地域与B地域之间无直接网络连接时，本方案通过广域存储系统本身的内置连通能力作为“中转站”，实现数据的间接传输。其中，A地域将数据暂存于广域存储的内存区域中，B地域则从该内存区域下载数据。本发明重点在于提供底层支持机制，包括广域内存的预分配策略、数据切片优化以及传输完成后的资源回收功能，从而全面提升跨地域数据流转的可靠性、效率与灵活性</w:t>
            </w:r>
            <w:r>
              <w:rPr>
                <w:rFonts w:hint="eastAsia" w:ascii="宋体" w:hAnsi="宋体" w:eastAsia="宋体" w:cs="宋体"/>
                <w:sz w:val="20"/>
                <w:szCs w:val="20"/>
                <w:lang w:eastAsia="zh-CN"/>
              </w:rPr>
              <w:t>。</w:t>
            </w:r>
          </w:p>
        </w:tc>
      </w:tr>
      <w:tr w14:paraId="3B64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9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4998668A">
            <w:pPr>
              <w:pStyle w:val="17"/>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现有技术的缺点是什么？针对这些缺点，说明本发明的目的。</w:t>
            </w:r>
          </w:p>
          <w:p w14:paraId="545E0FE3">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填写说明：这一部分应写明本方案解决现有技术中存在的哪些问题。通常针对最接近的现有技术存在的问题结合本发明或实用新型取得的效果提出所要解决的任务。</w:t>
            </w:r>
          </w:p>
          <w:p w14:paraId="35F1B84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 具体要求如下：</w:t>
            </w:r>
          </w:p>
          <w:p w14:paraId="281B8A74">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应采用正面语句直接、清楚、客观地写明目的，明确说明要解决的问题。</w:t>
            </w:r>
          </w:p>
          <w:p w14:paraId="4813E56D">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现有技术的缺点应与本发明的目的对应。</w:t>
            </w:r>
          </w:p>
          <w:p w14:paraId="46693C70">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3</w:t>
            </w:r>
            <w:r>
              <w:rPr>
                <w:rFonts w:hint="eastAsia" w:ascii="宋体" w:hAnsi="宋体" w:eastAsia="宋体" w:cs="宋体"/>
                <w:sz w:val="20"/>
                <w:szCs w:val="20"/>
              </w:rPr>
              <w:t>） 应具体体现出要解决的技术问题，避免采用“节省能源”、“提高质量”等笼统的说法，不包含技术方案的具体内容。</w:t>
            </w:r>
          </w:p>
          <w:p w14:paraId="6B3C3CB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4</w:t>
            </w:r>
            <w:r>
              <w:rPr>
                <w:rFonts w:hint="eastAsia" w:ascii="宋体" w:hAnsi="宋体" w:eastAsia="宋体" w:cs="宋体"/>
                <w:sz w:val="20"/>
                <w:szCs w:val="20"/>
              </w:rPr>
              <w:t>） 不得采用广告性宣传用语。</w:t>
            </w:r>
          </w:p>
        </w:tc>
      </w:tr>
      <w:tr w14:paraId="241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5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FEE9BA8">
            <w:pPr>
              <w:snapToGrid w:val="0"/>
              <w:spacing w:line="276" w:lineRule="auto"/>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现有技术的缺点如下：</w:t>
            </w:r>
          </w:p>
          <w:p w14:paraId="6D87C883">
            <w:pPr>
              <w:numPr>
                <w:ilvl w:val="0"/>
                <w:numId w:val="3"/>
              </w:numPr>
              <w:snapToGrid w:val="0"/>
              <w:spacing w:line="276" w:lineRule="auto"/>
              <w:ind w:left="200" w:leftChars="0" w:firstLine="0" w:firstLineChars="0"/>
              <w:rPr>
                <w:rFonts w:hint="eastAsia" w:ascii="宋体" w:hAnsi="宋体" w:eastAsia="宋体"/>
                <w:b/>
                <w:bCs/>
                <w:sz w:val="20"/>
                <w:szCs w:val="20"/>
                <w:lang w:val="en-US" w:eastAsia="zh-CN"/>
              </w:rPr>
            </w:pPr>
            <w:r>
              <w:rPr>
                <w:rFonts w:hint="default" w:ascii="宋体" w:hAnsi="宋体" w:eastAsia="宋体"/>
                <w:b/>
                <w:bCs/>
                <w:sz w:val="20"/>
                <w:szCs w:val="20"/>
                <w:lang w:val="en-US" w:eastAsia="zh-CN"/>
              </w:rPr>
              <w:t>支持范围有限，异构环境互通困难：传统方案通常只能支持特定存储类型（如</w:t>
            </w:r>
            <w:r>
              <w:rPr>
                <w:rFonts w:hint="eastAsia" w:ascii="宋体" w:hAnsi="宋体" w:eastAsia="宋体"/>
                <w:b/>
                <w:bCs/>
                <w:sz w:val="20"/>
                <w:szCs w:val="20"/>
                <w:lang w:val="en-US" w:eastAsia="zh-CN"/>
              </w:rPr>
              <w:t>文件存储</w:t>
            </w:r>
            <w:r>
              <w:rPr>
                <w:rFonts w:hint="default" w:ascii="宋体" w:hAnsi="宋体" w:eastAsia="宋体"/>
                <w:b/>
                <w:bCs/>
                <w:sz w:val="20"/>
                <w:szCs w:val="20"/>
                <w:lang w:val="en-US" w:eastAsia="zh-CN"/>
              </w:rPr>
              <w:t>与</w:t>
            </w:r>
            <w:r>
              <w:rPr>
                <w:rFonts w:hint="eastAsia" w:ascii="宋体" w:hAnsi="宋体" w:eastAsia="宋体"/>
                <w:b/>
                <w:bCs/>
                <w:sz w:val="20"/>
                <w:szCs w:val="20"/>
                <w:lang w:val="en-US" w:eastAsia="zh-CN"/>
              </w:rPr>
              <w:t>对象</w:t>
            </w:r>
            <w:r>
              <w:rPr>
                <w:rFonts w:hint="default" w:ascii="宋体" w:hAnsi="宋体" w:eastAsia="宋体"/>
                <w:b/>
                <w:bCs/>
                <w:sz w:val="20"/>
                <w:szCs w:val="20"/>
                <w:lang w:val="en-US" w:eastAsia="zh-CN"/>
              </w:rPr>
              <w:t>存储）或网络直连的地域间数据流转。对于异构存储环境（如不同厂商的公有云、私有云或本地存储）或网络不通的异地数据传输，往往缺乏有效且统一的支撑手段，灵活性与适应性不足。</w:t>
            </w:r>
          </w:p>
          <w:p w14:paraId="4BA19F04">
            <w:pPr>
              <w:numPr>
                <w:ilvl w:val="0"/>
                <w:numId w:val="3"/>
              </w:numPr>
              <w:snapToGrid w:val="0"/>
              <w:spacing w:line="276" w:lineRule="auto"/>
              <w:ind w:left="200" w:leftChars="0" w:firstLine="0" w:firstLineChars="0"/>
              <w:rPr>
                <w:rFonts w:hint="eastAsia" w:ascii="宋体" w:hAnsi="宋体" w:eastAsia="宋体"/>
                <w:b/>
                <w:bCs/>
                <w:sz w:val="20"/>
                <w:szCs w:val="20"/>
                <w:lang w:val="en-US" w:eastAsia="zh-CN"/>
              </w:rPr>
            </w:pPr>
            <w:r>
              <w:rPr>
                <w:rFonts w:hint="default" w:ascii="宋体" w:hAnsi="宋体" w:eastAsia="宋体"/>
                <w:b/>
                <w:bCs/>
                <w:sz w:val="20"/>
                <w:szCs w:val="20"/>
                <w:lang w:val="en-US" w:eastAsia="zh-CN"/>
              </w:rPr>
              <w:t>传输效率低下，资源利用不优：传统跨地域数据迁移可能面临性能瓶颈，例如直接传输因网络延迟或带宽波动导致吞吐量低。同时，缺乏智能的数据调度与资源管理机制，传输过程中可能占用过多资源影响业务，或传输完成后未能及时释放中间暂存资源，造成浪费。</w:t>
            </w:r>
          </w:p>
          <w:p w14:paraId="0419CA63">
            <w:pPr>
              <w:widowControl w:val="0"/>
              <w:numPr>
                <w:ilvl w:val="0"/>
                <w:numId w:val="0"/>
              </w:numPr>
              <w:snapToGrid w:val="0"/>
              <w:spacing w:line="276" w:lineRule="auto"/>
              <w:jc w:val="both"/>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本发明的目的就是解决以上2个问题：</w:t>
            </w:r>
          </w:p>
          <w:p w14:paraId="32A0E842">
            <w:pPr>
              <w:numPr>
                <w:ilvl w:val="0"/>
                <w:numId w:val="4"/>
              </w:numPr>
              <w:snapToGrid w:val="0"/>
              <w:spacing w:line="276" w:lineRule="auto"/>
              <w:ind w:left="200" w:leftChars="0" w:firstLine="0" w:firstLineChars="0"/>
              <w:rPr>
                <w:rFonts w:hint="eastAsia" w:ascii="宋体" w:hAnsi="宋体" w:eastAsia="宋体"/>
                <w:b/>
                <w:bCs/>
                <w:sz w:val="20"/>
                <w:szCs w:val="20"/>
                <w:lang w:val="en-US" w:eastAsia="zh-CN"/>
              </w:rPr>
            </w:pPr>
            <w:r>
              <w:rPr>
                <w:rFonts w:hint="default" w:ascii="宋体" w:hAnsi="宋体" w:eastAsia="宋体"/>
                <w:b/>
                <w:bCs/>
                <w:sz w:val="20"/>
                <w:szCs w:val="20"/>
                <w:lang w:val="en-US" w:eastAsia="zh-CN"/>
              </w:rPr>
              <w:t>扩展支持多类型存储与异构环境，提升流动灵活性：通过利用广域分布式存储架构自身的网络连通特性作为通用“中转站”，本方案构建了一个与底层存储类型解耦的数据流动中间层。它能够适配对象存储、块存储、文件系统等多种存储后端，并实现不同地域、不同云厂商（如AWS、Azure、私有云）或用户本地存储之间的数据流动，显著提升了方案的适用范围和灵活性</w:t>
            </w:r>
            <w:r>
              <w:rPr>
                <w:rFonts w:hint="eastAsia" w:ascii="宋体" w:hAnsi="宋体" w:eastAsia="宋体"/>
                <w:b/>
                <w:bCs/>
                <w:sz w:val="20"/>
                <w:szCs w:val="20"/>
                <w:lang w:val="en-US" w:eastAsia="zh-CN"/>
              </w:rPr>
              <w:t>。</w:t>
            </w:r>
          </w:p>
          <w:p w14:paraId="2F59ECB1">
            <w:pPr>
              <w:numPr>
                <w:ilvl w:val="0"/>
                <w:numId w:val="4"/>
              </w:numPr>
              <w:snapToGrid w:val="0"/>
              <w:spacing w:line="276" w:lineRule="auto"/>
              <w:ind w:left="200" w:leftChars="0" w:firstLine="0" w:firstLineChars="0"/>
              <w:rPr>
                <w:rFonts w:hint="eastAsia" w:ascii="宋体" w:hAnsi="宋体" w:eastAsia="宋体" w:cs="宋体"/>
                <w:b/>
                <w:bCs/>
                <w:sz w:val="20"/>
                <w:szCs w:val="20"/>
              </w:rPr>
            </w:pPr>
            <w:r>
              <w:rPr>
                <w:rFonts w:hint="default" w:ascii="宋体" w:hAnsi="宋体" w:eastAsia="宋体"/>
                <w:b/>
                <w:bCs/>
                <w:sz w:val="20"/>
                <w:szCs w:val="20"/>
                <w:lang w:val="en-US" w:eastAsia="zh-CN"/>
              </w:rPr>
              <w:t>优化传输性能与资源效率，保障高效可靠流动：通过广域内存预分配机制动态创建高性能内存池作为数据暂存区，结合智能数据切片与高并发传输技术，显著提升跨地域数据传输的吞吐量和效率，降低网络不稳定性的影响。同时，引入自动化的数据生命周期管理，在数据成功送达目的地后及时清理广域内存中的临时副本，提高资源利用效率，避免冗余存储。</w:t>
            </w:r>
          </w:p>
        </w:tc>
      </w:tr>
      <w:tr w14:paraId="463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975"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E5016FA">
            <w:pPr>
              <w:pStyle w:val="17"/>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本发明技术方案的详细阐述，应该给出实施例并结合附图进行说明。</w:t>
            </w:r>
          </w:p>
          <w:p w14:paraId="6BB4C2F7">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046613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要求：</w:t>
            </w:r>
          </w:p>
          <w:p w14:paraId="544A480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（1）必须提供至少一个完整的可以实现发明目的的技术方案，不能单纯提供实现原理或功能介绍；必要时可列举多个实施例。</w:t>
            </w:r>
          </w:p>
          <w:p w14:paraId="1A3C372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（2）对于软件、业务模式和方法，应提供相关的流程图、系统结构图和相关的系统装置。</w:t>
            </w:r>
          </w:p>
          <w:p w14:paraId="47BF9A5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（3）附图以方框图、黑白方式提供，不必提供彩色图例。</w:t>
            </w:r>
          </w:p>
          <w:p w14:paraId="126EB6F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（4）提交的每个附图必须有对应的文字描述，文字描述应达到不看附图即可实现该技术方案的效果。</w:t>
            </w:r>
          </w:p>
        </w:tc>
      </w:tr>
      <w:tr w14:paraId="332B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0781112">
            <w:pPr>
              <w:bidi w:val="0"/>
              <w:rPr>
                <w:rFonts w:hint="eastAsia"/>
                <w:lang w:val="en-US" w:eastAsia="zh-CN"/>
              </w:rPr>
            </w:pPr>
            <w:r>
              <w:rPr>
                <w:rFonts w:hint="eastAsia"/>
                <w:lang w:val="en-US" w:eastAsia="zh-CN"/>
              </w:rPr>
              <w:t>本发明提供了一种基于广域分布式存储系统的数据跨地域流动方法。该方法将不同类型的数据统一封装为</w:t>
            </w:r>
            <w:r>
              <w:rPr>
                <w:rFonts w:hint="default"/>
                <w:lang w:val="en-US" w:eastAsia="zh-CN"/>
              </w:rPr>
              <w:t>对象存储格式，依托广域分布式存储的底层连通性，实现数据在多个地域间的高效、安全流动</w:t>
            </w:r>
            <w:r>
              <w:rPr>
                <w:rFonts w:hint="eastAsia"/>
                <w:lang w:val="en-US" w:eastAsia="zh-CN"/>
              </w:rPr>
              <w:t>。</w:t>
            </w:r>
          </w:p>
          <w:p w14:paraId="05FD63C6">
            <w:pPr>
              <w:bidi w:val="0"/>
              <w:rPr>
                <w:rFonts w:hint="default"/>
                <w:lang w:val="en-US" w:eastAsia="zh-CN"/>
              </w:rPr>
            </w:pPr>
            <w:r>
              <w:rPr>
                <w:rFonts w:hint="default"/>
                <w:lang w:val="en-US" w:eastAsia="zh-CN"/>
              </w:rPr>
              <w:t>为最大限度提升各地域的数据读取性能，系统引入内存预分配机制，将待流动数据暂存于广域分布式存储的</w:t>
            </w:r>
            <w:r>
              <w:rPr>
                <w:rFonts w:hint="eastAsia"/>
                <w:lang w:val="en-US" w:eastAsia="zh-CN"/>
              </w:rPr>
              <w:t>高速内存</w:t>
            </w:r>
            <w:r>
              <w:rPr>
                <w:rFonts w:hint="default"/>
                <w:lang w:val="en-US" w:eastAsia="zh-CN"/>
              </w:rPr>
              <w:t>中。当数据需向地域A、B、C等多个目标节点流动时，这些节点可并行从广域存储中并发获取该数据对象。待所有地域均完成数据获取后，系统自动触发清理流程，释放该对象所占用的内存资源并清除相关索引信息。</w:t>
            </w:r>
          </w:p>
          <w:p w14:paraId="51E6063C">
            <w:pPr>
              <w:bidi w:val="0"/>
              <w:rPr>
                <w:rFonts w:hint="default"/>
                <w:lang w:val="en-US" w:eastAsia="zh-CN"/>
              </w:rPr>
            </w:pPr>
            <w:r>
              <w:rPr>
                <w:rFonts w:hint="default"/>
                <w:lang w:val="en-US" w:eastAsia="zh-CN"/>
              </w:rPr>
              <w:t>本方案核心由数据流动模块与资源清理模块共同构成：</w:t>
            </w:r>
          </w:p>
          <w:p w14:paraId="6CAF37DE">
            <w:pPr>
              <w:bidi w:val="0"/>
              <w:rPr>
                <w:rFonts w:hint="default"/>
                <w:lang w:val="en-US" w:eastAsia="zh-CN"/>
              </w:rPr>
            </w:pPr>
          </w:p>
          <w:p w14:paraId="6C816476">
            <w:pPr>
              <w:bidi w:val="0"/>
              <w:rPr>
                <w:rFonts w:hint="eastAsia"/>
                <w:lang w:val="en-US" w:eastAsia="zh-CN"/>
              </w:rPr>
            </w:pPr>
            <w:r>
              <w:rPr>
                <w:rFonts w:hint="default"/>
                <w:lang w:val="en-US" w:eastAsia="zh-CN"/>
              </w:rPr>
              <w:t>数据流动模块：负责数据上传与获取</w:t>
            </w:r>
            <w:r>
              <w:rPr>
                <w:rFonts w:hint="eastAsia"/>
                <w:lang w:val="en-US" w:eastAsia="zh-CN"/>
              </w:rPr>
              <w:t>；</w:t>
            </w:r>
            <w:r>
              <w:rPr>
                <w:rFonts w:hint="default"/>
                <w:lang w:val="en-US" w:eastAsia="zh-CN"/>
              </w:rPr>
              <w:t>上传过程</w:t>
            </w:r>
            <w:r>
              <w:rPr>
                <w:rFonts w:hint="eastAsia"/>
                <w:lang w:val="en-US" w:eastAsia="zh-CN"/>
              </w:rPr>
              <w:t>中，</w:t>
            </w:r>
            <w:r>
              <w:rPr>
                <w:rFonts w:hint="default"/>
                <w:lang w:val="en-US" w:eastAsia="zh-CN"/>
              </w:rPr>
              <w:t>系统实时监测内存分配状态。若满足条件：数据对象内存需求 &lt; 总内存 × 预定阈值 - 预分配内存总量，则将该对象的元数据信息（包括分配状态、分块索引等）记录至Redis中。为优化内存利用率和网络效率，数据被分块并进行批次上传至存储系统。上传完成后，系统计算并记录全局校验</w:t>
            </w:r>
            <w:r>
              <w:rPr>
                <w:rFonts w:hint="eastAsia"/>
                <w:lang w:val="en-US" w:eastAsia="zh-CN"/>
              </w:rPr>
              <w:t>和</w:t>
            </w:r>
            <w:r>
              <w:rPr>
                <w:rFonts w:hint="default"/>
                <w:lang w:val="en-US" w:eastAsia="zh-CN"/>
              </w:rPr>
              <w:t>及完整的数据流动元数据，标识该对象进入可分发状态。</w:t>
            </w:r>
            <w:bookmarkStart w:id="0" w:name="agent"/>
            <w:r>
              <w:rPr>
                <w:rFonts w:hint="eastAsia"/>
                <w:lang w:val="en-US" w:eastAsia="zh-CN"/>
              </w:rPr>
              <w:t>在</w:t>
            </w:r>
            <w:r>
              <w:rPr>
                <w:rFonts w:hint="default"/>
                <w:lang w:val="en-US" w:eastAsia="zh-CN"/>
              </w:rPr>
              <w:t>获取过程</w:t>
            </w:r>
            <w:r>
              <w:rPr>
                <w:rFonts w:hint="eastAsia"/>
                <w:lang w:val="en-US" w:eastAsia="zh-CN"/>
              </w:rPr>
              <w:t>中，</w:t>
            </w:r>
            <w:r>
              <w:rPr>
                <w:rFonts w:hint="default"/>
                <w:lang w:val="en-US" w:eastAsia="zh-CN"/>
              </w:rPr>
              <w:t>客户端首先查询Redis获取目标对象的元数据信息。根据请求的字节偏移量（offset）和获取大小（size），动态计算其起始块索引与结束块索引。随后，系统并发获取这些数据块，在本地按序组装。若数据在传输前经过压缩，则在此阶段进行解压处理，最终将完整数据返回给客户端。</w:t>
            </w:r>
            <w:bookmarkEnd w:id="0"/>
          </w:p>
          <w:p w14:paraId="36CB1D5D">
            <w:pPr>
              <w:keepNext w:val="0"/>
              <w:keepLines w:val="0"/>
              <w:widowControl/>
              <w:suppressLineNumbers w:val="0"/>
              <w:jc w:val="left"/>
              <w:rPr>
                <w:rFonts w:hint="eastAsia"/>
                <w:lang w:val="en-US" w:eastAsia="zh-CN"/>
              </w:rPr>
            </w:pPr>
          </w:p>
          <w:p w14:paraId="19C3C2C3">
            <w:pPr>
              <w:keepNext w:val="0"/>
              <w:keepLines w:val="0"/>
              <w:widowControl/>
              <w:suppressLineNumbers w:val="0"/>
              <w:jc w:val="left"/>
              <w:rPr>
                <w:rFonts w:hint="eastAsia"/>
                <w:lang w:val="en-US" w:eastAsia="zh-CN"/>
              </w:rPr>
            </w:pPr>
            <w:r>
              <w:rPr>
                <w:rFonts w:hint="eastAsia"/>
                <w:lang w:val="en-US" w:eastAsia="zh-CN"/>
              </w:rPr>
              <w:t>资源清理模块：负责协同资源回收；</w:t>
            </w:r>
            <w:r>
              <w:rPr>
                <w:rFonts w:hint="default"/>
                <w:lang w:val="en-US" w:eastAsia="zh-CN"/>
              </w:rPr>
              <w:t>该模块持续监控所有目标地域的数据获取状态。仅当所有地域均确认下载完成后，且同时满足最小清理时间间隔与全局内存水位阈值等条件时，才触发异步清理任务。清理任务包括：释放该数据对象在各存储节点占用的内存资源，删除其在Redis中存储的所有元数据及分块索引信息，并原子更新全局内存分配统计信息。避免频繁的资源释放与回收操作对系统性能造成扰动，确保资源回收的高效性与稳定性。</w:t>
            </w:r>
          </w:p>
          <w:p w14:paraId="4EC5422B">
            <w:pPr>
              <w:keepNext w:val="0"/>
              <w:keepLines w:val="0"/>
              <w:widowControl/>
              <w:suppressLineNumbers w:val="0"/>
              <w:jc w:val="left"/>
              <w:rPr>
                <w:rFonts w:hint="default"/>
                <w:lang w:val="en-US" w:eastAsia="zh-CN"/>
              </w:rPr>
            </w:pPr>
            <w:r>
              <w:rPr>
                <w:rFonts w:hint="eastAsia"/>
                <w:lang w:val="en-US" w:eastAsia="zh-CN"/>
              </w:rPr>
              <w:t>详细流程图可参考下面：</w:t>
            </w:r>
          </w:p>
          <w:p w14:paraId="6124D847">
            <w:pPr>
              <w:bidi w:val="0"/>
              <w:jc w:val="left"/>
              <w:rPr>
                <w:rFonts w:hint="default"/>
                <w:lang w:val="en-US" w:eastAsia="zh-CN"/>
              </w:rPr>
            </w:pPr>
          </w:p>
          <w:p w14:paraId="4B411E9B">
            <w:pPr>
              <w:bidi w:val="0"/>
              <w:jc w:val="left"/>
              <w:rPr>
                <w:rFonts w:hint="default"/>
                <w:lang w:val="en-US" w:eastAsia="zh-CN"/>
              </w:rPr>
            </w:pPr>
          </w:p>
          <w:p w14:paraId="440B71BE">
            <w:pPr>
              <w:bidi w:val="0"/>
              <w:jc w:val="left"/>
              <w:rPr>
                <w:rFonts w:hint="default"/>
                <w:lang w:val="en-US" w:eastAsia="zh-CN"/>
              </w:rPr>
            </w:pPr>
            <w:r>
              <w:rPr>
                <w:rFonts w:hint="default"/>
                <w:lang w:val="en-US" w:eastAsia="zh-CN"/>
              </w:rPr>
              <w:drawing>
                <wp:inline distT="0" distB="0" distL="114300" distR="114300">
                  <wp:extent cx="5163820" cy="8399780"/>
                  <wp:effectExtent l="0" t="0" r="17780" b="1270"/>
                  <wp:docPr id="6" name="图片 6" descr="4caf4d18b5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caf4d18b5a49"/>
                          <pic:cNvPicPr>
                            <a:picLocks noChangeAspect="1"/>
                          </pic:cNvPicPr>
                        </pic:nvPicPr>
                        <pic:blipFill>
                          <a:blip r:embed="rId5"/>
                          <a:stretch>
                            <a:fillRect/>
                          </a:stretch>
                        </pic:blipFill>
                        <pic:spPr>
                          <a:xfrm>
                            <a:off x="0" y="0"/>
                            <a:ext cx="5163820" cy="8399780"/>
                          </a:xfrm>
                          <a:prstGeom prst="rect">
                            <a:avLst/>
                          </a:prstGeom>
                        </pic:spPr>
                      </pic:pic>
                    </a:graphicData>
                  </a:graphic>
                </wp:inline>
              </w:drawing>
            </w:r>
          </w:p>
          <w:p w14:paraId="1699CAC6">
            <w:pPr>
              <w:bidi w:val="0"/>
              <w:jc w:val="left"/>
              <w:rPr>
                <w:rFonts w:hint="default"/>
                <w:lang w:val="en-US" w:eastAsia="zh-CN"/>
              </w:rPr>
            </w:pPr>
            <w:r>
              <w:rPr>
                <w:rFonts w:hint="eastAsia"/>
                <w:lang w:val="en-US" w:eastAsia="zh-CN"/>
              </w:rPr>
              <w:t>流动模块和清理模块是数据流动的核心板块，详细步骤如下：</w:t>
            </w:r>
            <w:r>
              <w:rPr>
                <w:rFonts w:hint="eastAsia"/>
                <w:lang w:val="en-US" w:eastAsia="zh-CN"/>
              </w:rPr>
              <w:br w:type="textWrapping"/>
            </w:r>
            <w:r>
              <w:rPr>
                <w:rFonts w:hint="default"/>
                <w:lang w:val="en-US" w:eastAsia="zh-CN"/>
              </w:rPr>
              <w:t>第一阶段：数据流动阶段</w:t>
            </w:r>
          </w:p>
          <w:p w14:paraId="6F308156">
            <w:pPr>
              <w:bidi w:val="0"/>
              <w:jc w:val="left"/>
              <w:rPr>
                <w:rFonts w:hint="default"/>
                <w:lang w:val="en-US" w:eastAsia="zh-CN"/>
              </w:rPr>
            </w:pPr>
            <w:r>
              <w:rPr>
                <w:rFonts w:hint="eastAsia"/>
                <w:lang w:val="en-US" w:eastAsia="zh-CN"/>
              </w:rPr>
              <w:t>本阶段涵盖数据从上传到被多个地域成功获取的全过程。</w:t>
            </w:r>
          </w:p>
          <w:p w14:paraId="4878A9CC">
            <w:pPr>
              <w:bidi w:val="0"/>
              <w:jc w:val="left"/>
              <w:rPr>
                <w:rFonts w:hint="eastAsia"/>
                <w:lang w:val="en-US" w:eastAsia="zh-CN"/>
              </w:rPr>
            </w:pPr>
            <w:r>
              <w:rPr>
                <w:rFonts w:hint="default"/>
                <w:lang w:val="en-US" w:eastAsia="zh-CN"/>
              </w:rPr>
              <w:t>步骤1: 数据上传流程</w:t>
            </w:r>
          </w:p>
          <w:p w14:paraId="20C95555">
            <w:pPr>
              <w:numPr>
                <w:ilvl w:val="0"/>
                <w:numId w:val="5"/>
              </w:numPr>
              <w:bidi w:val="0"/>
              <w:jc w:val="left"/>
              <w:rPr>
                <w:rFonts w:hint="eastAsia"/>
                <w:lang w:val="en-US" w:eastAsia="zh-CN"/>
              </w:rPr>
            </w:pPr>
            <w:r>
              <w:rPr>
                <w:rFonts w:hint="default"/>
                <w:lang w:val="en-US" w:eastAsia="zh-CN"/>
              </w:rPr>
              <w:t>内存检查与预分配申请：</w:t>
            </w:r>
          </w:p>
          <w:p w14:paraId="361ED5EF">
            <w:pPr>
              <w:numPr>
                <w:ilvl w:val="0"/>
                <w:numId w:val="6"/>
              </w:numPr>
              <w:bidi w:val="0"/>
              <w:jc w:val="left"/>
              <w:rPr>
                <w:rFonts w:hint="eastAsia"/>
                <w:lang w:val="en-US" w:eastAsia="zh-CN"/>
              </w:rPr>
            </w:pPr>
            <w:r>
              <w:rPr>
                <w:rFonts w:hint="default"/>
                <w:lang w:val="en-US" w:eastAsia="zh-CN"/>
              </w:rPr>
              <w:t>上传客户端向元数据服务中心（Redis</w:t>
            </w:r>
            <w:r>
              <w:rPr>
                <w:rFonts w:hint="eastAsia"/>
                <w:lang w:val="en-US" w:eastAsia="zh-CN"/>
              </w:rPr>
              <w:t xml:space="preserve"> sentinel</w:t>
            </w:r>
            <w:r>
              <w:rPr>
                <w:rFonts w:hint="default"/>
                <w:lang w:val="en-US" w:eastAsia="zh-CN"/>
              </w:rPr>
              <w:t>）发起上传请求，并携带数据对象</w:t>
            </w:r>
            <w:r>
              <w:rPr>
                <w:rFonts w:hint="eastAsia"/>
                <w:lang w:val="en-US" w:eastAsia="zh-CN"/>
              </w:rPr>
              <w:t>基础信息</w:t>
            </w:r>
            <w:r>
              <w:rPr>
                <w:rFonts w:hint="default"/>
                <w:lang w:val="en-US" w:eastAsia="zh-CN"/>
              </w:rPr>
              <w:t>（</w:t>
            </w:r>
            <w:r>
              <w:rPr>
                <w:rFonts w:hint="eastAsia"/>
                <w:lang w:val="en-US" w:eastAsia="zh-CN"/>
              </w:rPr>
              <w:t>object_size、object_name、object_id、status、predistribution_mem、ct_time、group_count</w:t>
            </w:r>
            <w:r>
              <w:rPr>
                <w:rFonts w:hint="default"/>
                <w:lang w:val="en-US" w:eastAsia="zh-CN"/>
              </w:rPr>
              <w:t>）。</w:t>
            </w:r>
          </w:p>
          <w:p w14:paraId="1186B64E">
            <w:pPr>
              <w:numPr>
                <w:ilvl w:val="0"/>
                <w:numId w:val="6"/>
              </w:numPr>
              <w:bidi w:val="0"/>
              <w:ind w:left="0" w:leftChars="0" w:firstLine="0" w:firstLineChars="0"/>
              <w:jc w:val="left"/>
              <w:rPr>
                <w:rFonts w:hint="eastAsia"/>
                <w:lang w:val="en-US" w:eastAsia="zh-CN"/>
              </w:rPr>
            </w:pPr>
            <w:r>
              <w:rPr>
                <w:rFonts w:hint="default"/>
                <w:lang w:val="en-US" w:eastAsia="zh-CN"/>
              </w:rPr>
              <w:t xml:space="preserve">中心检查当前全局内存使用量（current_memory_usage）和预分配内存总量（pre_allocated_total）。若满足 current_memory_usage + </w:t>
            </w:r>
            <w:r>
              <w:rPr>
                <w:rFonts w:hint="eastAsia"/>
                <w:lang w:val="en-US" w:eastAsia="zh-CN"/>
              </w:rPr>
              <w:t>predistribution_mem</w:t>
            </w:r>
            <w:r>
              <w:rPr>
                <w:rFonts w:hint="default"/>
                <w:lang w:val="en-US" w:eastAsia="zh-CN"/>
              </w:rPr>
              <w:t>&lt; total_memory * threshold - pre_allocated_total，则批准上传并在Redis中预记录对象分配信息（如状态为“上传中”，并分配唯一对象obj_id）。</w:t>
            </w:r>
          </w:p>
          <w:p w14:paraId="74589F1B">
            <w:pPr>
              <w:bidi w:val="0"/>
              <w:jc w:val="left"/>
              <w:rPr>
                <w:rFonts w:hint="eastAsia"/>
                <w:lang w:val="en-US" w:eastAsia="zh-CN"/>
              </w:rPr>
            </w:pPr>
            <w:r>
              <w:rPr>
                <w:rFonts w:hint="eastAsia"/>
                <w:lang w:val="en-US" w:eastAsia="zh-CN"/>
              </w:rPr>
              <w:t>二、</w:t>
            </w:r>
            <w:r>
              <w:rPr>
                <w:rFonts w:hint="default"/>
                <w:lang w:val="en-US" w:eastAsia="zh-CN"/>
              </w:rPr>
              <w:t>分块与批次上传：</w:t>
            </w:r>
          </w:p>
          <w:p w14:paraId="405978A0">
            <w:pPr>
              <w:numPr>
                <w:ilvl w:val="0"/>
                <w:numId w:val="7"/>
              </w:numPr>
              <w:bidi w:val="0"/>
              <w:ind w:leftChars="0"/>
              <w:jc w:val="left"/>
              <w:rPr>
                <w:rFonts w:hint="default"/>
                <w:lang w:val="en-US" w:eastAsia="zh-CN"/>
              </w:rPr>
            </w:pPr>
            <w:r>
              <w:rPr>
                <w:rFonts w:hint="default"/>
                <w:lang w:val="en-US" w:eastAsia="zh-CN"/>
              </w:rPr>
              <w:t>将数据对象划分为固定大小（</w:t>
            </w:r>
            <w:r>
              <w:rPr>
                <w:rFonts w:hint="eastAsia"/>
                <w:lang w:val="en-US" w:eastAsia="zh-CN"/>
              </w:rPr>
              <w:t>1M</w:t>
            </w:r>
            <w:r>
              <w:rPr>
                <w:rFonts w:hint="default"/>
                <w:lang w:val="en-US" w:eastAsia="zh-CN"/>
              </w:rPr>
              <w:t>）的块（chunk_1to chunk_n），并为每个块计算哈希校验值</w:t>
            </w:r>
            <w:r>
              <w:rPr>
                <w:rFonts w:hint="eastAsia"/>
                <w:lang w:val="en-US" w:eastAsia="zh-CN"/>
              </w:rPr>
              <w:t>。</w:t>
            </w:r>
          </w:p>
          <w:p w14:paraId="52345088">
            <w:pPr>
              <w:numPr>
                <w:ilvl w:val="0"/>
                <w:numId w:val="7"/>
              </w:numPr>
              <w:bidi w:val="0"/>
              <w:ind w:leftChars="0"/>
              <w:jc w:val="left"/>
              <w:rPr>
                <w:rFonts w:hint="default"/>
                <w:lang w:val="en-US" w:eastAsia="zh-CN"/>
              </w:rPr>
            </w:pPr>
            <w:r>
              <w:rPr>
                <w:rFonts w:hint="default"/>
                <w:lang w:val="en-US" w:eastAsia="zh-CN"/>
              </w:rPr>
              <w:t>将分块批次上传至广域分布式存储的内存预分配区。每个批次包含多个分块，以减少网络往返开销</w:t>
            </w:r>
            <w:r>
              <w:rPr>
                <w:rFonts w:hint="eastAsia"/>
                <w:lang w:val="en-US" w:eastAsia="zh-CN"/>
              </w:rPr>
              <w:t>。</w:t>
            </w:r>
          </w:p>
          <w:p w14:paraId="058EE1A1">
            <w:pPr>
              <w:numPr>
                <w:ilvl w:val="0"/>
                <w:numId w:val="7"/>
              </w:numPr>
              <w:bidi w:val="0"/>
              <w:ind w:leftChars="0"/>
              <w:jc w:val="left"/>
              <w:rPr>
                <w:rFonts w:hint="default" w:eastAsiaTheme="minorEastAsia"/>
                <w:lang w:val="en-US" w:eastAsia="zh-CN"/>
              </w:rPr>
            </w:pPr>
            <w:r>
              <w:rPr>
                <w:rFonts w:hint="default"/>
                <w:lang w:val="en-US" w:eastAsia="zh-CN"/>
              </w:rPr>
              <w:t>每成功上传一个分块，即在Redis中记录该分块的元数据（obj_id:chunk_index: hash_value, status, location}）</w:t>
            </w:r>
            <w:r>
              <w:rPr>
                <w:rFonts w:hint="eastAsia"/>
                <w:lang w:val="en-US" w:eastAsia="zh-CN"/>
              </w:rPr>
              <w:t>。</w:t>
            </w:r>
          </w:p>
          <w:p w14:paraId="78473F56">
            <w:pPr>
              <w:bidi w:val="0"/>
              <w:jc w:val="left"/>
              <w:rPr>
                <w:rFonts w:hint="default"/>
                <w:lang w:val="en-US" w:eastAsia="zh-CN"/>
              </w:rPr>
            </w:pPr>
            <w:r>
              <w:rPr>
                <w:rFonts w:hint="eastAsia"/>
                <w:lang w:val="en-US" w:eastAsia="zh-CN"/>
              </w:rPr>
              <w:t>三、</w:t>
            </w:r>
            <w:r>
              <w:rPr>
                <w:rFonts w:hint="default"/>
                <w:lang w:val="en-US" w:eastAsia="zh-CN"/>
              </w:rPr>
              <w:t>元数据提交与校验：</w:t>
            </w:r>
          </w:p>
          <w:p w14:paraId="70D583BE">
            <w:pPr>
              <w:numPr>
                <w:ilvl w:val="0"/>
                <w:numId w:val="0"/>
              </w:numPr>
              <w:bidi w:val="0"/>
              <w:jc w:val="left"/>
              <w:rPr>
                <w:rFonts w:hint="eastAsia" w:eastAsia="宋体"/>
                <w:lang w:val="en-US" w:eastAsia="zh-CN"/>
              </w:rPr>
            </w:pPr>
            <w:r>
              <w:rPr>
                <w:rFonts w:hint="default"/>
                <w:lang w:val="en-US" w:eastAsia="zh-CN"/>
              </w:rPr>
              <w:t>所有分块上传完成后，在Redis中提交完整的对象元数据，包括：总校验和（通过所有分块哈希合并计算得出）</w:t>
            </w:r>
            <w:r>
              <w:rPr>
                <w:rFonts w:hint="eastAsia"/>
                <w:lang w:val="en-US" w:eastAsia="zh-CN"/>
              </w:rPr>
              <w:t>；</w:t>
            </w:r>
            <w:r>
              <w:rPr>
                <w:rFonts w:hint="default"/>
                <w:lang w:val="en-US" w:eastAsia="zh-CN"/>
              </w:rPr>
              <w:t>数据流动信息（如目标地域列表 [A, B, C]）</w:t>
            </w:r>
            <w:r>
              <w:rPr>
                <w:rFonts w:hint="eastAsia"/>
                <w:lang w:val="en-US" w:eastAsia="zh-CN"/>
              </w:rPr>
              <w:t>；</w:t>
            </w:r>
            <w:r>
              <w:rPr>
                <w:rFonts w:hint="default"/>
                <w:lang w:val="en-US" w:eastAsia="zh-CN"/>
              </w:rPr>
              <w:t>状态更新为“可获取”。</w:t>
            </w:r>
            <w:r>
              <w:rPr>
                <w:rFonts w:hint="eastAsia"/>
                <w:lang w:val="en-US" w:eastAsia="zh-CN"/>
              </w:rPr>
              <w:t>最后</w:t>
            </w:r>
            <w:r>
              <w:rPr>
                <w:rFonts w:hint="default"/>
                <w:lang w:val="en-US" w:eastAsia="zh-CN"/>
              </w:rPr>
              <w:t>元数据提交采用原子操作，确保完整性。</w:t>
            </w:r>
          </w:p>
          <w:p w14:paraId="663AEF93">
            <w:pPr>
              <w:bidi w:val="0"/>
              <w:jc w:val="left"/>
              <w:rPr>
                <w:rFonts w:hint="default"/>
                <w:lang w:val="en-US" w:eastAsia="zh-CN"/>
              </w:rPr>
            </w:pPr>
            <w:r>
              <w:rPr>
                <w:rFonts w:hint="default"/>
                <w:lang w:val="en-US" w:eastAsia="zh-CN"/>
              </w:rPr>
              <w:t>步骤2: 多地域数据获取流程</w:t>
            </w:r>
          </w:p>
          <w:p w14:paraId="364C5E0E">
            <w:pPr>
              <w:numPr>
                <w:ilvl w:val="0"/>
                <w:numId w:val="8"/>
              </w:numPr>
              <w:bidi w:val="0"/>
              <w:jc w:val="left"/>
              <w:rPr>
                <w:rFonts w:hint="default"/>
                <w:lang w:val="en-US" w:eastAsia="zh-CN"/>
              </w:rPr>
            </w:pPr>
            <w:r>
              <w:rPr>
                <w:rFonts w:hint="default"/>
                <w:lang w:val="en-US" w:eastAsia="zh-CN"/>
              </w:rPr>
              <w:t>元数据获取与解析：</w:t>
            </w:r>
          </w:p>
          <w:p w14:paraId="758D8D95">
            <w:pPr>
              <w:widowControl w:val="0"/>
              <w:numPr>
                <w:ilvl w:val="0"/>
                <w:numId w:val="9"/>
              </w:numPr>
              <w:bidi w:val="0"/>
              <w:jc w:val="left"/>
              <w:rPr>
                <w:rFonts w:hint="default"/>
                <w:lang w:val="en-US" w:eastAsia="zh-CN"/>
              </w:rPr>
            </w:pPr>
            <w:r>
              <w:rPr>
                <w:rFonts w:hint="default"/>
                <w:lang w:val="en-US" w:eastAsia="zh-CN"/>
              </w:rPr>
              <w:t>地域A、B、C的获取客户端向元数据服务中心请求对象元数据。</w:t>
            </w:r>
          </w:p>
          <w:p w14:paraId="6C465730">
            <w:pPr>
              <w:widowControl w:val="0"/>
              <w:numPr>
                <w:ilvl w:val="0"/>
                <w:numId w:val="9"/>
              </w:numPr>
              <w:bidi w:val="0"/>
              <w:jc w:val="left"/>
              <w:rPr>
                <w:rFonts w:hint="default"/>
                <w:lang w:val="en-US" w:eastAsia="zh-CN"/>
              </w:rPr>
            </w:pPr>
            <w:r>
              <w:rPr>
                <w:rFonts w:hint="default"/>
                <w:lang w:val="en-US" w:eastAsia="zh-CN"/>
              </w:rPr>
              <w:t>解析元数据，获取分块列表、校验和及压缩标识。</w:t>
            </w:r>
          </w:p>
          <w:p w14:paraId="56475F81">
            <w:pPr>
              <w:widowControl w:val="0"/>
              <w:numPr>
                <w:ilvl w:val="0"/>
                <w:numId w:val="8"/>
              </w:numPr>
              <w:bidi w:val="0"/>
              <w:ind w:left="0" w:leftChars="0" w:firstLine="0" w:firstLineChars="0"/>
              <w:jc w:val="left"/>
              <w:rPr>
                <w:rFonts w:hint="eastAsia"/>
                <w:lang w:val="en-US" w:eastAsia="zh-CN"/>
              </w:rPr>
            </w:pPr>
            <w:r>
              <w:rPr>
                <w:rFonts w:hint="eastAsia"/>
                <w:lang w:val="en-US" w:eastAsia="zh-CN"/>
              </w:rPr>
              <w:t>并发分块获取：</w:t>
            </w:r>
          </w:p>
          <w:p w14:paraId="6CFA59FD">
            <w:pPr>
              <w:widowControl w:val="0"/>
              <w:numPr>
                <w:ilvl w:val="0"/>
                <w:numId w:val="10"/>
              </w:numPr>
              <w:bidi w:val="0"/>
              <w:jc w:val="left"/>
              <w:rPr>
                <w:rFonts w:hint="default"/>
                <w:lang w:val="en-US" w:eastAsia="zh-CN"/>
              </w:rPr>
            </w:pPr>
            <w:r>
              <w:rPr>
                <w:rFonts w:hint="default"/>
                <w:lang w:val="en-US" w:eastAsia="zh-CN"/>
              </w:rPr>
              <w:t>客户端根据所需的字节偏移量（offset）和获取大小（size），计算其起始块索引（start_chunk）和结束块索引（end_chunk）。</w:t>
            </w:r>
          </w:p>
          <w:p w14:paraId="7E7150E7">
            <w:pPr>
              <w:widowControl w:val="0"/>
              <w:numPr>
                <w:ilvl w:val="0"/>
                <w:numId w:val="10"/>
              </w:numPr>
              <w:bidi w:val="0"/>
              <w:jc w:val="left"/>
              <w:rPr>
                <w:rFonts w:hint="default"/>
                <w:lang w:val="en-US" w:eastAsia="zh-CN"/>
              </w:rPr>
            </w:pPr>
            <w:r>
              <w:rPr>
                <w:rFonts w:hint="default"/>
                <w:lang w:val="en-US" w:eastAsia="zh-CN"/>
              </w:rPr>
              <w:t>根据计算出的块索引范围，并发地向广域分布式存储发起多个分块获取请求。</w:t>
            </w:r>
          </w:p>
          <w:p w14:paraId="19C53232">
            <w:pPr>
              <w:widowControl w:val="0"/>
              <w:numPr>
                <w:ilvl w:val="0"/>
                <w:numId w:val="8"/>
              </w:numPr>
              <w:bidi w:val="0"/>
              <w:ind w:left="0" w:leftChars="0" w:firstLine="0" w:firstLineChars="0"/>
              <w:jc w:val="left"/>
              <w:rPr>
                <w:rFonts w:hint="default"/>
                <w:lang w:val="en-US" w:eastAsia="zh-CN"/>
              </w:rPr>
            </w:pPr>
            <w:r>
              <w:rPr>
                <w:rFonts w:hint="eastAsia"/>
                <w:lang w:val="en-US" w:eastAsia="zh-CN"/>
              </w:rPr>
              <w:t>顺序组装与返回</w:t>
            </w:r>
            <w:r>
              <w:rPr>
                <w:rFonts w:hint="default"/>
                <w:lang w:val="en-US" w:eastAsia="zh-CN"/>
              </w:rPr>
              <w:t>：</w:t>
            </w:r>
          </w:p>
          <w:p w14:paraId="732F0E57">
            <w:pPr>
              <w:widowControl w:val="0"/>
              <w:numPr>
                <w:ilvl w:val="0"/>
                <w:numId w:val="11"/>
              </w:numPr>
              <w:bidi w:val="0"/>
              <w:jc w:val="left"/>
              <w:rPr>
                <w:rFonts w:hint="default"/>
                <w:lang w:val="en-US" w:eastAsia="zh-CN"/>
              </w:rPr>
            </w:pPr>
            <w:r>
              <w:rPr>
                <w:rFonts w:hint="default"/>
                <w:lang w:val="en-US" w:eastAsia="zh-CN"/>
              </w:rPr>
              <w:t>接收到的分块按索引顺序缓存和组装。</w:t>
            </w:r>
          </w:p>
          <w:p w14:paraId="1B6576D3">
            <w:pPr>
              <w:widowControl w:val="0"/>
              <w:numPr>
                <w:ilvl w:val="0"/>
                <w:numId w:val="11"/>
              </w:numPr>
              <w:bidi w:val="0"/>
              <w:jc w:val="left"/>
              <w:rPr>
                <w:rFonts w:hint="default"/>
                <w:lang w:val="en-US" w:eastAsia="zh-CN"/>
              </w:rPr>
            </w:pPr>
            <w:r>
              <w:rPr>
                <w:rFonts w:hint="default"/>
                <w:lang w:val="en-US" w:eastAsia="zh-CN"/>
              </w:rPr>
              <w:t>对每个分块进行哈希校验，确保数据传输无误。校验失败则触发特定分块重传</w:t>
            </w:r>
            <w:r>
              <w:rPr>
                <w:rFonts w:hint="eastAsia"/>
                <w:lang w:val="en-US" w:eastAsia="zh-CN"/>
              </w:rPr>
              <w:t>.</w:t>
            </w:r>
          </w:p>
          <w:p w14:paraId="6169AA78">
            <w:pPr>
              <w:widowControl w:val="0"/>
              <w:numPr>
                <w:ilvl w:val="0"/>
                <w:numId w:val="11"/>
              </w:numPr>
              <w:bidi w:val="0"/>
              <w:jc w:val="left"/>
              <w:rPr>
                <w:rFonts w:hint="default"/>
                <w:lang w:val="en-US" w:eastAsia="zh-CN"/>
              </w:rPr>
            </w:pPr>
            <w:r>
              <w:rPr>
                <w:rFonts w:hint="default"/>
                <w:lang w:val="en-US" w:eastAsia="zh-CN"/>
              </w:rPr>
              <w:t>若元数据指示数据经过压缩</w:t>
            </w:r>
            <w:r>
              <w:rPr>
                <w:rFonts w:hint="eastAsia"/>
                <w:lang w:val="en-US" w:eastAsia="zh-CN"/>
              </w:rPr>
              <w:t>，</w:t>
            </w:r>
            <w:r>
              <w:rPr>
                <w:rFonts w:hint="default"/>
                <w:lang w:val="en-US" w:eastAsia="zh-CN"/>
              </w:rPr>
              <w:t>则</w:t>
            </w:r>
            <w:r>
              <w:rPr>
                <w:rFonts w:hint="eastAsia"/>
                <w:lang w:val="en-US" w:eastAsia="zh-CN"/>
              </w:rPr>
              <w:t>以块为单位分开</w:t>
            </w:r>
            <w:r>
              <w:rPr>
                <w:rFonts w:hint="default"/>
                <w:lang w:val="en-US" w:eastAsia="zh-CN"/>
              </w:rPr>
              <w:t>解压，最后将完整数据返回给客户端。</w:t>
            </w:r>
          </w:p>
          <w:p w14:paraId="1C52C01C">
            <w:pPr>
              <w:keepNext w:val="0"/>
              <w:keepLines w:val="0"/>
              <w:widowControl/>
              <w:suppressLineNumbers w:val="0"/>
              <w:jc w:val="left"/>
              <w:rPr>
                <w:rFonts w:hint="eastAsia"/>
              </w:rPr>
            </w:pPr>
            <w:r>
              <w:rPr>
                <w:rFonts w:hint="eastAsia"/>
              </w:rPr>
              <w:t>第二阶段：清理回收阶段</w:t>
            </w:r>
          </w:p>
          <w:p w14:paraId="578EF56A">
            <w:pPr>
              <w:widowControl w:val="0"/>
              <w:numPr>
                <w:ilvl w:val="0"/>
                <w:numId w:val="0"/>
              </w:numPr>
              <w:bidi w:val="0"/>
              <w:jc w:val="left"/>
              <w:rPr>
                <w:rFonts w:hint="default"/>
                <w:lang w:val="en-US" w:eastAsia="zh-CN"/>
              </w:rPr>
            </w:pPr>
            <w:r>
              <w:rPr>
                <w:rFonts w:hint="default"/>
                <w:lang w:val="en-US" w:eastAsia="zh-CN"/>
              </w:rPr>
              <w:t>本阶段负责在数据完成多地域分发后，安全地释放存储资源。</w:t>
            </w:r>
          </w:p>
          <w:p w14:paraId="5B9076CD">
            <w:pPr>
              <w:widowControl w:val="0"/>
              <w:numPr>
                <w:ilvl w:val="0"/>
                <w:numId w:val="0"/>
              </w:numPr>
              <w:bidi w:val="0"/>
              <w:jc w:val="left"/>
              <w:rPr>
                <w:rFonts w:hint="eastAsia"/>
                <w:lang w:val="en-US" w:eastAsia="zh-CN"/>
              </w:rPr>
            </w:pPr>
            <w:r>
              <w:rPr>
                <w:rFonts w:hint="eastAsia"/>
                <w:lang w:val="en-US" w:eastAsia="zh-CN"/>
              </w:rPr>
              <w:t>步骤1: 清理触发与条件检查​</w:t>
            </w:r>
          </w:p>
          <w:p w14:paraId="19C96357">
            <w:pPr>
              <w:widowControl w:val="0"/>
              <w:numPr>
                <w:ilvl w:val="0"/>
                <w:numId w:val="12"/>
              </w:numPr>
              <w:bidi w:val="0"/>
              <w:jc w:val="left"/>
              <w:rPr>
                <w:rFonts w:hint="eastAsia"/>
                <w:lang w:val="en-US" w:eastAsia="zh-CN"/>
              </w:rPr>
            </w:pPr>
            <w:r>
              <w:rPr>
                <w:rFonts w:hint="eastAsia"/>
                <w:lang w:val="en-US" w:eastAsia="zh-CN"/>
              </w:rPr>
              <w:t>状态监控与确认：</w:t>
            </w:r>
          </w:p>
          <w:p w14:paraId="1D81963B">
            <w:pPr>
              <w:widowControl w:val="0"/>
              <w:numPr>
                <w:ilvl w:val="0"/>
                <w:numId w:val="13"/>
              </w:numPr>
              <w:bidi w:val="0"/>
              <w:jc w:val="left"/>
              <w:rPr>
                <w:rFonts w:hint="default"/>
                <w:lang w:val="en-US" w:eastAsia="zh-CN"/>
              </w:rPr>
            </w:pPr>
            <w:r>
              <w:rPr>
                <w:rFonts w:hint="default"/>
                <w:lang w:val="en-US" w:eastAsia="zh-CN"/>
              </w:rPr>
              <w:t>清理模块持续监控Redis中每个数据对象的状态及其对应目标地域的下载完成状态（通过各地域下载完成后发送的ACK消息更新）</w:t>
            </w:r>
          </w:p>
          <w:p w14:paraId="2AC8785A">
            <w:pPr>
              <w:widowControl w:val="0"/>
              <w:numPr>
                <w:ilvl w:val="0"/>
                <w:numId w:val="13"/>
              </w:numPr>
              <w:bidi w:val="0"/>
              <w:jc w:val="left"/>
              <w:rPr>
                <w:rFonts w:hint="default"/>
                <w:lang w:val="en-US" w:eastAsia="zh-CN"/>
              </w:rPr>
            </w:pPr>
            <w:r>
              <w:rPr>
                <w:rFonts w:hint="default"/>
                <w:lang w:val="en-US" w:eastAsia="zh-CN"/>
              </w:rPr>
              <w:t>当某数据对象的全部目标地域（如A、B、C）状态均标记为“已下载”，则将其加入​​待清理候选队列</w:t>
            </w:r>
          </w:p>
          <w:p w14:paraId="6CF82630">
            <w:pPr>
              <w:widowControl w:val="0"/>
              <w:numPr>
                <w:ilvl w:val="0"/>
                <w:numId w:val="12"/>
              </w:numPr>
              <w:bidi w:val="0"/>
              <w:ind w:left="0" w:leftChars="0" w:firstLine="0" w:firstLineChars="0"/>
              <w:jc w:val="left"/>
              <w:rPr>
                <w:rFonts w:hint="default"/>
                <w:lang w:val="en-US" w:eastAsia="zh-CN"/>
              </w:rPr>
            </w:pPr>
            <w:r>
              <w:rPr>
                <w:rFonts w:hint="default"/>
                <w:lang w:val="en-US" w:eastAsia="zh-CN"/>
              </w:rPr>
              <w:t>条件过滤：</w:t>
            </w:r>
          </w:p>
          <w:p w14:paraId="4A7A47EF">
            <w:pPr>
              <w:widowControl w:val="0"/>
              <w:numPr>
                <w:ilvl w:val="0"/>
                <w:numId w:val="14"/>
              </w:numPr>
              <w:bidi w:val="0"/>
              <w:jc w:val="left"/>
              <w:rPr>
                <w:rFonts w:hint="default" w:eastAsia="宋体"/>
                <w:lang w:val="en-US" w:eastAsia="zh-CN"/>
              </w:rPr>
            </w:pPr>
            <w:r>
              <w:rPr>
                <w:rFonts w:hint="default" w:eastAsia="宋体"/>
                <w:lang w:val="en-US" w:eastAsia="zh-CN"/>
              </w:rPr>
              <w:t>系统为避免频繁触发清理，设置以下条件</w:t>
            </w:r>
            <w:r>
              <w:rPr>
                <w:rFonts w:hint="eastAsia" w:eastAsia="宋体"/>
                <w:lang w:val="en-US" w:eastAsia="zh-CN"/>
              </w:rPr>
              <w:t xml:space="preserve">: </w:t>
            </w:r>
            <w:r>
              <w:rPr>
                <w:rFonts w:hint="default" w:eastAsia="宋体"/>
                <w:lang w:val="en-US" w:eastAsia="zh-CN"/>
              </w:rPr>
              <w:t>最小清理间隔（300秒</w:t>
            </w:r>
            <w:r>
              <w:rPr>
                <w:rFonts w:hint="eastAsia" w:eastAsia="宋体"/>
                <w:lang w:val="en-US" w:eastAsia="zh-CN"/>
              </w:rPr>
              <w:t>为一个循环</w:t>
            </w:r>
            <w:r>
              <w:rPr>
                <w:rFonts w:hint="default" w:eastAsia="宋体"/>
                <w:lang w:val="en-US" w:eastAsia="zh-CN"/>
              </w:rPr>
              <w:t>）：自上次清理任务完成后，必须等待至少此时间才启动新清理。资源阈值条件（如内存使用率 &gt; 85%）：仅当全局内存资源紧张时，才及时触发清理以释放空间。</w:t>
            </w:r>
          </w:p>
          <w:p w14:paraId="40EC4B3D">
            <w:pPr>
              <w:widowControl w:val="0"/>
              <w:numPr>
                <w:ilvl w:val="0"/>
                <w:numId w:val="14"/>
              </w:numPr>
              <w:bidi w:val="0"/>
              <w:jc w:val="left"/>
              <w:rPr>
                <w:rFonts w:hint="default" w:eastAsia="宋体"/>
                <w:lang w:val="en-US" w:eastAsia="zh-CN"/>
              </w:rPr>
            </w:pPr>
            <w:r>
              <w:rPr>
                <w:rFonts w:hint="default" w:eastAsia="宋体"/>
                <w:lang w:val="en-US" w:eastAsia="zh-CN"/>
              </w:rPr>
              <w:t>仅当待清理对象同时满足间隔与阈值条件时，才正式启动清理流程。</w:t>
            </w:r>
          </w:p>
          <w:p w14:paraId="289C0E3F">
            <w:pPr>
              <w:widowControl w:val="0"/>
              <w:numPr>
                <w:ilvl w:val="0"/>
                <w:numId w:val="0"/>
              </w:numPr>
              <w:bidi w:val="0"/>
              <w:jc w:val="left"/>
              <w:rPr>
                <w:rFonts w:hint="eastAsia"/>
                <w:lang w:val="en-US" w:eastAsia="zh-CN"/>
              </w:rPr>
            </w:pPr>
            <w:r>
              <w:rPr>
                <w:rFonts w:hint="eastAsia"/>
                <w:lang w:val="en-US" w:eastAsia="zh-CN"/>
              </w:rPr>
              <w:t>步骤2: 资源清理与回收​</w:t>
            </w:r>
          </w:p>
          <w:p w14:paraId="177A643B">
            <w:pPr>
              <w:widowControl w:val="0"/>
              <w:numPr>
                <w:ilvl w:val="0"/>
                <w:numId w:val="15"/>
              </w:numPr>
              <w:bidi w:val="0"/>
              <w:jc w:val="left"/>
              <w:rPr>
                <w:rFonts w:hint="default"/>
                <w:lang w:val="en-US" w:eastAsia="zh-CN"/>
              </w:rPr>
            </w:pPr>
            <w:r>
              <w:rPr>
                <w:rFonts w:hint="eastAsia"/>
                <w:lang w:val="en-US" w:eastAsia="zh-CN"/>
              </w:rPr>
              <w:t>原子标记与删除</w:t>
            </w:r>
            <w:r>
              <w:rPr>
                <w:rFonts w:hint="default"/>
                <w:lang w:val="en-US" w:eastAsia="zh-CN"/>
              </w:rPr>
              <w:t>：</w:t>
            </w:r>
          </w:p>
          <w:p w14:paraId="4022CB33">
            <w:pPr>
              <w:widowControl w:val="0"/>
              <w:numPr>
                <w:ilvl w:val="0"/>
                <w:numId w:val="16"/>
              </w:numPr>
              <w:bidi w:val="0"/>
              <w:jc w:val="left"/>
              <w:rPr>
                <w:rFonts w:hint="default" w:eastAsia="宋体"/>
                <w:lang w:val="en-US" w:eastAsia="zh-CN"/>
              </w:rPr>
            </w:pPr>
            <w:r>
              <w:rPr>
                <w:rFonts w:hint="default" w:eastAsia="宋体"/>
                <w:lang w:val="en-US" w:eastAsia="zh-CN"/>
              </w:rPr>
              <w:t>清理流程启动时，首先在Redis中将对象状态原子性地更新为“清理中”，防止清理过程中有新的获取请求。</w:t>
            </w:r>
          </w:p>
          <w:p w14:paraId="3BD58A09">
            <w:pPr>
              <w:widowControl w:val="0"/>
              <w:numPr>
                <w:ilvl w:val="0"/>
                <w:numId w:val="16"/>
              </w:numPr>
              <w:bidi w:val="0"/>
              <w:ind w:left="0" w:leftChars="0" w:firstLine="0" w:firstLineChars="0"/>
              <w:jc w:val="left"/>
              <w:rPr>
                <w:rFonts w:hint="default"/>
                <w:lang w:val="en-US" w:eastAsia="zh-CN"/>
              </w:rPr>
            </w:pPr>
            <w:r>
              <w:rPr>
                <w:rFonts w:hint="default" w:eastAsia="宋体"/>
                <w:lang w:val="en-US" w:eastAsia="zh-CN"/>
              </w:rPr>
              <w:t>异步删除数据分块：清理服务向广域分布式存储发送指令，删除该对象对应的所有物理分块数据。</w:t>
            </w:r>
          </w:p>
          <w:p w14:paraId="1F7567D8">
            <w:pPr>
              <w:widowControl w:val="0"/>
              <w:numPr>
                <w:ilvl w:val="0"/>
                <w:numId w:val="15"/>
              </w:numPr>
              <w:bidi w:val="0"/>
              <w:ind w:left="0" w:leftChars="0" w:firstLine="0" w:firstLineChars="0"/>
              <w:jc w:val="left"/>
              <w:rPr>
                <w:rFonts w:hint="eastAsia" w:eastAsia="宋体"/>
                <w:lang w:val="en-US" w:eastAsia="zh-CN"/>
              </w:rPr>
            </w:pPr>
            <w:r>
              <w:rPr>
                <w:rFonts w:hint="eastAsia" w:eastAsia="宋体"/>
                <w:lang w:val="en-US" w:eastAsia="zh-CN"/>
              </w:rPr>
              <w:t>元数据清理与统计更新：</w:t>
            </w:r>
          </w:p>
          <w:p w14:paraId="28E5606A">
            <w:pPr>
              <w:widowControl w:val="0"/>
              <w:numPr>
                <w:ilvl w:val="0"/>
                <w:numId w:val="17"/>
              </w:numPr>
              <w:bidi w:val="0"/>
              <w:jc w:val="left"/>
              <w:rPr>
                <w:rFonts w:hint="default" w:eastAsia="宋体"/>
                <w:lang w:val="en-US" w:eastAsia="zh-CN"/>
              </w:rPr>
            </w:pPr>
            <w:r>
              <w:rPr>
                <w:rFonts w:hint="default" w:eastAsia="宋体"/>
                <w:lang w:val="en-US" w:eastAsia="zh-CN"/>
              </w:rPr>
              <w:t>分块数据删除成功后，清理服务删除Redis中与该对象相关的所有元数据信息（包括分块索引、校验和、地域状态等）。</w:t>
            </w:r>
          </w:p>
          <w:p w14:paraId="7A340783">
            <w:pPr>
              <w:widowControl w:val="0"/>
              <w:numPr>
                <w:ilvl w:val="0"/>
                <w:numId w:val="17"/>
              </w:numPr>
              <w:bidi w:val="0"/>
              <w:jc w:val="left"/>
              <w:rPr>
                <w:rFonts w:hint="default" w:eastAsia="宋体"/>
                <w:lang w:val="en-US" w:eastAsia="zh-CN"/>
              </w:rPr>
            </w:pPr>
            <w:r>
              <w:rPr>
                <w:rFonts w:hint="default" w:eastAsia="宋体"/>
                <w:lang w:val="en-US" w:eastAsia="zh-CN"/>
              </w:rPr>
              <w:t>在Redis中更新全局内存分配统计，减去该对象所占用的内存大小，确保资源计数准确。</w:t>
            </w:r>
          </w:p>
          <w:p w14:paraId="3F94F771">
            <w:pPr>
              <w:widowControl w:val="0"/>
              <w:numPr>
                <w:ilvl w:val="0"/>
                <w:numId w:val="15"/>
              </w:numPr>
              <w:bidi w:val="0"/>
              <w:ind w:left="0" w:leftChars="0" w:firstLine="0" w:firstLineChars="0"/>
              <w:jc w:val="left"/>
              <w:rPr>
                <w:rFonts w:hint="eastAsia" w:eastAsia="宋体"/>
                <w:lang w:val="en-US" w:eastAsia="zh-CN"/>
              </w:rPr>
            </w:pPr>
            <w:r>
              <w:rPr>
                <w:rFonts w:hint="eastAsia" w:eastAsia="宋体"/>
                <w:lang w:val="en-US" w:eastAsia="zh-CN"/>
              </w:rPr>
              <w:t>最终状态更新：</w:t>
            </w:r>
          </w:p>
          <w:p w14:paraId="34B7FBC8">
            <w:pPr>
              <w:widowControl w:val="0"/>
              <w:numPr>
                <w:ilvl w:val="0"/>
                <w:numId w:val="0"/>
              </w:numPr>
              <w:bidi w:val="0"/>
              <w:jc w:val="left"/>
              <w:rPr>
                <w:rFonts w:hint="default" w:eastAsia="宋体"/>
                <w:lang w:val="en-US" w:eastAsia="zh-CN"/>
              </w:rPr>
            </w:pPr>
            <w:r>
              <w:rPr>
                <w:rFonts w:hint="default" w:eastAsia="宋体"/>
                <w:lang w:val="en-US" w:eastAsia="zh-CN"/>
              </w:rPr>
              <w:t>清理任务完成后，将对象最终状态标记为“已清理”。</w:t>
            </w:r>
          </w:p>
        </w:tc>
      </w:tr>
      <w:tr w14:paraId="29A2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86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D0FEE1E">
            <w:pPr>
              <w:pStyle w:val="17"/>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本发明/实用新型的关键点和保护点是什么？</w:t>
            </w:r>
          </w:p>
          <w:p w14:paraId="2951A296">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填写说明：这一部分应对本发明带来有益效果的关键技术点描述，不得将已经被现有技术公开的技术点列入。</w:t>
            </w:r>
          </w:p>
        </w:tc>
      </w:tr>
      <w:tr w14:paraId="1CC9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662"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16E9C85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180" w:afterAutospacing="0" w:line="26" w:lineRule="atLeast"/>
              <w:ind w:left="0" w:right="0" w:firstLine="0"/>
              <w:textAlignment w:val="baseline"/>
            </w:pPr>
            <w:r>
              <w:rPr>
                <w:rFonts w:hint="default" w:ascii="Segoe UI" w:hAnsi="Segoe UI" w:eastAsia="Segoe UI" w:cs="Segoe UI"/>
                <w:i w:val="0"/>
                <w:iCs w:val="0"/>
                <w:caps w:val="0"/>
                <w:spacing w:val="-2"/>
                <w:sz w:val="21"/>
                <w:szCs w:val="21"/>
                <w:shd w:val="clear" w:fill="FFFFFF"/>
                <w:vertAlign w:val="baseline"/>
              </w:rPr>
              <w:t>本发明方案的数据流动方法，在广域分布式存储的数据流动过程中，通过预分配内存、对象分块上传与并发获取、以及多地域协同清理机制，在确保数据高效跨地域流动的同时，精细化管理和释放内存资源，针对流动对象的上传、获取和清理进行协同，在不影响正常数据流动操作的情况下，能够更快地实现数据分发和资源回收</w:t>
            </w:r>
            <w:r>
              <w:rPr>
                <w:rFonts w:ascii="宋体" w:hAnsi="宋体" w:eastAsia="宋体" w:cs="宋体"/>
                <w:kern w:val="0"/>
                <w:sz w:val="24"/>
                <w:szCs w:val="24"/>
                <w:lang w:val="en-US" w:eastAsia="zh-CN" w:bidi="ar"/>
              </w:rPr>
              <w:t>。</w:t>
            </w:r>
          </w:p>
          <w:p w14:paraId="2B456E3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180" w:beforeAutospacing="0" w:after="180" w:afterAutospacing="0" w:line="26" w:lineRule="atLeast"/>
              <w:ind w:left="0" w:right="0" w:firstLine="0"/>
              <w:textAlignment w:val="baseline"/>
            </w:pPr>
            <w:r>
              <w:rPr>
                <w:rFonts w:hint="default" w:ascii="Segoe UI" w:hAnsi="Segoe UI" w:eastAsia="Segoe UI" w:cs="Segoe UI"/>
                <w:i w:val="0"/>
                <w:iCs w:val="0"/>
                <w:caps w:val="0"/>
                <w:spacing w:val="-2"/>
                <w:sz w:val="21"/>
                <w:szCs w:val="21"/>
                <w:shd w:val="clear" w:fill="FFFFFF"/>
                <w:vertAlign w:val="baseline"/>
              </w:rPr>
              <w:t>其关键点和保护点主要在于：</w:t>
            </w:r>
          </w:p>
          <w:p w14:paraId="1D41797C">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pPr>
            <w:r>
              <w:rPr>
                <w:rFonts w:hint="default" w:ascii="Segoe UI" w:hAnsi="Segoe UI" w:eastAsia="Segoe UI" w:cs="Segoe UI"/>
                <w:i w:val="0"/>
                <w:iCs w:val="0"/>
                <w:caps w:val="0"/>
                <w:spacing w:val="-2"/>
                <w:sz w:val="21"/>
                <w:szCs w:val="21"/>
                <w:shd w:val="clear" w:fill="FFFFFF"/>
                <w:vertAlign w:val="baseline"/>
              </w:rPr>
              <w:t>​</w:t>
            </w:r>
            <w:r>
              <w:rPr>
                <w:rStyle w:val="11"/>
                <w:rFonts w:hint="default" w:ascii="Segoe UI" w:hAnsi="Segoe UI" w:eastAsia="Segoe UI" w:cs="Segoe UI"/>
                <w:b/>
                <w:bCs/>
                <w:i w:val="0"/>
                <w:iCs w:val="0"/>
                <w:caps w:val="0"/>
                <w:spacing w:val="-2"/>
                <w:sz w:val="21"/>
                <w:szCs w:val="21"/>
                <w:shd w:val="clear" w:fill="FFFFFF"/>
                <w:vertAlign w:val="baseline"/>
              </w:rPr>
              <w:t>​内存预分配与状态管理</w:t>
            </w:r>
            <w:r>
              <w:rPr>
                <w:rFonts w:hint="default" w:ascii="Segoe UI" w:hAnsi="Segoe UI" w:eastAsia="Segoe UI" w:cs="Segoe UI"/>
                <w:i w:val="0"/>
                <w:iCs w:val="0"/>
                <w:caps w:val="0"/>
                <w:spacing w:val="-2"/>
                <w:sz w:val="21"/>
                <w:szCs w:val="21"/>
                <w:shd w:val="clear" w:fill="FFFFFF"/>
                <w:vertAlign w:val="baseline"/>
              </w:rPr>
              <w:t>：系统在上传数据前，会检查当前内存分配情况，并根据预设阈值决策是否允许上传。对象分配信息（如状态、分块信息）被记录在元数据服务中心（如Redis），以确保内存资源的有效利用和可控性。这保护了系统在有限内存资源下，仍能高效调度和接纳新数据对象的能力。</w:t>
            </w:r>
          </w:p>
          <w:p w14:paraId="50B32043">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pPr>
            <w:r>
              <w:rPr>
                <w:rFonts w:hint="default" w:ascii="Segoe UI" w:hAnsi="Segoe UI" w:eastAsia="Segoe UI" w:cs="Segoe UI"/>
                <w:i w:val="0"/>
                <w:iCs w:val="0"/>
                <w:caps w:val="0"/>
                <w:spacing w:val="-2"/>
                <w:sz w:val="21"/>
                <w:szCs w:val="21"/>
                <w:shd w:val="clear" w:fill="FFFFFF"/>
                <w:vertAlign w:val="baseline"/>
              </w:rPr>
              <w:t>​</w:t>
            </w:r>
            <w:r>
              <w:rPr>
                <w:rStyle w:val="11"/>
                <w:rFonts w:hint="default" w:ascii="Segoe UI" w:hAnsi="Segoe UI" w:eastAsia="Segoe UI" w:cs="Segoe UI"/>
                <w:b/>
                <w:bCs/>
                <w:i w:val="0"/>
                <w:iCs w:val="0"/>
                <w:caps w:val="0"/>
                <w:spacing w:val="-2"/>
                <w:sz w:val="21"/>
                <w:szCs w:val="21"/>
                <w:shd w:val="clear" w:fill="FFFFFF"/>
                <w:vertAlign w:val="baseline"/>
              </w:rPr>
              <w:t>​数据分块与并发传输</w:t>
            </w:r>
            <w:r>
              <w:rPr>
                <w:rFonts w:hint="default" w:ascii="Segoe UI" w:hAnsi="Segoe UI" w:eastAsia="Segoe UI" w:cs="Segoe UI"/>
                <w:i w:val="0"/>
                <w:iCs w:val="0"/>
                <w:caps w:val="0"/>
                <w:spacing w:val="-2"/>
                <w:sz w:val="21"/>
                <w:szCs w:val="21"/>
                <w:shd w:val="clear" w:fill="FFFFFF"/>
                <w:vertAlign w:val="baseline"/>
              </w:rPr>
              <w:t>：将数据对象分块上传，采用批次策略减少通信开销。在获取端，根据请求的偏移量计算所需的数据块索引，并发获取这些数据块，最后按序组装返回。这种方法保护了在大数据量或网络延迟较高的广域环境下，数据流动的吞吐率和响应速度。</w:t>
            </w:r>
          </w:p>
          <w:p w14:paraId="783D9084">
            <w:pPr>
              <w:pStyle w:val="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pPr>
            <w:r>
              <w:rPr>
                <w:rFonts w:hint="default" w:ascii="Segoe UI" w:hAnsi="Segoe UI" w:eastAsia="Segoe UI" w:cs="Segoe UI"/>
                <w:i w:val="0"/>
                <w:iCs w:val="0"/>
                <w:caps w:val="0"/>
                <w:spacing w:val="-2"/>
                <w:sz w:val="21"/>
                <w:szCs w:val="21"/>
                <w:shd w:val="clear" w:fill="FFFFFF"/>
                <w:vertAlign w:val="baseline"/>
              </w:rPr>
              <w:t>​</w:t>
            </w:r>
            <w:r>
              <w:rPr>
                <w:rStyle w:val="11"/>
                <w:rFonts w:hint="default" w:ascii="Segoe UI" w:hAnsi="Segoe UI" w:eastAsia="Segoe UI" w:cs="Segoe UI"/>
                <w:b/>
                <w:bCs/>
                <w:i w:val="0"/>
                <w:iCs w:val="0"/>
                <w:caps w:val="0"/>
                <w:spacing w:val="-2"/>
                <w:sz w:val="21"/>
                <w:szCs w:val="21"/>
                <w:shd w:val="clear" w:fill="FFFFFF"/>
                <w:vertAlign w:val="baseline"/>
              </w:rPr>
              <w:t>​多地域协同清理与资源回收</w:t>
            </w:r>
            <w:r>
              <w:rPr>
                <w:rFonts w:hint="default" w:ascii="Segoe UI" w:hAnsi="Segoe UI" w:eastAsia="Segoe UI" w:cs="Segoe UI"/>
                <w:i w:val="0"/>
                <w:iCs w:val="0"/>
                <w:caps w:val="0"/>
                <w:spacing w:val="-2"/>
                <w:sz w:val="21"/>
                <w:szCs w:val="21"/>
                <w:shd w:val="clear" w:fill="FFFFFF"/>
                <w:vertAlign w:val="baseline"/>
              </w:rPr>
              <w:t>：清理模块并非简单依赖时间触发，而是检查各个地域的下载完成状态（ACK机制），当所有目标地域均完成获取后，且在满足最小清理间隔和系统资源阈值条件时，才启动清理任务。这保护了数据在被完全使用前不会被误删，同时避免了清理过程过于频繁消耗系统资源，确保了资源回收的及时性和系统稳定性。</w:t>
            </w:r>
          </w:p>
          <w:p w14:paraId="494E0ADE">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textAlignment w:val="baseline"/>
            </w:pPr>
          </w:p>
          <w:p w14:paraId="0F713F81">
            <w:pPr>
              <w:snapToGrid w:val="0"/>
              <w:spacing w:line="276" w:lineRule="auto"/>
              <w:rPr>
                <w:rFonts w:hint="eastAsia" w:ascii="宋体" w:hAnsi="宋体" w:eastAsia="宋体" w:cs="宋体"/>
                <w:sz w:val="20"/>
                <w:szCs w:val="20"/>
              </w:rPr>
            </w:pPr>
          </w:p>
        </w:tc>
      </w:tr>
      <w:tr w14:paraId="172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23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6631D4A">
            <w:pPr>
              <w:pStyle w:val="17"/>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针对第三部分的技术方案，是否有其他替代方案同样能完成本发明/实用新型目的？</w:t>
            </w:r>
          </w:p>
          <w:p w14:paraId="4F2A2E00">
            <w:pPr>
              <w:snapToGrid w:val="0"/>
              <w:spacing w:line="276" w:lineRule="auto"/>
              <w:ind w:firstLine="747" w:firstLineChars="372"/>
              <w:rPr>
                <w:rFonts w:hint="eastAsia" w:ascii="宋体" w:hAnsi="宋体" w:eastAsia="宋体" w:cs="宋体"/>
                <w:b/>
                <w:bCs/>
                <w:sz w:val="20"/>
                <w:szCs w:val="20"/>
              </w:rPr>
            </w:pPr>
            <w:r>
              <w:rPr>
                <w:rFonts w:hint="eastAsia" w:ascii="宋体" w:hAnsi="宋体" w:eastAsia="宋体" w:cs="宋体"/>
                <w:b/>
                <w:bCs/>
                <w:sz w:val="20"/>
                <w:szCs w:val="20"/>
              </w:rPr>
              <w:t>有□  无</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p>
          <w:p w14:paraId="4A7A8B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14:paraId="1304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7106BCF">
            <w:pPr>
              <w:snapToGrid w:val="0"/>
              <w:spacing w:line="276" w:lineRule="auto"/>
              <w:rPr>
                <w:rFonts w:hint="eastAsia" w:ascii="宋体" w:hAnsi="宋体" w:eastAsia="宋体" w:cs="宋体"/>
                <w:b/>
                <w:bCs/>
                <w:sz w:val="20"/>
                <w:szCs w:val="20"/>
              </w:rPr>
            </w:pPr>
          </w:p>
        </w:tc>
      </w:tr>
      <w:tr w14:paraId="644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9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C0EF427">
            <w:pPr>
              <w:pStyle w:val="17"/>
              <w:numPr>
                <w:ilvl w:val="0"/>
                <w:numId w:val="1"/>
              </w:numPr>
              <w:snapToGrid w:val="0"/>
              <w:spacing w:line="276" w:lineRule="auto"/>
              <w:ind w:firstLineChars="0"/>
              <w:rPr>
                <w:rFonts w:hint="default" w:ascii="宋体" w:hAnsi="宋体" w:eastAsia="宋体" w:cs="宋体"/>
                <w:b/>
                <w:bCs/>
                <w:sz w:val="20"/>
                <w:szCs w:val="20"/>
                <w:lang w:val="en-US"/>
              </w:rPr>
            </w:pPr>
            <w:r>
              <w:rPr>
                <w:rFonts w:hint="eastAsia" w:ascii="宋体" w:hAnsi="宋体" w:eastAsia="宋体" w:cs="宋体"/>
                <w:b/>
                <w:bCs/>
                <w:sz w:val="20"/>
                <w:szCs w:val="20"/>
                <w:lang w:val="en-US" w:eastAsia="zh-CN"/>
              </w:rPr>
              <w:t>请说明</w:t>
            </w:r>
            <w:r>
              <w:rPr>
                <w:rFonts w:hint="eastAsia" w:ascii="宋体" w:hAnsi="宋体" w:eastAsia="宋体" w:cs="宋体"/>
                <w:b/>
                <w:bCs/>
                <w:sz w:val="20"/>
                <w:szCs w:val="20"/>
              </w:rPr>
              <w:t>本发明/实用新型</w:t>
            </w:r>
            <w:r>
              <w:rPr>
                <w:rFonts w:hint="eastAsia" w:ascii="宋体" w:hAnsi="宋体" w:eastAsia="宋体" w:cs="宋体"/>
                <w:b/>
                <w:bCs/>
                <w:sz w:val="20"/>
                <w:szCs w:val="20"/>
                <w:lang w:val="en-US" w:eastAsia="zh-CN"/>
              </w:rPr>
              <w:t>技术方案的落地可能性？</w:t>
            </w:r>
          </w:p>
          <w:p w14:paraId="734948E3">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w:t>
            </w:r>
            <w:r>
              <w:rPr>
                <w:rFonts w:hint="eastAsia" w:ascii="宋体" w:hAnsi="宋体" w:eastAsia="宋体" w:cs="宋体"/>
                <w:sz w:val="20"/>
                <w:szCs w:val="20"/>
                <w:lang w:val="en-US" w:eastAsia="zh-CN"/>
              </w:rPr>
              <w:t>请分析技术方案的落地可能性并附相关说明。</w:t>
            </w:r>
          </w:p>
          <w:p w14:paraId="14218725">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如：已确定或计划应用于XX版本的XX产品中；或者已确定或计划纳入XX标准中。</w:t>
            </w:r>
          </w:p>
        </w:tc>
      </w:tr>
      <w:tr w14:paraId="005E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8CEFD66">
            <w:p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计划应用于V2.4.0版本的广域分布式存储产品中；</w:t>
            </w:r>
          </w:p>
        </w:tc>
      </w:tr>
    </w:tbl>
    <w:p w14:paraId="7611F54A">
      <w:pPr>
        <w:snapToGrid w:val="0"/>
        <w:spacing w:line="276" w:lineRule="auto"/>
        <w:jc w:val="left"/>
        <w:rPr>
          <w:rFonts w:hint="eastAsia" w:ascii="宋体" w:hAnsi="宋体" w:eastAsia="宋体" w:cs="宋体"/>
          <w:b/>
          <w:bCs/>
          <w:kern w:val="0"/>
          <w:sz w:val="20"/>
          <w:szCs w:val="20"/>
        </w:rPr>
      </w:pPr>
      <w:r>
        <w:rPr>
          <w:rFonts w:hint="eastAsia" w:ascii="宋体" w:hAnsi="宋体" w:eastAsia="宋体" w:cs="宋体"/>
          <w:sz w:val="20"/>
          <w:szCs w:val="20"/>
        </w:rPr>
        <w:t xml:space="preserve"> </w:t>
      </w:r>
      <w:r>
        <w:rPr>
          <w:rFonts w:hint="eastAsia" w:ascii="宋体" w:hAnsi="宋体" w:eastAsia="宋体" w:cs="宋体"/>
          <w:b/>
          <w:bCs/>
          <w:kern w:val="0"/>
          <w:sz w:val="20"/>
          <w:szCs w:val="20"/>
        </w:rPr>
        <w:t>注意</w:t>
      </w:r>
      <w:r>
        <w:rPr>
          <w:rFonts w:hint="eastAsia" w:ascii="宋体" w:hAnsi="宋体" w:eastAsia="宋体" w:cs="宋体"/>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hint="eastAsia" w:ascii="宋体" w:hAnsi="宋体" w:eastAsia="宋体" w:cs="宋体"/>
          <w:b/>
          <w:bCs/>
          <w:kern w:val="0"/>
          <w:sz w:val="20"/>
          <w:szCs w:val="20"/>
        </w:rPr>
        <w:t>尤需注意，发明创新点应是在申请专利时全世界范围内都没有公开的，如已有销售等公开行为请告知。</w:t>
      </w:r>
    </w:p>
    <w:p w14:paraId="541AFEC9">
      <w:pPr>
        <w:rPr>
          <w:rFonts w:hint="eastAsia" w:ascii="宋体" w:hAnsi="宋体" w:eastAsia="宋体" w:cs="宋体"/>
          <w:b/>
          <w:bCs/>
          <w:kern w:val="0"/>
          <w:sz w:val="20"/>
          <w:szCs w:val="20"/>
        </w:rPr>
      </w:pPr>
      <w:r>
        <w:rPr>
          <w:rFonts w:hint="eastAsia" w:ascii="宋体" w:hAnsi="宋体" w:eastAsia="宋体" w:cs="宋体"/>
          <w:b/>
          <w:bCs/>
          <w:kern w:val="0"/>
          <w:sz w:val="20"/>
          <w:szCs w:val="20"/>
        </w:rPr>
        <w:br w:type="page"/>
      </w:r>
    </w:p>
    <w:p w14:paraId="6899AA83">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shd w:val="clear" w:color="auto" w:fill="FFFFFF"/>
        </w:rPr>
        <w:t>*所有发明/实用新型专利必须进行初步检索（</w:t>
      </w:r>
      <w:r>
        <w:rPr>
          <w:rFonts w:hint="eastAsia" w:ascii="宋体" w:hAnsi="宋体" w:eastAsia="宋体" w:cs="宋体"/>
          <w:b/>
          <w:bCs/>
          <w:sz w:val="20"/>
          <w:szCs w:val="20"/>
        </w:rPr>
        <w:t>表格不够可另附页）</w:t>
      </w:r>
    </w:p>
    <w:tbl>
      <w:tblPr>
        <w:tblStyle w:val="9"/>
        <w:tblW w:w="8647"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51"/>
        <w:gridCol w:w="816"/>
        <w:gridCol w:w="318"/>
        <w:gridCol w:w="6662"/>
      </w:tblGrid>
      <w:tr w14:paraId="5AB0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8647" w:type="dxa"/>
            <w:gridSpan w:val="4"/>
            <w:tcBorders>
              <w:top w:val="single" w:color="000000" w:sz="8" w:space="0"/>
              <w:left w:val="single" w:color="000000" w:sz="8" w:space="0"/>
              <w:bottom w:val="single" w:color="000000" w:sz="8" w:space="0"/>
              <w:right w:val="single" w:color="000000" w:sz="8" w:space="0"/>
            </w:tcBorders>
            <w:vAlign w:val="center"/>
          </w:tcPr>
          <w:p w14:paraId="796E101C">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lang w:val="en-US" w:eastAsia="zh-CN"/>
              </w:rPr>
              <w:t>第二</w:t>
            </w:r>
            <w:r>
              <w:rPr>
                <w:rFonts w:hint="eastAsia" w:ascii="宋体" w:hAnsi="宋体" w:eastAsia="宋体" w:cs="宋体"/>
                <w:b/>
                <w:bCs/>
                <w:sz w:val="36"/>
                <w:szCs w:val="36"/>
              </w:rPr>
              <w:t>部分 检索报告</w:t>
            </w:r>
          </w:p>
        </w:tc>
      </w:tr>
      <w:tr w14:paraId="3CFC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1667" w:type="dxa"/>
            <w:gridSpan w:val="2"/>
            <w:tcBorders>
              <w:top w:val="single" w:color="000000" w:sz="8" w:space="0"/>
              <w:left w:val="single" w:color="000000" w:sz="8" w:space="0"/>
              <w:bottom w:val="single" w:color="000000" w:sz="8" w:space="0"/>
              <w:right w:val="single" w:color="000000" w:sz="8" w:space="0"/>
            </w:tcBorders>
            <w:vAlign w:val="center"/>
          </w:tcPr>
          <w:p w14:paraId="78F6D7DC">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提案名称</w:t>
            </w:r>
          </w:p>
        </w:tc>
        <w:tc>
          <w:tcPr>
            <w:tcW w:w="6980" w:type="dxa"/>
            <w:gridSpan w:val="2"/>
            <w:tcBorders>
              <w:top w:val="single" w:color="000000" w:sz="8" w:space="0"/>
              <w:left w:val="single" w:color="000000" w:sz="8" w:space="0"/>
              <w:bottom w:val="single" w:color="000000" w:sz="8" w:space="0"/>
              <w:right w:val="single" w:color="000000" w:sz="8" w:space="0"/>
            </w:tcBorders>
            <w:vAlign w:val="center"/>
          </w:tcPr>
          <w:p w14:paraId="68F94A2C">
            <w:pPr>
              <w:snapToGrid w:val="0"/>
              <w:spacing w:line="276" w:lineRule="auto"/>
              <w:rPr>
                <w:rFonts w:hint="eastAsia" w:ascii="宋体" w:hAnsi="宋体" w:eastAsia="宋体" w:cs="宋体"/>
                <w:sz w:val="20"/>
                <w:szCs w:val="20"/>
              </w:rPr>
            </w:pPr>
            <w:r>
              <w:rPr>
                <w:rFonts w:hint="eastAsia" w:ascii="宋体" w:hAnsi="宋体" w:eastAsia="宋体" w:cs="宋体"/>
                <w:b/>
                <w:bCs/>
                <w:kern w:val="2"/>
                <w:sz w:val="20"/>
                <w:szCs w:val="20"/>
                <w:lang w:val="en-US" w:eastAsia="zh-CN" w:bidi="ar-SA"/>
              </w:rPr>
              <w:t>一种基于广域分布式存储的数据流动方法</w:t>
            </w:r>
          </w:p>
        </w:tc>
      </w:tr>
      <w:tr w14:paraId="1E4A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80"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4BB084C8">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中国联通专利数据库检索结果</w:t>
            </w:r>
          </w:p>
        </w:tc>
        <w:tc>
          <w:tcPr>
            <w:tcW w:w="7796" w:type="dxa"/>
            <w:gridSpan w:val="3"/>
            <w:tcBorders>
              <w:top w:val="single" w:color="000000" w:sz="8" w:space="0"/>
              <w:left w:val="single" w:color="000000" w:sz="8" w:space="0"/>
              <w:bottom w:val="single" w:color="000000" w:sz="8" w:space="0"/>
              <w:right w:val="single" w:color="000000" w:sz="8" w:space="0"/>
            </w:tcBorders>
            <w:vAlign w:val="center"/>
          </w:tcPr>
          <w:p w14:paraId="52AA3E4B">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登录方式：集团云门户-应用中心-科技创新平台-专利服务-专利数据查询</w:t>
            </w:r>
          </w:p>
        </w:tc>
      </w:tr>
      <w:tr w14:paraId="65C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47"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AA5F60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7869B16">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302DEDD0">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2180AF08">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6FF5BECD">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数据流动</w:t>
            </w:r>
            <w:r>
              <w:rPr>
                <w:rFonts w:hint="eastAsia" w:ascii="宋体" w:hAnsi="宋体" w:eastAsia="宋体"/>
                <w:sz w:val="20"/>
                <w:szCs w:val="20"/>
              </w:rPr>
              <w:t>：</w:t>
            </w:r>
          </w:p>
        </w:tc>
      </w:tr>
      <w:tr w14:paraId="65C3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3"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7618AFC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7AA363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2E52CA6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填写说明：（1）根据发明主题选择最能体现该发明技术特</w:t>
            </w:r>
            <w:bookmarkStart w:id="1" w:name="_GoBack"/>
            <w:bookmarkEnd w:id="1"/>
            <w:r>
              <w:rPr>
                <w:rFonts w:hint="eastAsia" w:ascii="宋体" w:hAnsi="宋体" w:eastAsia="宋体" w:cs="宋体"/>
                <w:sz w:val="20"/>
                <w:szCs w:val="20"/>
              </w:rPr>
              <w:t>征及创新点的词语，避免使用一般描述性词语；（2）关键词不得少于三个，第一个应选择独立关键词，其他两个应选择组合关键词；（3）不要选择英文缩写。</w:t>
            </w:r>
          </w:p>
        </w:tc>
      </w:tr>
      <w:tr w14:paraId="208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92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F0F55FF">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38BCD79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25064637">
            <w:pPr>
              <w:numPr>
                <w:ilvl w:val="0"/>
                <w:numId w:val="19"/>
              </w:numPr>
              <w:bidi w:val="0"/>
              <w:rPr>
                <w:rFonts w:hint="default"/>
              </w:rPr>
            </w:pPr>
            <w:r>
              <w:rPr>
                <w:rFonts w:hint="eastAsia" w:asciiTheme="minorHAnsi" w:hAnsiTheme="minorHAnsi" w:eastAsiaTheme="minorEastAsia" w:cstheme="minorBidi"/>
                <w:b w:val="0"/>
                <w:bCs w:val="0"/>
                <w:kern w:val="2"/>
                <w:sz w:val="21"/>
                <w:szCs w:val="22"/>
                <w:lang w:val="en-US" w:eastAsia="zh-CN" w:bidi="ar-SA"/>
              </w:rPr>
              <w:t>CN117331981A数据流动感知方法及相关装置</w:t>
            </w:r>
          </w:p>
          <w:p w14:paraId="08A67A7E">
            <w:pPr>
              <w:numPr>
                <w:ilvl w:val="0"/>
                <w:numId w:val="19"/>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CN116911431A 数据流动预测模型训练方法、装置、存储介质及设备</w:t>
            </w:r>
          </w:p>
          <w:p w14:paraId="2274F271">
            <w:pPr>
              <w:numPr>
                <w:ilvl w:val="0"/>
                <w:numId w:val="19"/>
              </w:numPr>
              <w:bidi w:val="0"/>
              <w:rPr>
                <w:rFonts w:hint="eastAsia" w:ascii="宋体" w:hAnsi="宋体" w:eastAsia="宋体" w:cs="宋体"/>
                <w:sz w:val="20"/>
                <w:szCs w:val="20"/>
              </w:rPr>
            </w:pPr>
            <w:r>
              <w:rPr>
                <w:rFonts w:hint="eastAsia" w:asciiTheme="minorHAnsi" w:hAnsiTheme="minorHAnsi" w:eastAsiaTheme="minorEastAsia" w:cstheme="minorBidi"/>
                <w:b w:val="0"/>
                <w:bCs w:val="0"/>
                <w:kern w:val="2"/>
                <w:sz w:val="21"/>
                <w:szCs w:val="22"/>
                <w:lang w:val="en-US" w:eastAsia="zh-CN" w:bidi="ar-SA"/>
              </w:rPr>
              <w:t>CN110912851A 流动数据的监控方法、装置及设备</w:t>
            </w:r>
          </w:p>
        </w:tc>
      </w:tr>
      <w:tr w14:paraId="329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5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943BCA0">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4AD2EE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最相关的专利文献分析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251C9AF6">
            <w:pPr>
              <w:numPr>
                <w:ilvl w:val="0"/>
                <w:numId w:val="0"/>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CN117331981A数据流动感知方法及相关装置</w:t>
            </w:r>
          </w:p>
          <w:p w14:paraId="3500D08D">
            <w:pPr>
              <w:snapToGrid w:val="0"/>
              <w:spacing w:line="276" w:lineRule="auto"/>
              <w:rPr>
                <w:rFonts w:ascii="宋体" w:hAnsi="宋体" w:eastAsia="宋体"/>
                <w:sz w:val="20"/>
                <w:szCs w:val="20"/>
              </w:rPr>
            </w:pPr>
          </w:p>
          <w:p w14:paraId="303BEFAF">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与本方案要解决的问题以及处理方法有一定相似性，本方案主要针对的是利用广域分布式存储的连通性，将广域分布式存储作为中转站，向多个地域流动数据。</w:t>
            </w:r>
          </w:p>
        </w:tc>
      </w:tr>
      <w:tr w14:paraId="5895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5"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D6D60DD">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C7CB9E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4F6CAC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w:t>
            </w:r>
          </w:p>
          <w:p w14:paraId="32149C1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1、包括名称、专利号或申请号、已公布的技术实现方案、与该发明的异同等</w:t>
            </w:r>
          </w:p>
          <w:p w14:paraId="6736E1D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14:paraId="72C4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77"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1ED70318">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公共搜索引擎检索结果</w:t>
            </w: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45A3AEC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搜索引擎</w:t>
            </w:r>
          </w:p>
        </w:tc>
        <w:tc>
          <w:tcPr>
            <w:tcW w:w="6662" w:type="dxa"/>
            <w:tcBorders>
              <w:top w:val="single" w:color="000000" w:sz="8" w:space="0"/>
              <w:left w:val="single" w:color="000000" w:sz="8" w:space="0"/>
              <w:bottom w:val="single" w:color="000000" w:sz="8" w:space="0"/>
              <w:right w:val="single" w:color="000000" w:sz="8" w:space="0"/>
            </w:tcBorders>
            <w:vAlign w:val="center"/>
          </w:tcPr>
          <w:p w14:paraId="3620052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百度（ </w:t>
            </w:r>
            <w:r>
              <w:rPr>
                <w:rFonts w:hint="default" w:ascii="Arial" w:hAnsi="Arial" w:eastAsia="宋体" w:cs="Arial"/>
                <w:sz w:val="20"/>
                <w:szCs w:val="20"/>
              </w:rPr>
              <w:t>√</w:t>
            </w:r>
            <w:r>
              <w:rPr>
                <w:rFonts w:hint="eastAsia" w:ascii="宋体" w:hAnsi="宋体" w:eastAsia="宋体" w:cs="宋体"/>
                <w:sz w:val="20"/>
                <w:szCs w:val="20"/>
              </w:rPr>
              <w:t xml:space="preserve"> ）  google（ </w:t>
            </w:r>
            <w:r>
              <w:rPr>
                <w:rFonts w:hint="default" w:ascii="Arial" w:hAnsi="Arial" w:eastAsia="宋体" w:cs="Arial"/>
                <w:sz w:val="20"/>
                <w:szCs w:val="20"/>
              </w:rPr>
              <w:t>√</w:t>
            </w:r>
            <w:r>
              <w:rPr>
                <w:rFonts w:hint="eastAsia" w:ascii="宋体" w:hAnsi="宋体" w:eastAsia="宋体" w:cs="宋体"/>
                <w:sz w:val="20"/>
                <w:szCs w:val="20"/>
              </w:rPr>
              <w:t xml:space="preserve"> ）  其他（   ）</w:t>
            </w:r>
          </w:p>
        </w:tc>
      </w:tr>
      <w:tr w14:paraId="6E1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630"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17C5AFD4">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23309A80">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22BFA7C7">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018EF4D1">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49A80F58">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数据流动</w:t>
            </w:r>
            <w:r>
              <w:rPr>
                <w:rFonts w:hint="eastAsia" w:ascii="宋体" w:hAnsi="宋体" w:eastAsia="宋体"/>
                <w:sz w:val="20"/>
                <w:szCs w:val="20"/>
              </w:rPr>
              <w:t>：</w:t>
            </w:r>
          </w:p>
        </w:tc>
      </w:tr>
      <w:tr w14:paraId="37FC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525"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3538C09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5B548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322E7B46">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"https://developer.aliyun.com/article/799518" </w:instrText>
            </w:r>
            <w:r>
              <w:rPr>
                <w:rFonts w:hint="eastAsia" w:ascii="宋体" w:hAnsi="宋体" w:eastAsia="宋体" w:cs="宋体"/>
                <w:b w:val="0"/>
                <w:bCs w:val="0"/>
                <w:sz w:val="20"/>
                <w:szCs w:val="20"/>
                <w:lang w:val="en-US" w:eastAsia="zh-CN"/>
              </w:rPr>
              <w:fldChar w:fldCharType="separate"/>
            </w:r>
            <w:r>
              <w:rPr>
                <w:rStyle w:val="13"/>
                <w:rFonts w:hint="eastAsia" w:ascii="宋体" w:hAnsi="宋体" w:eastAsia="宋体" w:cs="宋体"/>
                <w:b w:val="0"/>
                <w:bCs w:val="0"/>
                <w:sz w:val="20"/>
                <w:szCs w:val="20"/>
                <w:lang w:val="en-US" w:eastAsia="zh-CN"/>
              </w:rPr>
              <w:t>https://developer.aliyun.com/article/799518</w:t>
            </w:r>
            <w:r>
              <w:rPr>
                <w:rFonts w:hint="eastAsia" w:ascii="宋体" w:hAnsi="宋体" w:eastAsia="宋体" w:cs="宋体"/>
                <w:b w:val="0"/>
                <w:bCs w:val="0"/>
                <w:sz w:val="20"/>
                <w:szCs w:val="20"/>
                <w:lang w:val="en-US" w:eastAsia="zh-CN"/>
              </w:rPr>
              <w:fldChar w:fldCharType="end"/>
            </w:r>
          </w:p>
          <w:p w14:paraId="221BA4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阿里云文件存储CPFS实现与OSS之间数据双向便捷流动</w:t>
            </w:r>
          </w:p>
          <w:p w14:paraId="58F1B8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sz w:val="20"/>
                <w:szCs w:val="20"/>
                <w:lang w:val="en-US" w:eastAsia="zh-CN"/>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"https://help.aliyun.com/zh/data-online-migration/user-guide/background-information-for-migration-between-oss-buckets" </w:instrText>
            </w:r>
            <w:r>
              <w:rPr>
                <w:rFonts w:hint="eastAsia" w:ascii="宋体" w:hAnsi="宋体" w:eastAsia="宋体"/>
                <w:sz w:val="20"/>
                <w:szCs w:val="20"/>
                <w:lang w:val="en-US" w:eastAsia="zh-CN"/>
              </w:rPr>
              <w:fldChar w:fldCharType="separate"/>
            </w:r>
            <w:r>
              <w:rPr>
                <w:rStyle w:val="13"/>
                <w:rFonts w:hint="eastAsia" w:ascii="宋体" w:hAnsi="宋体" w:eastAsia="宋体"/>
                <w:sz w:val="20"/>
                <w:szCs w:val="20"/>
                <w:lang w:val="en-US" w:eastAsia="zh-CN"/>
              </w:rPr>
              <w:t>https://help.aliyun.com/zh/data-online-migration/user-guide/background-information-for-migration-between-oss-buckets</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p>
          <w:p w14:paraId="7A0DD8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default" w:ascii="宋体" w:hAnsi="宋体" w:eastAsia="宋体" w:cstheme="minorBidi"/>
                <w:b w:val="0"/>
                <w:bCs w:val="0"/>
                <w:kern w:val="2"/>
                <w:sz w:val="20"/>
                <w:szCs w:val="20"/>
                <w:lang w:val="en-US" w:eastAsia="zh-CN" w:bidi="ar-SA"/>
              </w:rPr>
            </w:pPr>
            <w:r>
              <w:rPr>
                <w:rFonts w:hint="eastAsia" w:ascii="宋体" w:hAnsi="宋体" w:eastAsia="宋体" w:cstheme="minorBidi"/>
                <w:b w:val="0"/>
                <w:bCs w:val="0"/>
                <w:kern w:val="2"/>
                <w:sz w:val="20"/>
                <w:szCs w:val="20"/>
                <w:lang w:val="en-US" w:eastAsia="zh-CN" w:bidi="ar-SA"/>
              </w:rPr>
              <w:t>如何在阿里云对象存储</w:t>
            </w:r>
            <w:r>
              <w:rPr>
                <w:rFonts w:hint="default" w:ascii="宋体" w:hAnsi="宋体" w:eastAsia="宋体" w:cstheme="minorBidi"/>
                <w:b w:val="0"/>
                <w:bCs w:val="0"/>
                <w:kern w:val="2"/>
                <w:sz w:val="20"/>
                <w:szCs w:val="20"/>
                <w:lang w:val="en-US" w:eastAsia="zh-CN" w:bidi="ar-SA"/>
              </w:rPr>
              <w:t>OSS之间进行跨账号、跨地域、以及同地域内的数据迁移</w:t>
            </w:r>
          </w:p>
          <w:p w14:paraId="005217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sz w:val="20"/>
                <w:szCs w:val="20"/>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"https://baijiahao.baidu.com/s?id=1735488424468588542&amp;wfr=spider&amp;for=pc" </w:instrText>
            </w:r>
            <w:r>
              <w:rPr>
                <w:rFonts w:hint="eastAsia" w:ascii="宋体" w:hAnsi="宋体" w:eastAsia="宋体"/>
                <w:sz w:val="20"/>
                <w:szCs w:val="20"/>
                <w:lang w:val="en-US" w:eastAsia="zh-CN"/>
              </w:rPr>
              <w:fldChar w:fldCharType="separate"/>
            </w:r>
            <w:r>
              <w:rPr>
                <w:rStyle w:val="13"/>
                <w:rFonts w:hint="eastAsia" w:ascii="宋体" w:hAnsi="宋体" w:eastAsia="宋体"/>
                <w:sz w:val="20"/>
                <w:szCs w:val="20"/>
                <w:lang w:val="en-US" w:eastAsia="zh-CN"/>
              </w:rPr>
              <w:t>https://baijiahao.baidu.com/s?id=1735488424468588542&amp;wfr=spider&amp;for=pc</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r>
              <w:rPr>
                <w:rFonts w:hint="eastAsia" w:ascii="宋体" w:hAnsi="宋体" w:eastAsia="宋体" w:cstheme="minorBidi"/>
                <w:b w:val="0"/>
                <w:bCs w:val="0"/>
                <w:kern w:val="2"/>
                <w:sz w:val="20"/>
                <w:szCs w:val="20"/>
                <w:lang w:val="en-US" w:eastAsia="zh-CN" w:bidi="ar-SA"/>
              </w:rPr>
              <w:t>升级私有云对象存储，如何平滑迁移数据，让数据自由流动？</w:t>
            </w:r>
          </w:p>
        </w:tc>
      </w:tr>
      <w:tr w14:paraId="260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7"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10DC00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9FFC56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E0BECDE">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填写说明：包括名称、主要内容</w:t>
            </w:r>
          </w:p>
        </w:tc>
      </w:tr>
      <w:tr w14:paraId="087F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09"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B762A2B">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1236C31B">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与最接近现有技术的对比分析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3D8BB2AF">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p>
          <w:p w14:paraId="2B1C91E0">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"https://developer.aliyun.com/article/799518" </w:instrText>
            </w:r>
            <w:r>
              <w:rPr>
                <w:rFonts w:hint="eastAsia" w:ascii="宋体" w:hAnsi="宋体" w:eastAsia="宋体" w:cs="宋体"/>
                <w:b w:val="0"/>
                <w:bCs w:val="0"/>
                <w:sz w:val="20"/>
                <w:szCs w:val="20"/>
                <w:lang w:val="en-US" w:eastAsia="zh-CN"/>
              </w:rPr>
              <w:fldChar w:fldCharType="separate"/>
            </w:r>
            <w:r>
              <w:rPr>
                <w:rStyle w:val="13"/>
                <w:rFonts w:hint="eastAsia" w:ascii="宋体" w:hAnsi="宋体" w:eastAsia="宋体" w:cs="宋体"/>
                <w:b w:val="0"/>
                <w:bCs w:val="0"/>
                <w:sz w:val="20"/>
                <w:szCs w:val="20"/>
                <w:lang w:val="en-US" w:eastAsia="zh-CN"/>
              </w:rPr>
              <w:t>https://developer.aliyun.com/article/799518</w:t>
            </w:r>
            <w:r>
              <w:rPr>
                <w:rFonts w:hint="eastAsia" w:ascii="宋体" w:hAnsi="宋体" w:eastAsia="宋体" w:cs="宋体"/>
                <w:b w:val="0"/>
                <w:bCs w:val="0"/>
                <w:sz w:val="20"/>
                <w:szCs w:val="20"/>
                <w:lang w:val="en-US" w:eastAsia="zh-CN"/>
              </w:rPr>
              <w:fldChar w:fldCharType="end"/>
            </w:r>
          </w:p>
          <w:p w14:paraId="4A513D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阿里云文件存储CPFS实现与OSS之间数据双向便捷流动</w:t>
            </w:r>
          </w:p>
          <w:p w14:paraId="1A1BDFB5">
            <w:pPr>
              <w:snapToGrid w:val="0"/>
              <w:spacing w:line="276" w:lineRule="auto"/>
              <w:rPr>
                <w:rFonts w:hint="eastAsia" w:ascii="Helvetica" w:hAnsi="Helvetica" w:eastAsia="Helvetica" w:cs="Helvetica"/>
                <w:b w:val="0"/>
                <w:bCs w:val="0"/>
                <w:i w:val="0"/>
                <w:iCs w:val="0"/>
                <w:caps w:val="0"/>
                <w:color w:val="333333"/>
                <w:spacing w:val="0"/>
                <w:sz w:val="20"/>
                <w:szCs w:val="20"/>
                <w:shd w:val="clear" w:fill="FFFFFF"/>
                <w:lang w:val="en-US" w:eastAsia="zh-CN"/>
              </w:rPr>
            </w:pPr>
          </w:p>
          <w:p w14:paraId="4E07CAC0">
            <w:pPr>
              <w:snapToGrid w:val="0"/>
              <w:spacing w:line="276" w:lineRule="auto"/>
              <w:rPr>
                <w:rFonts w:hint="default" w:ascii="Helvetica" w:hAnsi="Helvetica" w:eastAsia="宋体" w:cs="Helvetica"/>
                <w:b w:val="0"/>
                <w:bCs w:val="0"/>
                <w:i w:val="0"/>
                <w:iCs w:val="0"/>
                <w:caps w:val="0"/>
                <w:color w:val="333333"/>
                <w:spacing w:val="0"/>
                <w:sz w:val="20"/>
                <w:szCs w:val="20"/>
                <w:shd w:val="clear" w:fill="FFFFFF"/>
                <w:lang w:val="en-US" w:eastAsia="zh-CN"/>
              </w:rPr>
            </w:pPr>
            <w:r>
              <w:rPr>
                <w:rFonts w:hint="eastAsia" w:ascii="Helvetica" w:hAnsi="Helvetica" w:eastAsia="宋体" w:cs="Helvetica"/>
                <w:b w:val="0"/>
                <w:bCs w:val="0"/>
                <w:i w:val="0"/>
                <w:iCs w:val="0"/>
                <w:caps w:val="0"/>
                <w:color w:val="333333"/>
                <w:spacing w:val="0"/>
                <w:sz w:val="20"/>
                <w:szCs w:val="20"/>
                <w:shd w:val="clear" w:fill="FFFFFF"/>
                <w:lang w:val="en-US" w:eastAsia="zh-CN"/>
              </w:rPr>
              <w:t>该技术是将CPFS内的数据流动到OSS中，并删除CPFS的数据，但是仅支持单种类型模式，且并没有流动到多个地域功能，与我们技术差别较大。</w:t>
            </w:r>
          </w:p>
          <w:p w14:paraId="75773B35">
            <w:pPr>
              <w:snapToGrid w:val="0"/>
              <w:spacing w:line="276" w:lineRule="auto"/>
              <w:rPr>
                <w:rFonts w:hint="eastAsia" w:ascii="宋体" w:hAnsi="宋体" w:eastAsia="宋体" w:cstheme="minorBidi"/>
                <w:b w:val="0"/>
                <w:bCs w:val="0"/>
                <w:kern w:val="2"/>
                <w:sz w:val="20"/>
                <w:szCs w:val="20"/>
                <w:lang w:val="en-US" w:eastAsia="zh-CN" w:bidi="ar-SA"/>
              </w:rPr>
            </w:pPr>
          </w:p>
        </w:tc>
      </w:tr>
      <w:tr w14:paraId="25E2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74"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0CB56809">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703D6C4">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19EAF6ED">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填写说明：包括网址、篇名、已公布的技术方案、与该发明专利的异同等。最接近现有技术、期刊涉及主要内容可参考最相关的专利文献</w:t>
            </w:r>
          </w:p>
        </w:tc>
      </w:tr>
      <w:tr w14:paraId="344A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491"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3586BD48">
            <w:pPr>
              <w:snapToGrid w:val="0"/>
              <w:spacing w:line="276" w:lineRule="auto"/>
              <w:jc w:val="center"/>
              <w:rPr>
                <w:rFonts w:hint="eastAsia" w:ascii="宋体" w:hAnsi="宋体" w:eastAsia="宋体" w:cs="宋体"/>
                <w:sz w:val="20"/>
                <w:szCs w:val="20"/>
              </w:rPr>
            </w:pPr>
          </w:p>
          <w:p w14:paraId="6F3E6DD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期刊、学术论文等资料检索</w:t>
            </w: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5A78AC5">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文章题目、主要内容及对比分析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65FD4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1" w:beforeAutospacing="0" w:after="141" w:afterAutospacing="0" w:line="350" w:lineRule="atLeast"/>
              <w:ind w:left="0" w:right="0" w:firstLine="0"/>
              <w:jc w:val="center"/>
              <w:textAlignment w:val="center"/>
              <w:rPr>
                <w:rFonts w:ascii="微软雅黑" w:hAnsi="微软雅黑" w:eastAsia="微软雅黑" w:cs="微软雅黑"/>
                <w:b w:val="0"/>
                <w:bCs w:val="0"/>
                <w:i w:val="0"/>
                <w:iCs w:val="0"/>
                <w:caps w:val="0"/>
                <w:color w:val="333333"/>
                <w:spacing w:val="0"/>
                <w:sz w:val="24"/>
                <w:szCs w:val="24"/>
              </w:rPr>
            </w:pPr>
            <w:r>
              <w:rPr>
                <w:rFonts w:hint="eastAsia" w:ascii="微软雅黑" w:hAnsi="微软雅黑" w:eastAsia="微软雅黑" w:cs="微软雅黑"/>
                <w:b w:val="0"/>
                <w:bCs w:val="0"/>
                <w:i w:val="0"/>
                <w:iCs w:val="0"/>
                <w:caps w:val="0"/>
                <w:color w:val="333333"/>
                <w:spacing w:val="0"/>
                <w:sz w:val="24"/>
                <w:szCs w:val="24"/>
                <w:shd w:val="clear" w:fill="FFFFFF"/>
              </w:rPr>
              <w:t>复杂网络存储系统的数据流动模型研究</w:t>
            </w:r>
          </w:p>
          <w:p w14:paraId="3898B087">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该论文主要是对模型的研究，我们是对数据向多个地域，多个存储类型流动的研究。</w:t>
            </w:r>
          </w:p>
        </w:tc>
      </w:tr>
      <w:tr w14:paraId="62D1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2"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057486C6">
            <w:pPr>
              <w:snapToGrid w:val="0"/>
              <w:spacing w:line="276" w:lineRule="auto"/>
              <w:jc w:val="center"/>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0074BD3">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76C1C37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填写说明：包括出处、页码、已公布的技术方案、与该发明专利的异同等</w:t>
            </w:r>
          </w:p>
        </w:tc>
      </w:tr>
    </w:tbl>
    <w:p w14:paraId="348C8595">
      <w:pPr>
        <w:snapToGrid w:val="0"/>
        <w:spacing w:line="276" w:lineRule="auto"/>
        <w:jc w:val="left"/>
        <w:rPr>
          <w:rFonts w:ascii="宋体" w:hAnsi="宋体" w:eastAsia="宋体"/>
          <w:szCs w:val="21"/>
        </w:rPr>
      </w:pPr>
    </w:p>
    <w:sectPr>
      <w:footerReference r:id="rId3" w:type="default"/>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61764"/>
      <w:docPartObj>
        <w:docPartGallery w:val="autotext"/>
      </w:docPartObj>
    </w:sdtPr>
    <w:sdtContent>
      <w:sdt>
        <w:sdtPr>
          <w:id w:val="1728636285"/>
          <w:docPartObj>
            <w:docPartGallery w:val="autotext"/>
          </w:docPartObj>
        </w:sdtPr>
        <w:sdtContent>
          <w:p w14:paraId="3F5367E2">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B6753C0">
    <w:pPr>
      <w:snapToGrid w:val="0"/>
      <w:ind w:right="360"/>
      <w:jc w:val="left"/>
      <w:rPr>
        <w:rFonts w:ascii="宋体" w:hAnsi="宋体" w:eastAsia="宋体"/>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9322"/>
    <w:multiLevelType w:val="singleLevel"/>
    <w:tmpl w:val="85BD9322"/>
    <w:lvl w:ilvl="0" w:tentative="0">
      <w:start w:val="1"/>
      <w:numFmt w:val="decimal"/>
      <w:suff w:val="nothing"/>
      <w:lvlText w:val="%1、"/>
      <w:lvlJc w:val="left"/>
    </w:lvl>
  </w:abstractNum>
  <w:abstractNum w:abstractNumId="1">
    <w:nsid w:val="8DAC0D3D"/>
    <w:multiLevelType w:val="multilevel"/>
    <w:tmpl w:val="8DAC0D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1C0A2CE"/>
    <w:multiLevelType w:val="singleLevel"/>
    <w:tmpl w:val="91C0A2CE"/>
    <w:lvl w:ilvl="0" w:tentative="0">
      <w:start w:val="1"/>
      <w:numFmt w:val="decimal"/>
      <w:suff w:val="space"/>
      <w:lvlText w:val="%1."/>
      <w:lvlJc w:val="left"/>
    </w:lvl>
  </w:abstractNum>
  <w:abstractNum w:abstractNumId="3">
    <w:nsid w:val="AC46E546"/>
    <w:multiLevelType w:val="singleLevel"/>
    <w:tmpl w:val="AC46E546"/>
    <w:lvl w:ilvl="0" w:tentative="0">
      <w:start w:val="1"/>
      <w:numFmt w:val="decimal"/>
      <w:suff w:val="space"/>
      <w:lvlText w:val="%1."/>
      <w:lvlJc w:val="left"/>
    </w:lvl>
  </w:abstractNum>
  <w:abstractNum w:abstractNumId="4">
    <w:nsid w:val="AF24A5D7"/>
    <w:multiLevelType w:val="singleLevel"/>
    <w:tmpl w:val="AF24A5D7"/>
    <w:lvl w:ilvl="0" w:tentative="0">
      <w:start w:val="1"/>
      <w:numFmt w:val="decimal"/>
      <w:suff w:val="space"/>
      <w:lvlText w:val="（%1）"/>
      <w:lvlJc w:val="left"/>
    </w:lvl>
  </w:abstractNum>
  <w:abstractNum w:abstractNumId="5">
    <w:nsid w:val="B053CD5C"/>
    <w:multiLevelType w:val="singleLevel"/>
    <w:tmpl w:val="B053CD5C"/>
    <w:lvl w:ilvl="0" w:tentative="0">
      <w:start w:val="1"/>
      <w:numFmt w:val="chineseCounting"/>
      <w:suff w:val="nothing"/>
      <w:lvlText w:val="%1、"/>
      <w:lvlJc w:val="left"/>
      <w:rPr>
        <w:rFonts w:hint="eastAsia"/>
      </w:rPr>
    </w:lvl>
  </w:abstractNum>
  <w:abstractNum w:abstractNumId="6">
    <w:nsid w:val="C581832A"/>
    <w:multiLevelType w:val="singleLevel"/>
    <w:tmpl w:val="C581832A"/>
    <w:lvl w:ilvl="0" w:tentative="0">
      <w:start w:val="1"/>
      <w:numFmt w:val="chineseCounting"/>
      <w:suff w:val="nothing"/>
      <w:lvlText w:val="%1、"/>
      <w:lvlJc w:val="left"/>
      <w:rPr>
        <w:rFonts w:hint="eastAsia"/>
      </w:rPr>
    </w:lvl>
  </w:abstractNum>
  <w:abstractNum w:abstractNumId="7">
    <w:nsid w:val="C781AA7D"/>
    <w:multiLevelType w:val="singleLevel"/>
    <w:tmpl w:val="C781AA7D"/>
    <w:lvl w:ilvl="0" w:tentative="0">
      <w:start w:val="1"/>
      <w:numFmt w:val="decimal"/>
      <w:suff w:val="space"/>
      <w:lvlText w:val="%1."/>
      <w:lvlJc w:val="left"/>
      <w:pPr>
        <w:ind w:left="200" w:leftChars="0" w:firstLine="0" w:firstLineChars="0"/>
      </w:pPr>
    </w:lvl>
  </w:abstractNum>
  <w:abstractNum w:abstractNumId="8">
    <w:nsid w:val="DBE21566"/>
    <w:multiLevelType w:val="singleLevel"/>
    <w:tmpl w:val="DBE21566"/>
    <w:lvl w:ilvl="0" w:tentative="0">
      <w:start w:val="1"/>
      <w:numFmt w:val="chineseCounting"/>
      <w:suff w:val="space"/>
      <w:lvlText w:val="%1、"/>
      <w:lvlJc w:val="left"/>
      <w:rPr>
        <w:rFonts w:hint="eastAsia"/>
      </w:rPr>
    </w:lvl>
  </w:abstractNum>
  <w:abstractNum w:abstractNumId="9">
    <w:nsid w:val="DE4C01FF"/>
    <w:multiLevelType w:val="singleLevel"/>
    <w:tmpl w:val="DE4C01FF"/>
    <w:lvl w:ilvl="0" w:tentative="0">
      <w:start w:val="1"/>
      <w:numFmt w:val="decimal"/>
      <w:suff w:val="space"/>
      <w:lvlText w:val="%1."/>
      <w:lvlJc w:val="left"/>
    </w:lvl>
  </w:abstractNum>
  <w:abstractNum w:abstractNumId="10">
    <w:nsid w:val="E62642E0"/>
    <w:multiLevelType w:val="singleLevel"/>
    <w:tmpl w:val="E62642E0"/>
    <w:lvl w:ilvl="0" w:tentative="0">
      <w:start w:val="1"/>
      <w:numFmt w:val="decimal"/>
      <w:suff w:val="space"/>
      <w:lvlText w:val="%1."/>
      <w:lvlJc w:val="left"/>
    </w:lvl>
  </w:abstractNum>
  <w:abstractNum w:abstractNumId="11">
    <w:nsid w:val="ED3A61E7"/>
    <w:multiLevelType w:val="singleLevel"/>
    <w:tmpl w:val="ED3A61E7"/>
    <w:lvl w:ilvl="0" w:tentative="0">
      <w:start w:val="1"/>
      <w:numFmt w:val="decimal"/>
      <w:suff w:val="space"/>
      <w:lvlText w:val="%1."/>
      <w:lvlJc w:val="left"/>
    </w:lvl>
  </w:abstractNum>
  <w:abstractNum w:abstractNumId="12">
    <w:nsid w:val="F4E16EE2"/>
    <w:multiLevelType w:val="singleLevel"/>
    <w:tmpl w:val="F4E16EE2"/>
    <w:lvl w:ilvl="0" w:tentative="0">
      <w:start w:val="1"/>
      <w:numFmt w:val="decimal"/>
      <w:suff w:val="space"/>
      <w:lvlText w:val="%1."/>
      <w:lvlJc w:val="left"/>
    </w:lvl>
  </w:abstractNum>
  <w:abstractNum w:abstractNumId="13">
    <w:nsid w:val="186CF185"/>
    <w:multiLevelType w:val="singleLevel"/>
    <w:tmpl w:val="186CF185"/>
    <w:lvl w:ilvl="0" w:tentative="0">
      <w:start w:val="1"/>
      <w:numFmt w:val="decimal"/>
      <w:suff w:val="space"/>
      <w:lvlText w:val="%1."/>
      <w:lvlJc w:val="left"/>
    </w:lvl>
  </w:abstractNum>
  <w:abstractNum w:abstractNumId="14">
    <w:nsid w:val="2AFAB519"/>
    <w:multiLevelType w:val="singleLevel"/>
    <w:tmpl w:val="2AFAB519"/>
    <w:lvl w:ilvl="0" w:tentative="0">
      <w:start w:val="1"/>
      <w:numFmt w:val="chineseCounting"/>
      <w:suff w:val="nothing"/>
      <w:lvlText w:val="%1、"/>
      <w:lvlJc w:val="left"/>
      <w:rPr>
        <w:rFonts w:hint="eastAsia"/>
      </w:rPr>
    </w:lvl>
  </w:abstractNum>
  <w:abstractNum w:abstractNumId="15">
    <w:nsid w:val="335EB8BD"/>
    <w:multiLevelType w:val="singleLevel"/>
    <w:tmpl w:val="335EB8BD"/>
    <w:lvl w:ilvl="0" w:tentative="0">
      <w:start w:val="1"/>
      <w:numFmt w:val="decimal"/>
      <w:suff w:val="space"/>
      <w:lvlText w:val="%1."/>
      <w:lvlJc w:val="left"/>
    </w:lvl>
  </w:abstractNum>
  <w:abstractNum w:abstractNumId="16">
    <w:nsid w:val="4DE9A8A9"/>
    <w:multiLevelType w:val="singleLevel"/>
    <w:tmpl w:val="4DE9A8A9"/>
    <w:lvl w:ilvl="0" w:tentative="0">
      <w:start w:val="1"/>
      <w:numFmt w:val="decimal"/>
      <w:suff w:val="space"/>
      <w:lvlText w:val="%1."/>
      <w:lvlJc w:val="left"/>
      <w:pPr>
        <w:ind w:left="200" w:leftChars="0" w:firstLine="0" w:firstLineChars="0"/>
      </w:pPr>
    </w:lvl>
  </w:abstractNum>
  <w:abstractNum w:abstractNumId="17">
    <w:nsid w:val="53292362"/>
    <w:multiLevelType w:val="singleLevel"/>
    <w:tmpl w:val="53292362"/>
    <w:lvl w:ilvl="0" w:tentative="0">
      <w:start w:val="1"/>
      <w:numFmt w:val="decimal"/>
      <w:suff w:val="space"/>
      <w:lvlText w:val="%1."/>
      <w:lvlJc w:val="left"/>
    </w:lvl>
  </w:abstractNum>
  <w:abstractNum w:abstractNumId="18">
    <w:nsid w:val="6FAC69CD"/>
    <w:multiLevelType w:val="multilevel"/>
    <w:tmpl w:val="6FAC69C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8"/>
  </w:num>
  <w:num w:numId="2">
    <w:abstractNumId w:val="4"/>
  </w:num>
  <w:num w:numId="3">
    <w:abstractNumId w:val="7"/>
  </w:num>
  <w:num w:numId="4">
    <w:abstractNumId w:val="16"/>
  </w:num>
  <w:num w:numId="5">
    <w:abstractNumId w:val="8"/>
  </w:num>
  <w:num w:numId="6">
    <w:abstractNumId w:val="11"/>
  </w:num>
  <w:num w:numId="7">
    <w:abstractNumId w:val="2"/>
  </w:num>
  <w:num w:numId="8">
    <w:abstractNumId w:val="14"/>
  </w:num>
  <w:num w:numId="9">
    <w:abstractNumId w:val="10"/>
  </w:num>
  <w:num w:numId="10">
    <w:abstractNumId w:val="9"/>
  </w:num>
  <w:num w:numId="11">
    <w:abstractNumId w:val="17"/>
  </w:num>
  <w:num w:numId="12">
    <w:abstractNumId w:val="5"/>
  </w:num>
  <w:num w:numId="13">
    <w:abstractNumId w:val="12"/>
  </w:num>
  <w:num w:numId="14">
    <w:abstractNumId w:val="13"/>
  </w:num>
  <w:num w:numId="15">
    <w:abstractNumId w:val="6"/>
  </w:num>
  <w:num w:numId="16">
    <w:abstractNumId w:val="15"/>
  </w:num>
  <w:num w:numId="17">
    <w:abstractNumId w:val="3"/>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DA4ZjEyYmQ2ZTMyNTVmZjU2YWMwN2QyMzY1NTIifQ=="/>
  </w:docVars>
  <w:rsids>
    <w:rsidRoot w:val="00BA0C1A"/>
    <w:rsid w:val="00072BF8"/>
    <w:rsid w:val="00094CD0"/>
    <w:rsid w:val="000C51B7"/>
    <w:rsid w:val="000C522A"/>
    <w:rsid w:val="000E0EA2"/>
    <w:rsid w:val="00117D85"/>
    <w:rsid w:val="001214A2"/>
    <w:rsid w:val="001B59EB"/>
    <w:rsid w:val="001E2531"/>
    <w:rsid w:val="00216EB9"/>
    <w:rsid w:val="00290D01"/>
    <w:rsid w:val="002D2736"/>
    <w:rsid w:val="002D38A3"/>
    <w:rsid w:val="003423D1"/>
    <w:rsid w:val="00373E7B"/>
    <w:rsid w:val="00395A27"/>
    <w:rsid w:val="003D2F52"/>
    <w:rsid w:val="004727F8"/>
    <w:rsid w:val="004D0A20"/>
    <w:rsid w:val="004F0EA1"/>
    <w:rsid w:val="0059531B"/>
    <w:rsid w:val="005977CB"/>
    <w:rsid w:val="005B333C"/>
    <w:rsid w:val="005F2FBA"/>
    <w:rsid w:val="00616505"/>
    <w:rsid w:val="0062213C"/>
    <w:rsid w:val="00633F40"/>
    <w:rsid w:val="00646872"/>
    <w:rsid w:val="006549AD"/>
    <w:rsid w:val="00670A28"/>
    <w:rsid w:val="00684D9C"/>
    <w:rsid w:val="006960BB"/>
    <w:rsid w:val="006B69BE"/>
    <w:rsid w:val="006E6EDC"/>
    <w:rsid w:val="00701047"/>
    <w:rsid w:val="007752BA"/>
    <w:rsid w:val="00786B70"/>
    <w:rsid w:val="00876F0D"/>
    <w:rsid w:val="00882246"/>
    <w:rsid w:val="008F467F"/>
    <w:rsid w:val="0090660B"/>
    <w:rsid w:val="00911B86"/>
    <w:rsid w:val="0094592B"/>
    <w:rsid w:val="009C63BC"/>
    <w:rsid w:val="00A51BFC"/>
    <w:rsid w:val="00A60633"/>
    <w:rsid w:val="00A92CE1"/>
    <w:rsid w:val="00B72665"/>
    <w:rsid w:val="00B92FF3"/>
    <w:rsid w:val="00BA0C1A"/>
    <w:rsid w:val="00C061CB"/>
    <w:rsid w:val="00C3138A"/>
    <w:rsid w:val="00C604EC"/>
    <w:rsid w:val="00C72E54"/>
    <w:rsid w:val="00D67337"/>
    <w:rsid w:val="00E205D8"/>
    <w:rsid w:val="00E24201"/>
    <w:rsid w:val="00E26251"/>
    <w:rsid w:val="00EA1EE8"/>
    <w:rsid w:val="00F1415E"/>
    <w:rsid w:val="00F35A92"/>
    <w:rsid w:val="00F53662"/>
    <w:rsid w:val="00FA40E3"/>
    <w:rsid w:val="00FC1D5F"/>
    <w:rsid w:val="00FD15C4"/>
    <w:rsid w:val="00FD4160"/>
    <w:rsid w:val="01A86C2C"/>
    <w:rsid w:val="01DA25BA"/>
    <w:rsid w:val="01F94A50"/>
    <w:rsid w:val="03646034"/>
    <w:rsid w:val="03D570E9"/>
    <w:rsid w:val="045C335B"/>
    <w:rsid w:val="04621141"/>
    <w:rsid w:val="080F2686"/>
    <w:rsid w:val="083D07F0"/>
    <w:rsid w:val="09CD573F"/>
    <w:rsid w:val="0A7A46D0"/>
    <w:rsid w:val="0E43752E"/>
    <w:rsid w:val="0EA50BD6"/>
    <w:rsid w:val="0F5870BD"/>
    <w:rsid w:val="1028025F"/>
    <w:rsid w:val="105E3B74"/>
    <w:rsid w:val="12E4180D"/>
    <w:rsid w:val="12EA6E5D"/>
    <w:rsid w:val="14415662"/>
    <w:rsid w:val="15454922"/>
    <w:rsid w:val="155F037C"/>
    <w:rsid w:val="159C1BA7"/>
    <w:rsid w:val="16F6268C"/>
    <w:rsid w:val="19151A97"/>
    <w:rsid w:val="192A752F"/>
    <w:rsid w:val="1C2C4424"/>
    <w:rsid w:val="1C6C7C4F"/>
    <w:rsid w:val="1C8925AF"/>
    <w:rsid w:val="1CD54CE6"/>
    <w:rsid w:val="1DEC38DC"/>
    <w:rsid w:val="200547B4"/>
    <w:rsid w:val="215E4BF2"/>
    <w:rsid w:val="287414B3"/>
    <w:rsid w:val="29BD3F36"/>
    <w:rsid w:val="2A681B3B"/>
    <w:rsid w:val="2C032BEE"/>
    <w:rsid w:val="2E074302"/>
    <w:rsid w:val="2E6825A2"/>
    <w:rsid w:val="30456175"/>
    <w:rsid w:val="30A30272"/>
    <w:rsid w:val="34FE2101"/>
    <w:rsid w:val="35076310"/>
    <w:rsid w:val="36772279"/>
    <w:rsid w:val="37170877"/>
    <w:rsid w:val="383222DC"/>
    <w:rsid w:val="3AE61D99"/>
    <w:rsid w:val="3BB93D7D"/>
    <w:rsid w:val="3C442937"/>
    <w:rsid w:val="3D1A50E1"/>
    <w:rsid w:val="3DD420E3"/>
    <w:rsid w:val="3E726EF0"/>
    <w:rsid w:val="434067C1"/>
    <w:rsid w:val="452F78E8"/>
    <w:rsid w:val="458A2D71"/>
    <w:rsid w:val="461D5993"/>
    <w:rsid w:val="47F6293F"/>
    <w:rsid w:val="485B2011"/>
    <w:rsid w:val="49D10110"/>
    <w:rsid w:val="49D722FD"/>
    <w:rsid w:val="4A9425D2"/>
    <w:rsid w:val="4C14606E"/>
    <w:rsid w:val="4C547AD9"/>
    <w:rsid w:val="4C5C2F8D"/>
    <w:rsid w:val="4D820F55"/>
    <w:rsid w:val="4DA03055"/>
    <w:rsid w:val="4EF342DE"/>
    <w:rsid w:val="4FC13833"/>
    <w:rsid w:val="50081462"/>
    <w:rsid w:val="507F63B0"/>
    <w:rsid w:val="50D151B9"/>
    <w:rsid w:val="53CB31ED"/>
    <w:rsid w:val="54E35FFA"/>
    <w:rsid w:val="555B1EB0"/>
    <w:rsid w:val="568D20C3"/>
    <w:rsid w:val="56A913AA"/>
    <w:rsid w:val="585D45E2"/>
    <w:rsid w:val="588261BD"/>
    <w:rsid w:val="59A14AFA"/>
    <w:rsid w:val="59E65F92"/>
    <w:rsid w:val="5ACD7A1B"/>
    <w:rsid w:val="5AEE29D0"/>
    <w:rsid w:val="5B3D6D21"/>
    <w:rsid w:val="5C227C2E"/>
    <w:rsid w:val="5CE02E8C"/>
    <w:rsid w:val="5E77771D"/>
    <w:rsid w:val="5F4A2693"/>
    <w:rsid w:val="60870AB7"/>
    <w:rsid w:val="629379BE"/>
    <w:rsid w:val="632C35AB"/>
    <w:rsid w:val="63493E13"/>
    <w:rsid w:val="64007040"/>
    <w:rsid w:val="65CC08DA"/>
    <w:rsid w:val="66B4679A"/>
    <w:rsid w:val="6B7A19CE"/>
    <w:rsid w:val="6C027B71"/>
    <w:rsid w:val="6CA01AC4"/>
    <w:rsid w:val="6CEA475F"/>
    <w:rsid w:val="6EAF13B0"/>
    <w:rsid w:val="6FC42376"/>
    <w:rsid w:val="71061E72"/>
    <w:rsid w:val="727442DD"/>
    <w:rsid w:val="739A0AD1"/>
    <w:rsid w:val="74132F27"/>
    <w:rsid w:val="74536827"/>
    <w:rsid w:val="747846C3"/>
    <w:rsid w:val="76DD5656"/>
    <w:rsid w:val="7765374C"/>
    <w:rsid w:val="78941EA3"/>
    <w:rsid w:val="78A74AFF"/>
    <w:rsid w:val="78B638A1"/>
    <w:rsid w:val="7A3B2499"/>
    <w:rsid w:val="7B9A3006"/>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FollowedHyperlink"/>
    <w:basedOn w:val="10"/>
    <w:semiHidden/>
    <w:unhideWhenUsed/>
    <w:qFormat/>
    <w:uiPriority w:val="99"/>
    <w:rPr>
      <w:color w:val="800080"/>
      <w:u w:val="single"/>
    </w:rPr>
  </w:style>
  <w:style w:type="character" w:styleId="13">
    <w:name w:val="Hyperlink"/>
    <w:basedOn w:val="10"/>
    <w:semiHidden/>
    <w:unhideWhenUsed/>
    <w:qFormat/>
    <w:uiPriority w:val="99"/>
    <w:rPr>
      <w:color w:val="0000FF"/>
      <w:u w:val="single"/>
    </w:rPr>
  </w:style>
  <w:style w:type="character" w:styleId="14">
    <w:name w:val="HTML Code"/>
    <w:basedOn w:val="10"/>
    <w:semiHidden/>
    <w:unhideWhenUsed/>
    <w:qFormat/>
    <w:uiPriority w:val="99"/>
    <w:rPr>
      <w:rFonts w:ascii="Courier New" w:hAnsi="Courier New"/>
      <w:sz w:val="20"/>
    </w:rPr>
  </w:style>
  <w:style w:type="character" w:customStyle="1" w:styleId="15">
    <w:name w:val="页眉 字符"/>
    <w:basedOn w:val="10"/>
    <w:link w:val="6"/>
    <w:semiHidden/>
    <w:qFormat/>
    <w:uiPriority w:val="99"/>
    <w:rPr>
      <w:sz w:val="18"/>
      <w:szCs w:val="18"/>
    </w:rPr>
  </w:style>
  <w:style w:type="character" w:customStyle="1" w:styleId="16">
    <w:name w:val="页脚 字符"/>
    <w:basedOn w:val="10"/>
    <w:link w:val="5"/>
    <w:qFormat/>
    <w:uiPriority w:val="99"/>
    <w:rPr>
      <w:sz w:val="18"/>
      <w:szCs w:val="18"/>
    </w:rPr>
  </w:style>
  <w:style w:type="paragraph" w:styleId="17">
    <w:name w:val="List Paragraph"/>
    <w:basedOn w:val="1"/>
    <w:qFormat/>
    <w:uiPriority w:val="34"/>
    <w:pPr>
      <w:ind w:firstLine="420" w:firstLineChars="200"/>
    </w:pPr>
  </w:style>
  <w:style w:type="character" w:customStyle="1" w:styleId="18">
    <w:name w:val="批注框文本 字符"/>
    <w:basedOn w:val="10"/>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6025</Words>
  <Characters>6726</Characters>
  <Lines>15</Lines>
  <Paragraphs>4</Paragraphs>
  <TotalTime>41</TotalTime>
  <ScaleCrop>false</ScaleCrop>
  <LinksUpToDate>false</LinksUpToDate>
  <CharactersWithSpaces>6813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2020-09-23T08:49:00Z</dcterms:created>
  <dc:creator>Tencent</dc:creator>
  <cp:lastModifiedBy>爱穿秋裤的赵小雷</cp:lastModifiedBy>
  <cp:lastPrinted>2020-12-03T12:37:00Z</cp:lastPrinted>
  <dcterms:modified xsi:type="dcterms:W3CDTF">2025-12-01T07:37:06Z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