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高性能计算在分子动力学的应用</w:t>
      </w:r>
    </w:p>
    <w:p>
      <w:pPr>
        <w:jc w:val="center"/>
        <w:rPr>
          <w:rFonts w:hint="eastAsia"/>
          <w:b/>
          <w:bCs/>
          <w:sz w:val="32"/>
          <w:szCs w:val="32"/>
          <w:lang w:val="en-US" w:eastAsia="zh-CN"/>
        </w:rPr>
      </w:pPr>
      <w:r>
        <w:rPr>
          <w:rFonts w:hint="eastAsia"/>
          <w:b/>
          <w:bCs/>
          <w:sz w:val="32"/>
          <w:szCs w:val="32"/>
          <w:lang w:val="en-US" w:eastAsia="zh-CN"/>
        </w:rPr>
        <w:t>（简介）</w:t>
      </w:r>
    </w:p>
    <w:p>
      <w:pPr>
        <w:ind w:firstLine="480"/>
        <w:jc w:val="left"/>
        <w:rPr>
          <w:rFonts w:ascii="宋体" w:hAnsi="宋体" w:eastAsia="宋体" w:cs="宋体"/>
          <w:sz w:val="24"/>
          <w:szCs w:val="24"/>
        </w:rPr>
      </w:pPr>
      <w:r>
        <w:rPr>
          <w:rFonts w:ascii="宋体" w:hAnsi="宋体" w:eastAsia="宋体" w:cs="宋体"/>
          <w:sz w:val="24"/>
          <w:szCs w:val="24"/>
        </w:rPr>
        <w:t>研究机体中各种</w:t>
      </w:r>
      <w:r>
        <w:rPr>
          <w:rFonts w:ascii="宋体" w:hAnsi="宋体" w:eastAsia="宋体" w:cs="宋体"/>
          <w:color w:val="FF0000"/>
          <w:sz w:val="24"/>
          <w:szCs w:val="24"/>
        </w:rPr>
        <w:t>生物大分子的相互作用</w:t>
      </w:r>
      <w:r>
        <w:rPr>
          <w:rFonts w:ascii="宋体" w:hAnsi="宋体" w:eastAsia="宋体" w:cs="宋体"/>
          <w:sz w:val="24"/>
          <w:szCs w:val="24"/>
        </w:rPr>
        <w:t>方式,是理解生命活动基 本机制的基础,以调控生物学活性的受体为靶位的肽类或模拟肽类配基药物研发是生物学和医学中最领先的研究领域之一。分子动力学模拟作为一种重要的重要工 具,可以模拟生物大分子体系的运动行为、构象改变机制以及研究分子及其配体、分子各组成部分之间的相互作用,解释和阐明生物大分子的序列信息以及微观尺度 上复杂的、动态的生物过程,以传统实验数据为基础,在更深层次上解决相关的科学问题,弥补传统实验技术的不足,目前已广泛应用于蛋白质、核酸等生物大分子 微观尺度的结构与功能研究之中。</w:t>
      </w:r>
    </w:p>
    <w:p>
      <w:pPr>
        <w:ind w:firstLine="480"/>
        <w:jc w:val="left"/>
        <w:rPr>
          <w:rFonts w:ascii="宋体" w:hAnsi="宋体" w:eastAsia="宋体" w:cs="宋体"/>
          <w:sz w:val="24"/>
          <w:szCs w:val="24"/>
        </w:rPr>
      </w:pPr>
      <w:r>
        <w:rPr>
          <w:rFonts w:ascii="宋体" w:hAnsi="宋体" w:eastAsia="宋体" w:cs="宋体"/>
          <w:sz w:val="24"/>
          <w:szCs w:val="24"/>
        </w:rPr>
        <w:t>生物大分子之间的识别/结合/催化等过程一般都是发生在微秒时间尺度甚至更长时间,而分子动力学模拟需要利用飞秒时间步长 来模拟计算才可精确刻画分子运动过程,消耗的计算资源是普通个人计算机与工作站所无法提供的,必须利用大型集群的众多处理器进行并行计算,来实现几万原子 至百万原子病毒体系的数亿步计算模拟任务,完成分析关键蛋白质分子的动力学行为,细胞膜表面配体受体间的结合过程及其机理以及病毒衣壳蛋白质体系的组装动 力学过程等。然而,</w:t>
      </w:r>
      <w:r>
        <w:rPr>
          <w:rFonts w:ascii="宋体" w:hAnsi="宋体" w:eastAsia="宋体" w:cs="宋体"/>
          <w:color w:val="FF0000"/>
          <w:sz w:val="24"/>
          <w:szCs w:val="24"/>
        </w:rPr>
        <w:t>在这些实际应用首先要面临的一个问题就是如何合理的完成计算模拟任务在并行集群上的部署优化,构建完整的分子动力模拟研究平台,充分利 用大型集群计算资源,高效地完成研究工作。</w:t>
      </w:r>
      <w:r>
        <w:rPr>
          <w:rFonts w:ascii="宋体" w:hAnsi="宋体" w:eastAsia="宋体" w:cs="宋体"/>
          <w:sz w:val="24"/>
          <w:szCs w:val="24"/>
        </w:rPr>
        <w:t>本文首先基于</w:t>
      </w:r>
      <w:r>
        <w:rPr>
          <w:rFonts w:ascii="宋体" w:hAnsi="宋体" w:eastAsia="宋体" w:cs="宋体"/>
          <w:color w:val="FF0000"/>
          <w:sz w:val="24"/>
          <w:szCs w:val="24"/>
        </w:rPr>
        <w:t>MOSIX2并行操作系统</w:t>
      </w:r>
      <w:r>
        <w:rPr>
          <w:rFonts w:ascii="宋体" w:hAnsi="宋体" w:eastAsia="宋体" w:cs="宋体"/>
          <w:sz w:val="24"/>
          <w:szCs w:val="24"/>
        </w:rPr>
        <w:t>构建了计算能力为千亿次PC集群,利用</w:t>
      </w:r>
      <w:r>
        <w:rPr>
          <w:rFonts w:ascii="宋体" w:hAnsi="宋体" w:eastAsia="宋体" w:cs="宋体"/>
          <w:color w:val="FF0000"/>
          <w:sz w:val="24"/>
          <w:szCs w:val="24"/>
        </w:rPr>
        <w:t>NAMD软件</w:t>
      </w:r>
      <w:r>
        <w:rPr>
          <w:rFonts w:ascii="宋体" w:hAnsi="宋体" w:eastAsia="宋体" w:cs="宋体"/>
          <w:sz w:val="24"/>
          <w:szCs w:val="24"/>
        </w:rPr>
        <w:t>进行了万原子体系皮秒 时间尺度的分子动力学模拟部署测试；随后利用了</w:t>
      </w:r>
      <w:r>
        <w:rPr>
          <w:rFonts w:ascii="宋体" w:hAnsi="宋体" w:eastAsia="宋体" w:cs="宋体"/>
          <w:color w:val="FF0000"/>
          <w:sz w:val="24"/>
          <w:szCs w:val="24"/>
        </w:rPr>
        <w:t>山东大学(山东省)高性能计算中心的浪潮TS10000十万亿次集群</w:t>
      </w:r>
      <w:r>
        <w:rPr>
          <w:rFonts w:ascii="宋体" w:hAnsi="宋体" w:eastAsia="宋体" w:cs="宋体"/>
          <w:sz w:val="24"/>
          <w:szCs w:val="24"/>
        </w:rPr>
        <w:t>,完成了万原子体系纳秒时间尺度的部署 测试；最后在</w:t>
      </w:r>
      <w:r>
        <w:rPr>
          <w:rFonts w:ascii="宋体" w:hAnsi="宋体" w:eastAsia="宋体" w:cs="宋体"/>
          <w:color w:val="FF0000"/>
          <w:sz w:val="24"/>
          <w:szCs w:val="24"/>
        </w:rPr>
        <w:t>国家超级计算济南中心</w:t>
      </w:r>
      <w:r>
        <w:rPr>
          <w:rFonts w:ascii="宋体" w:hAnsi="宋体" w:eastAsia="宋体" w:cs="宋体"/>
          <w:sz w:val="24"/>
          <w:szCs w:val="24"/>
        </w:rPr>
        <w:t>使用了</w:t>
      </w:r>
      <w:r>
        <w:rPr>
          <w:rFonts w:ascii="宋体" w:hAnsi="宋体" w:eastAsia="宋体" w:cs="宋体"/>
          <w:color w:val="FF0000"/>
          <w:sz w:val="24"/>
          <w:szCs w:val="24"/>
        </w:rPr>
        <w:t>神威4000A百万亿次集群</w:t>
      </w:r>
      <w:r>
        <w:rPr>
          <w:rFonts w:ascii="宋体" w:hAnsi="宋体" w:eastAsia="宋体" w:cs="宋体"/>
          <w:sz w:val="24"/>
          <w:szCs w:val="24"/>
        </w:rPr>
        <w:t>以及</w:t>
      </w:r>
      <w:r>
        <w:rPr>
          <w:rFonts w:ascii="宋体" w:hAnsi="宋体" w:eastAsia="宋体" w:cs="宋体"/>
          <w:color w:val="FF0000"/>
          <w:sz w:val="24"/>
          <w:szCs w:val="24"/>
        </w:rPr>
        <w:t>“神威蓝光”</w:t>
      </w:r>
      <w:r>
        <w:rPr>
          <w:rFonts w:ascii="宋体" w:hAnsi="宋体" w:eastAsia="宋体" w:cs="宋体"/>
          <w:sz w:val="24"/>
          <w:szCs w:val="24"/>
        </w:rPr>
        <w:t>千万亿次超级计算机,使用NAMD和GROMACS软件完成了万原子 体系近微秒级以及百万原子纳秒级的超大规模的部署测试,并完成了同时利用近十万处理器核心的副本交换分子动力学模拟测试分析。从整个部署测试结果来看,普 通小型集群适于做分子动力学模拟任务的一些准备工作,如模型的构建、参数的优化等,而十万亿次集群上适合运行小体系的计算模拟以及大体系的计算模拟准备工 作,对超大体系则必须要部署到百万亿次及千万亿次集群上,利用大规模的计算资源在可接受的时间范围内完成模拟任务。分子动力学模拟所得数据是在分子中每一 个原子在三维空间中随时间的运动轨迹,所以只有三维图像才能有效地表示这些大分子所包含的信息,而以往专业的可视化技术与设备都是极其昂贵的,所以本论文 基于廉价的3D VISION图形解决方案,搭建了生物大分子3D显示与分析平台,用于分析自身免疫性疾病相关蛋白质分子识别的动态机理。基于已有的实验发现,生长因子 (PGRN)可以结合于肿瘤坏死因子受体(TNFR),从而抑制TNF-a介导的致炎效应,本论文通过动力学模拟确定了PGRN与TNFR2的结合模式与 决定PGRN与TNFR2结合的关键氨基酸。通过构建PGRN虚拟突变体,计算模拟进一步证实PGRN结合TNFR2并发挥抗炎功能对这些氨基酸的依赖性 和静电作用介导的PGRN/TNFR2结合模式。</w:t>
      </w:r>
    </w:p>
    <w:p>
      <w:pPr>
        <w:jc w:val="center"/>
        <w:rPr>
          <w:rFonts w:hint="eastAsia"/>
          <w:b/>
          <w:bCs/>
          <w:sz w:val="32"/>
          <w:szCs w:val="32"/>
          <w:lang w:val="en-US" w:eastAsia="zh-CN"/>
        </w:rPr>
      </w:pPr>
      <w:r>
        <w:rPr>
          <w:rFonts w:hint="eastAsia"/>
          <w:b/>
          <w:bCs/>
          <w:sz w:val="32"/>
          <w:szCs w:val="32"/>
          <w:lang w:val="en-US" w:eastAsia="zh-CN"/>
        </w:rPr>
        <w:t>（山东省高性能计算中心）</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2014.04.27启用。在山大济南</w:t>
      </w:r>
      <w:bookmarkStart w:id="0" w:name="_GoBack"/>
      <w:bookmarkEnd w:id="0"/>
      <w:r>
        <w:rPr>
          <w:rFonts w:hint="eastAsia" w:ascii="宋体" w:hAnsi="宋体" w:eastAsia="宋体" w:cs="宋体"/>
          <w:sz w:val="24"/>
          <w:szCs w:val="24"/>
          <w:lang w:val="en-US" w:eastAsia="zh-CN"/>
        </w:rPr>
        <w:t>软件园校区。</w:t>
      </w:r>
      <w:r>
        <w:rPr>
          <w:rFonts w:ascii="宋体" w:hAnsi="宋体" w:eastAsia="宋体" w:cs="宋体"/>
          <w:sz w:val="24"/>
          <w:szCs w:val="24"/>
        </w:rPr>
        <w:t>山东省高性能计算中心是继上海市超算中心之后，国内第二个省级高性能计算中心。中心的整个计算环境的投资为1500万元，由山东大学和济南市高新技术开发区联合共建，挂靠在山东大学，建设在齐鲁软件学院，整个环境的总计算能力为13000亿次/秒，存储容量为18TB。</w:t>
      </w:r>
      <w:r>
        <w:rPr>
          <w:rFonts w:hint="eastAsia" w:ascii="宋体" w:hAnsi="宋体" w:eastAsia="宋体" w:cs="宋体"/>
          <w:sz w:val="24"/>
          <w:szCs w:val="24"/>
          <w:lang w:val="en-US" w:eastAsia="zh-CN"/>
        </w:rPr>
        <w:t>与</w:t>
      </w:r>
      <w:r>
        <w:rPr>
          <w:rFonts w:ascii="宋体" w:hAnsi="宋体" w:eastAsia="宋体" w:cs="宋体"/>
          <w:sz w:val="24"/>
          <w:szCs w:val="24"/>
        </w:rPr>
        <w:t>浪潮（北京）电子信息产业有限公司、国际商业机器（中国）有限公司（IBM）、英特尔（中国）有限公司（INTEL）、视算电脑科技（中国）有限公司（SGI）等</w:t>
      </w:r>
      <w:r>
        <w:rPr>
          <w:rFonts w:hint="eastAsia" w:ascii="宋体" w:hAnsi="宋体" w:eastAsia="宋体" w:cs="宋体"/>
          <w:sz w:val="24"/>
          <w:szCs w:val="24"/>
          <w:lang w:val="en-US" w:eastAsia="zh-CN"/>
        </w:rPr>
        <w:t>公司合作。</w:t>
      </w:r>
    </w:p>
    <w:p>
      <w:pPr>
        <w:jc w:val="center"/>
        <w:rPr>
          <w:rFonts w:hint="eastAsia"/>
          <w:b/>
          <w:bCs/>
          <w:sz w:val="32"/>
          <w:szCs w:val="32"/>
          <w:lang w:val="en-US" w:eastAsia="zh-CN"/>
        </w:rPr>
      </w:pPr>
      <w:r>
        <w:rPr>
          <w:rFonts w:hint="eastAsia"/>
          <w:b/>
          <w:bCs/>
          <w:sz w:val="32"/>
          <w:szCs w:val="32"/>
          <w:lang w:val="en-US" w:eastAsia="zh-CN"/>
        </w:rPr>
        <w:t>（国家超级计算济南中心）</w:t>
      </w:r>
    </w:p>
    <w:p>
      <w:p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http://baike.baidu.com/link?url=xUL1CBhQDjGh0D-GB59yeBgsHx7cqQyV1fK28OUpo87jCpI_7Azw1jF5itC4ezCQwUx0E4OLucFn_bEBb2Y6Ia</w:t>
      </w:r>
    </w:p>
    <w:p>
      <w:pPr>
        <w:jc w:val="center"/>
        <w:rPr>
          <w:rFonts w:hint="eastAsia"/>
          <w:b/>
          <w:bCs/>
          <w:sz w:val="32"/>
          <w:szCs w:val="32"/>
          <w:lang w:val="en-US" w:eastAsia="zh-CN"/>
        </w:rPr>
      </w:pPr>
      <w:r>
        <w:rPr>
          <w:rFonts w:hint="eastAsia"/>
          <w:b/>
          <w:bCs/>
          <w:sz w:val="32"/>
          <w:szCs w:val="32"/>
          <w:lang w:val="en-US" w:eastAsia="zh-CN"/>
        </w:rPr>
        <w:t>（浪潮TS10000</w:t>
      </w:r>
      <w:r>
        <w:rPr>
          <w:rFonts w:hint="eastAsia"/>
          <w:b/>
          <w:bCs/>
          <w:sz w:val="32"/>
          <w:szCs w:val="32"/>
          <w:lang w:val="en-US" w:eastAsia="zh-CN"/>
        </w:rPr>
        <w: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官方说明 （含有功能和技术的详细介绍）：</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"http://www.inspur.com/lcjtww/443012/444624/450134/452175/561815/index.html#"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http://www.inspur.com/lcjtww/443012/444624/450134/452175/561815/index.html#</w:t>
      </w:r>
      <w:r>
        <w:rPr>
          <w:rFonts w:hint="eastAsia" w:ascii="宋体" w:hAnsi="宋体" w:eastAsia="宋体" w:cs="宋体"/>
          <w:sz w:val="24"/>
          <w:szCs w:val="24"/>
          <w:lang w:val="en-US" w:eastAsia="zh-CN"/>
        </w:rPr>
        <w:fldChar w:fldCharType="end"/>
      </w:r>
    </w:p>
    <w:p>
      <w:pPr>
        <w:jc w:val="center"/>
        <w:rPr>
          <w:rFonts w:hint="eastAsia"/>
          <w:b/>
          <w:bCs/>
          <w:sz w:val="32"/>
          <w:szCs w:val="32"/>
          <w:lang w:val="en-US" w:eastAsia="zh-CN"/>
        </w:rPr>
      </w:pPr>
      <w:r>
        <w:rPr>
          <w:rFonts w:hint="eastAsia"/>
          <w:b/>
          <w:bCs/>
          <w:sz w:val="32"/>
          <w:szCs w:val="32"/>
          <w:lang w:val="en-US" w:eastAsia="zh-CN"/>
        </w:rPr>
        <w:t>（神威蓝光）</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"http://baike.baidu.com/link?url=d3c5PxpdBMUBgFcYwlArvcgCqS2skmUMr9JRnLu4WXNpClu1pK-Cw9rCaiCYpXmvQkRJqYKbBdZSlfVsH6tgUa" </w:instrText>
      </w:r>
      <w:r>
        <w:rPr>
          <w:rFonts w:hint="eastAsia" w:ascii="宋体" w:hAnsi="宋体" w:eastAsia="宋体" w:cs="宋体"/>
          <w:sz w:val="24"/>
          <w:szCs w:val="24"/>
          <w:lang w:val="en-US" w:eastAsia="zh-CN"/>
        </w:rPr>
        <w:fldChar w:fldCharType="separate"/>
      </w:r>
      <w:r>
        <w:rPr>
          <w:rStyle w:val="3"/>
          <w:rFonts w:hint="eastAsia" w:ascii="宋体" w:hAnsi="宋体" w:eastAsia="宋体" w:cs="宋体"/>
          <w:sz w:val="24"/>
          <w:szCs w:val="24"/>
          <w:lang w:val="en-US" w:eastAsia="zh-CN"/>
        </w:rPr>
        <w:t>http://baike.baidu.com/link?url=d3c5PxpdBMUBgFcYwlArvcgCqS2skmUMr9JRnLu4WXNpClu1pK-Cw9rCaiCYpXmvQkRJqYKbBdZSlfVsH6tgUa</w:t>
      </w:r>
      <w:r>
        <w:rPr>
          <w:rFonts w:hint="eastAsia" w:ascii="宋体" w:hAnsi="宋体" w:eastAsia="宋体" w:cs="宋体"/>
          <w:sz w:val="24"/>
          <w:szCs w:val="24"/>
          <w:lang w:val="en-US" w:eastAsia="zh-CN"/>
        </w:rPr>
        <w:fldChar w:fldCharType="end"/>
      </w:r>
    </w:p>
    <w:p>
      <w:pPr>
        <w:jc w:val="center"/>
        <w:rPr>
          <w:rFonts w:hint="eastAsia"/>
          <w:b/>
          <w:bCs/>
          <w:sz w:val="32"/>
          <w:szCs w:val="32"/>
          <w:lang w:val="en-US" w:eastAsia="zh-CN"/>
        </w:rPr>
      </w:pPr>
      <w:r>
        <w:rPr>
          <w:rFonts w:hint="eastAsia"/>
          <w:b/>
          <w:bCs/>
          <w:sz w:val="32"/>
          <w:szCs w:val="32"/>
          <w:lang w:val="en-US" w:eastAsia="zh-CN"/>
        </w:rPr>
        <w:t>（MOSIX并行操作系统</w:t>
      </w:r>
      <w:r>
        <w:rPr>
          <w:rFonts w:hint="eastAsia"/>
          <w:b/>
          <w:bCs/>
          <w:sz w:val="32"/>
          <w:szCs w:val="32"/>
          <w:lang w:val="en-US" w:eastAsia="zh-CN"/>
        </w:rPr>
        <w: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简介：</w:t>
      </w:r>
    </w:p>
    <w:p>
      <w:p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https://www.aliyun.com/zixun/content/3_12_521807.html</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特征：</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"http://www.ibm.com/developerworks/cn/linux/cluster/mosix/part2/" </w:instrText>
      </w:r>
      <w:r>
        <w:rPr>
          <w:rFonts w:hint="eastAsia" w:ascii="宋体" w:hAnsi="宋体" w:eastAsia="宋体" w:cs="宋体"/>
          <w:sz w:val="24"/>
          <w:szCs w:val="24"/>
          <w:lang w:val="en-US" w:eastAsia="zh-CN"/>
        </w:rPr>
        <w:fldChar w:fldCharType="separate"/>
      </w:r>
      <w:r>
        <w:rPr>
          <w:rStyle w:val="3"/>
          <w:rFonts w:hint="eastAsia" w:ascii="宋体" w:hAnsi="宋体" w:eastAsia="宋体" w:cs="宋体"/>
          <w:sz w:val="24"/>
          <w:szCs w:val="24"/>
          <w:lang w:val="en-US" w:eastAsia="zh-CN"/>
        </w:rPr>
        <w:t>http://www.ibm.com/developerworks/cn/linux/cluster/mosix/part2/</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p>
    <w:p>
      <w:pPr>
        <w:jc w:val="center"/>
        <w:rPr>
          <w:rFonts w:hint="eastAsia"/>
          <w:b/>
          <w:bCs/>
          <w:sz w:val="32"/>
          <w:szCs w:val="32"/>
          <w:lang w:val="en-US" w:eastAsia="zh-CN"/>
        </w:rPr>
      </w:pPr>
      <w:r>
        <w:rPr>
          <w:rFonts w:hint="eastAsia"/>
          <w:b/>
          <w:bCs/>
          <w:sz w:val="32"/>
          <w:szCs w:val="32"/>
          <w:lang w:val="en-US" w:eastAsia="zh-CN"/>
        </w:rPr>
        <w:t>（NAMD）</w:t>
      </w:r>
    </w:p>
    <w:p>
      <w:pPr>
        <w:jc w:val="left"/>
        <w:rPr>
          <w:rFonts w:hint="eastAsia" w:ascii="宋体" w:hAnsi="宋体" w:eastAsia="宋体" w:cs="宋体"/>
          <w:sz w:val="24"/>
          <w:szCs w:val="24"/>
          <w:lang w:val="en-US" w:eastAsia="zh-CN"/>
        </w:rPr>
      </w:pPr>
      <w:r>
        <w:rPr>
          <w:rFonts w:ascii="宋体" w:hAnsi="宋体" w:eastAsia="宋体" w:cs="宋体"/>
          <w:sz w:val="24"/>
          <w:szCs w:val="24"/>
        </w:rPr>
        <w:t>用于在大规模并行计算机上快速模拟大分子体系的并行分子动力学代码</w:t>
      </w:r>
      <w:r>
        <w:rPr>
          <w:rFonts w:hint="eastAsia" w:ascii="宋体" w:hAnsi="宋体" w:eastAsia="宋体" w:cs="宋体"/>
          <w:sz w:val="24"/>
          <w:szCs w:val="24"/>
          <w:lang w:eastAsia="zh-CN"/>
        </w:rPr>
        <w: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"http://baike.baidu.com/link?url=OuPgmQPKlBljDDVwS5QhmCOjykEk4prpDHIgmtclKvmdNGxgwOB4hedeDK1hp283N52qp1izGx9Kmq61SKNe-K" </w:instrText>
      </w:r>
      <w:r>
        <w:rPr>
          <w:rFonts w:hint="eastAsia" w:ascii="宋体" w:hAnsi="宋体" w:eastAsia="宋体" w:cs="宋体"/>
          <w:sz w:val="24"/>
          <w:szCs w:val="24"/>
          <w:lang w:val="en-US" w:eastAsia="zh-CN"/>
        </w:rPr>
        <w:fldChar w:fldCharType="separate"/>
      </w:r>
      <w:r>
        <w:rPr>
          <w:rStyle w:val="3"/>
          <w:rFonts w:hint="eastAsia" w:ascii="宋体" w:hAnsi="宋体" w:eastAsia="宋体" w:cs="宋体"/>
          <w:sz w:val="24"/>
          <w:szCs w:val="24"/>
          <w:lang w:val="en-US" w:eastAsia="zh-CN"/>
        </w:rPr>
        <w:t>http://baike.baidu.com/link?url=OuPgmQPKlBljDDVwS5QhmCOjykEk4prpDHIgmtclKvmdNGxgwOB4hedeDK1hp283N52qp1izGx9Kmq61SKNe-K</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注：神威4000A百度不着不知道为啥 只有他在气象方面的应用 所以没有列出来。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0364A"/>
    <w:rsid w:val="014C7B07"/>
    <w:rsid w:val="029258E3"/>
    <w:rsid w:val="032300FC"/>
    <w:rsid w:val="041D6238"/>
    <w:rsid w:val="047C3705"/>
    <w:rsid w:val="07365749"/>
    <w:rsid w:val="07B53B60"/>
    <w:rsid w:val="096F45EF"/>
    <w:rsid w:val="0DE84AD7"/>
    <w:rsid w:val="102054BB"/>
    <w:rsid w:val="15E65386"/>
    <w:rsid w:val="1CEE10C5"/>
    <w:rsid w:val="1CEF0E12"/>
    <w:rsid w:val="1DC6201E"/>
    <w:rsid w:val="24337417"/>
    <w:rsid w:val="26153475"/>
    <w:rsid w:val="26485886"/>
    <w:rsid w:val="27247676"/>
    <w:rsid w:val="28AE4B26"/>
    <w:rsid w:val="29DB1027"/>
    <w:rsid w:val="2C2F1D46"/>
    <w:rsid w:val="321A5075"/>
    <w:rsid w:val="322E59A5"/>
    <w:rsid w:val="32410FAB"/>
    <w:rsid w:val="325C62E6"/>
    <w:rsid w:val="33A90474"/>
    <w:rsid w:val="367532DF"/>
    <w:rsid w:val="384343B6"/>
    <w:rsid w:val="3A490B7F"/>
    <w:rsid w:val="3C1A742E"/>
    <w:rsid w:val="3D10364A"/>
    <w:rsid w:val="3E7273E3"/>
    <w:rsid w:val="3E8A55D2"/>
    <w:rsid w:val="3EAB3A46"/>
    <w:rsid w:val="3FAE5815"/>
    <w:rsid w:val="3FCC1E73"/>
    <w:rsid w:val="42307F44"/>
    <w:rsid w:val="44E629E0"/>
    <w:rsid w:val="4D8F5AAA"/>
    <w:rsid w:val="4FEA2AE6"/>
    <w:rsid w:val="505F29D5"/>
    <w:rsid w:val="51A31B41"/>
    <w:rsid w:val="55764232"/>
    <w:rsid w:val="562968AE"/>
    <w:rsid w:val="566C3378"/>
    <w:rsid w:val="597177FB"/>
    <w:rsid w:val="5C65103A"/>
    <w:rsid w:val="60D35298"/>
    <w:rsid w:val="65A93C15"/>
    <w:rsid w:val="6A8A3D7B"/>
    <w:rsid w:val="6E3F6AC9"/>
    <w:rsid w:val="6FAA3260"/>
    <w:rsid w:val="722C3EE0"/>
    <w:rsid w:val="72850D5B"/>
    <w:rsid w:val="75C84788"/>
    <w:rsid w:val="77C20DB5"/>
    <w:rsid w:val="780B214B"/>
    <w:rsid w:val="79343A02"/>
    <w:rsid w:val="798E1735"/>
    <w:rsid w:val="7A5142A8"/>
    <w:rsid w:val="7A8910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2016-09-23T02:42:00Z</dcterms:created>
  <dc:creator>superCynthia</dc:creator>
  <cp:lastModifiedBy>superCynthia</cp:lastModifiedBy>
  <dcterms:modified xsi:type="dcterms:W3CDTF">2016-09-23T03:51:57Z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