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3864"/>
          <w:sz w:val="40"/>
          <w:szCs w:val="40"/>
        </w:rPr>
        <w:t xml:space="preserve">AUDITORÍA LEGAL Y DE CUMPLIMIENTO</w:t>
      </w:r>
    </w:p>
    <w:p>
      <w:pPr>
        <w:spacing w:after="400"/>
        <w:jc w:val="center"/>
      </w:pPr>
      <w:r>
        <w:rPr>
          <w:b/>
          <w:bCs/>
          <w:color w:val="2E74B5"/>
          <w:sz w:val="28"/>
          <w:szCs w:val="28"/>
        </w:rPr>
        <w:t xml:space="preserve">RGPD · LSSI-CE · Cookies · Accesibilidad · Seguridad</w:t>
      </w:r>
    </w:p>
    <w:p>
      <w:pPr>
        <w:spacing w:after="200"/>
        <w:jc w:val="center"/>
      </w:pPr>
      <w:r>
        <w:rPr>
          <w:sz w:val="26"/>
          <w:szCs w:val="26"/>
        </w:rPr>
        <w:t xml:space="preserve">konquerai.com</w:t>
      </w:r>
    </w:p>
    <w:p>
      <w:pPr>
        <w:spacing w:after="1200"/>
        <w:jc w:val="center"/>
      </w:pPr>
      <w:r>
        <w:rPr>
          <w:i/>
          <w:iCs/>
          <w:color w:val="595959"/>
          <w:sz w:val="22"/>
          <w:szCs w:val="22"/>
        </w:rPr>
        <w:t xml:space="preserve">Documento técnico-jurídico para asesoramiento legal</w:t>
      </w:r>
    </w:p>
    <w:p>
      <w:pPr>
        <w:spacing w:after="120"/>
        <w:jc w:val="center"/>
      </w:pPr>
      <w:r>
        <w:rPr>
          <w:sz w:val="22"/>
          <w:szCs w:val="22"/>
        </w:rPr>
        <w:t xml:space="preserve">Fecha de la auditoría: 2026-06-18</w:t>
      </w:r>
    </w:p>
    <w:p>
      <w:pPr>
        <w:spacing w:after="120"/>
        <w:jc w:val="center"/>
      </w:pPr>
      <w:r>
        <w:rPr>
          <w:sz w:val="22"/>
          <w:szCs w:val="22"/>
        </w:rPr>
        <w:t xml:space="preserve">Jurisdicción principal: España / UE</w:t>
      </w:r>
    </w:p>
    <w:p>
      <w:pPr>
        <w:spacing w:after="120"/>
        <w:jc w:val="center"/>
      </w:pPr>
      <w:r>
        <w:rPr>
          <w:sz w:val="22"/>
          <w:szCs w:val="22"/>
        </w:rPr>
        <w:t xml:space="preserve">Metodología: análisis black-box</w:t>
      </w:r>
    </w:p>
    <w:p>
      <w:r>
        <w:br w:type="page"/>
      </w:r>
    </w:p>
    <w:p>
      <w:pPr>
        <w:pStyle w:val="Heading1"/>
        <w:spacing w:after="200" w:before="360"/>
      </w:pPr>
      <w:r>
        <w:rPr>
          <w:b/>
          <w:bCs/>
          <w:color w:val="1F3864"/>
          <w:sz w:val="32"/>
          <w:szCs w:val="32"/>
        </w:rPr>
        <w:t xml:space="preserve">1. Resumen ejecutivo</w:t>
      </w:r>
    </w:p>
    <w:p>
      <w:pPr>
        <w:spacing w:after="120"/>
      </w:pPr>
      <w:r>
        <w:t xml:space="preserve">Este informe documenta los hallazgos de una auditoría de cumplimiento legal sobre las siguientes URLs:</w:t>
      </w:r>
    </w:p>
    <w:p>
      <w:pPr>
        <w:pStyle w:val="ListParagraph"/>
        <w:numPr>
          <w:ilvl w:val="0"/>
          <w:numId w:val="2"/>
        </w:numPr>
        <w:spacing w:after="80"/>
      </w:pPr>
      <w:r>
        <w:t xml:space="preserve">https://www.konquerai.com/</w:t>
      </w:r>
    </w:p>
    <w:p>
      <w:pPr>
        <w:pStyle w:val="ListParagraph"/>
        <w:numPr>
          <w:ilvl w:val="0"/>
          <w:numId w:val="2"/>
        </w:numPr>
        <w:spacing w:after="80"/>
      </w:pPr>
      <w:r>
        <w:t xml:space="preserve">https://www.konquerai.com/sobre-nosotros</w:t>
      </w:r>
    </w:p>
    <w:p>
      <w:pPr>
        <w:pStyle w:val="ListParagraph"/>
        <w:numPr>
          <w:ilvl w:val="0"/>
          <w:numId w:val="2"/>
        </w:numPr>
        <w:spacing w:after="80"/>
      </w:pPr>
      <w:r>
        <w:t xml:space="preserve">https://www.konquerai.com/legal/privacidad</w:t>
      </w:r>
    </w:p>
    <w:p>
      <w:pPr>
        <w:pStyle w:val="ListParagraph"/>
        <w:numPr>
          <w:ilvl w:val="0"/>
          <w:numId w:val="2"/>
        </w:numPr>
        <w:spacing w:after="80"/>
      </w:pPr>
      <w:r>
        <w:t xml:space="preserve">https://www.konquerai.com/legal/cookies</w:t>
      </w:r>
    </w:p>
    <w:p>
      <w:pPr>
        <w:pStyle w:val="ListParagraph"/>
        <w:numPr>
          <w:ilvl w:val="0"/>
          <w:numId w:val="2"/>
        </w:numPr>
        <w:spacing w:after="80"/>
      </w:pPr>
      <w:r>
        <w:t xml:space="preserve">https://www.konquerai.com/legal/terminos</w:t>
      </w:r>
    </w:p>
    <w:p>
      <w:pPr>
        <w:pStyle w:val="ListParagraph"/>
        <w:numPr>
          <w:ilvl w:val="0"/>
          <w:numId w:val="2"/>
        </w:numPr>
        <w:spacing w:after="80"/>
      </w:pPr>
      <w:r>
        <w:t xml:space="preserve">https://www.konquerai.com/legal/gdpr</w:t>
      </w:r>
    </w:p>
    <w:p>
      <w:pPr>
        <w:pStyle w:val="Heading2"/>
        <w:spacing w:after="160" w:before="280"/>
      </w:pPr>
      <w:r>
        <w:rPr>
          <w:b/>
          <w:bCs/>
          <w:color w:val="2E74B5"/>
          <w:sz w:val="26"/>
          <w:szCs w:val="26"/>
        </w:rPr>
        <w:t xml:space="preserve">Valoración global por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0"/>
        <w:gridCol w:w="1600"/>
        <w:gridCol w:w="1360"/>
      </w:tblGrid>
      <w:tr>
        <w:trPr>
          <w:tblHeader/>
        </w:trPr>
        <w:tc>
          <w:tcPr>
            <w:tcW w:type="dxa" w:w="6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URL</w:t>
            </w:r>
          </w:p>
        </w:tc>
        <w:tc>
          <w:tcPr>
            <w:tcW w:type="dxa" w:w="1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Nivel de riesgo</w:t>
            </w:r>
          </w:p>
        </w:tc>
        <w:tc>
          <w:tcPr>
            <w:tcW w:type="dxa" w:w="1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 hallazgos</w:t>
            </w:r>
          </w:p>
        </w:tc>
      </w:tr>
      <w:tr>
        <w:tc>
          <w:tcPr>
            <w:tcW w:type="dxa" w:w="6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https://www.konquerai.com/</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ALTO</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5</w:t>
            </w:r>
          </w:p>
        </w:tc>
      </w:tr>
      <w:tr>
        <w:tc>
          <w:tcPr>
            <w:tcW w:type="dxa" w:w="6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https://www.konquerai.com/sobre-nosotros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BAJO</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0</w:t>
            </w:r>
          </w:p>
        </w:tc>
      </w:tr>
      <w:tr>
        <w:tc>
          <w:tcPr>
            <w:tcW w:type="dxa" w:w="6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https://www.konquerai.com/legal/privacidad</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ALTO</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1</w:t>
            </w:r>
          </w:p>
        </w:tc>
      </w:tr>
      <w:tr>
        <w:tc>
          <w:tcPr>
            <w:tcW w:type="dxa" w:w="6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https://www.konquerai.com/legal/cookies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BAJO</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0</w:t>
            </w:r>
          </w:p>
        </w:tc>
      </w:tr>
      <w:tr>
        <w:tc>
          <w:tcPr>
            <w:tcW w:type="dxa" w:w="6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https://www.konquerai.com/legal/terminos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BAJO</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1</w:t>
            </w:r>
          </w:p>
        </w:tc>
      </w:tr>
      <w:tr>
        <w:tc>
          <w:tcPr>
            <w:tcW w:type="dxa" w:w="6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https://www.konquerai.com/legal/gdpr</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BAJO</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0</w:t>
            </w:r>
          </w:p>
        </w:tc>
      </w:tr>
    </w:tbl>
    <w:p>
      <w:r>
        <w:br w:type="page"/>
      </w:r>
    </w:p>
    <w:p>
      <w:pPr>
        <w:pStyle w:val="Heading1"/>
        <w:spacing w:after="200" w:before="360"/>
      </w:pPr>
      <w:r>
        <w:rPr>
          <w:b/>
          <w:bCs/>
          <w:color w:val="1F3864"/>
          <w:sz w:val="32"/>
          <w:szCs w:val="32"/>
        </w:rPr>
        <w:t xml:space="preserve">2. Metodología y alcance</w:t>
      </w:r>
    </w:p>
    <w:p>
      <w:pPr>
        <w:spacing w:after="120"/>
      </w:pPr>
      <w:r>
        <w:t xml:space="preserve">Auditoría black-box sobre las URLs declaradas, sin acceso al código fuente ni documentación interna del responsable.</w:t>
      </w:r>
    </w:p>
    <w:p>
      <w:pPr>
        <w:spacing w:after="120"/>
      </w:pPr>
      <w:r>
        <w:t xml:space="preserve">Herramientas utilizadas:</w:t>
      </w:r>
    </w:p>
    <w:p>
      <w:pPr>
        <w:pStyle w:val="ListParagraph"/>
        <w:numPr>
          <w:ilvl w:val="0"/>
          <w:numId w:val="2"/>
        </w:numPr>
        <w:spacing w:after="80"/>
      </w:pPr>
      <w:r>
        <w:t xml:space="preserve">Navegador real con interceptación de peticiones (Claude in Chrome / Firecrawl)</w:t>
      </w:r>
    </w:p>
    <w:p>
      <w:pPr>
        <w:pStyle w:val="ListParagraph"/>
        <w:numPr>
          <w:ilvl w:val="0"/>
          <w:numId w:val="2"/>
        </w:numPr>
        <w:spacing w:after="80"/>
      </w:pPr>
      <w:r>
        <w:t xml:space="preserve">Extracción de DOM, accesibilidad y árbol semántico</w:t>
      </w:r>
    </w:p>
    <w:p>
      <w:pPr>
        <w:pStyle w:val="ListParagraph"/>
        <w:numPr>
          <w:ilvl w:val="0"/>
          <w:numId w:val="2"/>
        </w:numPr>
        <w:spacing w:after="80"/>
      </w:pPr>
      <w:r>
        <w:t xml:space="preserve">Validación de enlaces legales y contenido de políticas publicadas</w:t>
      </w:r>
    </w:p>
    <w:p>
      <w:pPr>
        <w:pStyle w:val="ListParagraph"/>
        <w:numPr>
          <w:ilvl w:val="0"/>
          <w:numId w:val="2"/>
        </w:numPr>
        <w:spacing w:after="80"/>
      </w:pPr>
      <w:r>
        <w:t xml:space="preserve">Matcheo de red contra base de datos de trackers conocidos</w:t>
      </w:r>
    </w:p>
    <w:p>
      <w:pPr>
        <w:pStyle w:val="ListParagraph"/>
        <w:numPr>
          <w:ilvl w:val="0"/>
          <w:numId w:val="2"/>
        </w:numPr>
        <w:spacing w:after="80"/>
      </w:pPr>
      <w:r>
        <w:t xml:space="preserve">Aplicación de checklists RGPD, LSSI-CE, Cookies-AEPD, WCAG, seguridad, publicidad</w:t>
      </w:r>
    </w:p>
    <w:p>
      <w:pPr>
        <w:spacing w:after="120"/>
      </w:pPr>
      <w:r>
        <w:t xml:space="preserve">Limitaciones: no se ha podido verificar el RAT interno, contratos de encargo del tratamiento, ni flujos internos de doble opt-in. Esos aspectos quedan marcados como "Requiere verificación humana".</w:t>
      </w:r>
    </w:p>
    <w:p>
      <w:r>
        <w:br w:type="page"/>
      </w:r>
    </w:p>
    <w:p>
      <w:pPr>
        <w:pStyle w:val="Heading1"/>
        <w:spacing w:after="200" w:before="360"/>
      </w:pPr>
      <w:r>
        <w:rPr>
          <w:b/>
          <w:bCs/>
          <w:color w:val="1F3864"/>
          <w:sz w:val="32"/>
          <w:szCs w:val="32"/>
        </w:rPr>
        <w:t xml:space="preserve">3. URL 1 — https://www.konquerai.com/</w:t>
      </w:r>
    </w:p>
    <w:p>
      <w:pPr>
        <w:pStyle w:val="Heading2"/>
        <w:spacing w:after="160" w:before="280"/>
      </w:pPr>
      <w:r>
        <w:rPr>
          <w:b/>
          <w:bCs/>
          <w:color w:val="2E74B5"/>
          <w:sz w:val="26"/>
          <w:szCs w:val="26"/>
        </w:rPr>
        <w:t xml:space="preserve">Hallazgos de cumplimiento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4160"/>
        <w:gridCol w:w="140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ID</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Categoría</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Severidad</w:t>
            </w:r>
          </w:p>
        </w:tc>
        <w:tc>
          <w:tcPr>
            <w:tcW w:type="dxa" w:w="4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Título</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Norma</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RGPD-002</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rgpd</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HIGH</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Tratamiento de voz (micrófono) y almacenamiento de conversaciones sin información ni base legal explícita</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Arts. 5.1.a, 6.1.a y 13 RGPD</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COOKIES-001</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cookies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HIGH</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La política de cookies declaraba 'cero cookies' pero el embed de Cal.com instala cookies de terceros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Art. 22.2 LSSI-CE (Ley 34/2002); Guía AEPD sobre el uso de cookies; Directiva 2002/58/CE</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SEC-001</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security</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MEDIUM</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Content-Security-Policy en modo report-only (no bloquea)</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Buenas prácticas de seguridad (RGPD art. 32 — medidas técnicas apropiadas)</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FORMS-001</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forms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LOW</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Formulario de contacto sin texto informativo breve junto al checkbox</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Art. 13 RGPD (información en el momento de la recogida)</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RGPD-003</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rgpd</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MEDIUM</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Región de la base de datos (Supabase) y DPA/SCC con los encargados sin confirmar</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Arts. 28 (encargados) y 44-49 (transferencias) RGPD</w:t>
            </w:r>
          </w:p>
        </w:tc>
      </w:tr>
    </w:tbl>
    <w:p>
      <w:pPr>
        <w:pStyle w:val="Heading2"/>
        <w:spacing w:after="160" w:before="280"/>
      </w:pPr>
      <w:r>
        <w:rPr>
          <w:b/>
          <w:bCs/>
          <w:color w:val="2E74B5"/>
          <w:sz w:val="26"/>
          <w:szCs w:val="26"/>
        </w:rPr>
        <w:t xml:space="preserve">Evidencias literales</w:t>
      </w:r>
    </w:p>
    <w:p>
      <w:pPr>
        <w:spacing w:after="120"/>
      </w:pPr>
      <w:r>
        <w:rPr>
          <w:b/>
          <w:bCs/>
        </w:rPr>
        <w:t xml:space="preserve">[RGPD-002] Tratamiento de voz (micrófono) y almacenamiento de conversaciones sin información ni base legal explícita: </w:t>
      </w:r>
    </w:p>
    <w:p>
      <w:pPr>
        <w:pBdr>
          <w:left w:val="single" w:color="C00000" w:sz="18" w:space="8"/>
        </w:pBdr>
        <w:spacing w:after="120" w:before="80"/>
        <w:ind w:left="360"/>
      </w:pPr>
      <w:r>
        <w:rPr>
          <w:i/>
          <w:iCs/>
          <w:color w:val="595959"/>
        </w:rPr>
        <w:t xml:space="preserve">chatbot.client.ts línea 244: navigator.mediaDevices.getUserMedia({ audio: true }); el audio se envía a /api/transcribe (Groq, EE. UU.). api/lead.ts guarda la conversación completa (campo 'mensajes') y el informe en Supabase. vercel.json concede Permissions-Policy: microphone=(self). Nada de esto estaba informado.</w:t>
      </w:r>
    </w:p>
    <w:p>
      <w:pPr>
        <w:spacing w:after="120"/>
      </w:pPr>
      <w:r>
        <w:rPr>
          <w:b/>
          <w:bCs/>
        </w:rPr>
        <w:t xml:space="preserve">[COOKIES-001] La política de cookies declaraba 'cero cookies' pero el embed de Cal.com instala cookies de terceros: </w:t>
      </w:r>
    </w:p>
    <w:p>
      <w:pPr>
        <w:pBdr>
          <w:left w:val="single" w:color="C00000" w:sz="18" w:space="8"/>
        </w:pBdr>
        <w:spacing w:after="120" w:before="80"/>
        <w:ind w:left="360"/>
      </w:pPr>
      <w:r>
        <w:rPr>
          <w:i/>
          <w:iCs/>
          <w:color w:val="595959"/>
        </w:rPr>
        <w:t xml:space="preserve">src/components/Chatbot/report.client.ts líneas 132-149 cargan 'https://app.cal.com/embed/embed.js' (Cal.com), que instala cookies propias de terceros. La política de cookies afirmaba: 'Actualmente, esta web no utiliza cookies propias ni de terceros'. ATENUANTE verificado: la carga es perezosa (solo al generar el informe, no en la primera carga), por lo que NO concurre la infracción de 'cookies en la primera carga sin banner'.</w:t>
      </w:r>
    </w:p>
    <w:p>
      <w:pPr>
        <w:spacing w:after="120"/>
      </w:pPr>
      <w:r>
        <w:rPr>
          <w:b/>
          <w:bCs/>
        </w:rPr>
        <w:t xml:space="preserve">[SEC-001] Content-Security-Policy en modo report-only (no bloquea): </w:t>
      </w:r>
    </w:p>
    <w:p>
      <w:pPr>
        <w:pBdr>
          <w:left w:val="single" w:color="C00000" w:sz="18" w:space="8"/>
        </w:pBdr>
        <w:spacing w:after="120" w:before="80"/>
        <w:ind w:left="360"/>
      </w:pPr>
      <w:r>
        <w:rPr>
          <w:i/>
          <w:iCs/>
          <w:color w:val="595959"/>
        </w:rPr>
        <w:t xml:space="preserve">vercel.json enviaba la cabecera 'Content-Security-Policy-Report-Only', que solo reporta y no aplica la política. El resto de cabeceras de seguridad eran correctas (HSTS, X-Frame-Options, X-Content-Type-Options, Referrer-Policy, Permissions-Policy).</w:t>
      </w:r>
    </w:p>
    <w:p>
      <w:pPr>
        <w:spacing w:after="120"/>
      </w:pPr>
      <w:r>
        <w:rPr>
          <w:b/>
          <w:bCs/>
        </w:rPr>
        <w:t xml:space="preserve">[FORMS-001] Formulario de contacto sin texto informativo breve junto al checkbox: </w:t>
      </w:r>
    </w:p>
    <w:p>
      <w:pPr>
        <w:pBdr>
          <w:left w:val="single" w:color="C00000" w:sz="18" w:space="8"/>
        </w:pBdr>
        <w:spacing w:after="120" w:before="80"/>
        <w:ind w:left="360"/>
      </w:pPr>
      <w:r>
        <w:rPr>
          <w:i/>
          <w:iCs/>
          <w:color w:val="595959"/>
        </w:rPr>
        <w:t xml:space="preserve">src/components/CtaFinal.astro tenía un checkbox de consentimiento NO premarcado con enlace a la política de privacidad (correcto), pero sin una línea informativa sobre el uso de los datos.</w:t>
      </w:r>
    </w:p>
    <w:p>
      <w:pPr>
        <w:spacing w:after="120"/>
      </w:pPr>
      <w:r>
        <w:rPr>
          <w:b/>
          <w:bCs/>
        </w:rPr>
        <w:t xml:space="preserve">[RGPD-003] Región de la base de datos (Supabase) y DPA/SCC con los encargados sin confirmar: </w:t>
      </w:r>
    </w:p>
    <w:p>
      <w:pPr>
        <w:pBdr>
          <w:left w:val="single" w:color="C00000" w:sz="18" w:space="8"/>
        </w:pBdr>
        <w:spacing w:after="120" w:before="80"/>
        <w:ind w:left="360"/>
      </w:pPr>
      <w:r>
        <w:rPr>
          <w:i/>
          <w:iCs/>
          <w:color w:val="595959"/>
        </w:rPr>
        <w:t xml:space="preserve">api/lead.ts usa SUPABASE_URL (variable de entorno) sin que pueda determinarse por caja negra la región del proyecto (UE vs EE. UU.). No es verificable automáticamente la existencia de contratos de encargado (DPA) ni de cláusulas contractuales tipo (SCC) con OpenRouter, Anthropic, Groq, Supabase, Cal.com, Web3Forms y Google.</w:t>
      </w:r>
    </w:p>
    <w:p>
      <w:r>
        <w:br w:type="page"/>
      </w:r>
    </w:p>
    <w:p>
      <w:pPr>
        <w:pStyle w:val="Heading1"/>
        <w:spacing w:after="200" w:before="360"/>
      </w:pPr>
      <w:r>
        <w:rPr>
          <w:b/>
          <w:bCs/>
          <w:color w:val="1F3864"/>
          <w:sz w:val="32"/>
          <w:szCs w:val="32"/>
        </w:rPr>
        <w:t xml:space="preserve">4. URL 2 — https://www.konquerai.com/sobre-nosotros</w:t>
      </w:r>
    </w:p>
    <w:p>
      <w:pPr>
        <w:spacing w:after="120"/>
      </w:pPr>
      <w:r>
        <w:t xml:space="preserve">No se han registrado hallazgos asociados a esta URL.</w:t>
      </w:r>
    </w:p>
    <w:p>
      <w:r>
        <w:br w:type="page"/>
      </w:r>
    </w:p>
    <w:p>
      <w:pPr>
        <w:pStyle w:val="Heading1"/>
        <w:spacing w:after="200" w:before="360"/>
      </w:pPr>
      <w:r>
        <w:rPr>
          <w:b/>
          <w:bCs/>
          <w:color w:val="1F3864"/>
          <w:sz w:val="32"/>
          <w:szCs w:val="32"/>
        </w:rPr>
        <w:t xml:space="preserve">5. URL 3 — https://www.konquerai.com/legal/privacidad</w:t>
      </w:r>
    </w:p>
    <w:p>
      <w:pPr>
        <w:pStyle w:val="Heading2"/>
        <w:spacing w:after="160" w:before="280"/>
      </w:pPr>
      <w:r>
        <w:rPr>
          <w:b/>
          <w:bCs/>
          <w:color w:val="2E74B5"/>
          <w:sz w:val="26"/>
          <w:szCs w:val="26"/>
        </w:rPr>
        <w:t xml:space="preserve">Hallazgos de cumplimiento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4160"/>
        <w:gridCol w:w="140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ID</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Categoría</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Severidad</w:t>
            </w:r>
          </w:p>
        </w:tc>
        <w:tc>
          <w:tcPr>
            <w:tcW w:type="dxa" w:w="4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Título</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Norma</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RGPD-001</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rgpd</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HIGH</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La política de privacidad no informa de los tratamientos del asistente del chat ni de sus encargados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Arts. 13 y 14 RGPD (UE) 2016/679; art. 11 LOPDGDD 3/2018</w:t>
            </w:r>
          </w:p>
        </w:tc>
      </w:tr>
    </w:tbl>
    <w:p>
      <w:pPr>
        <w:pStyle w:val="Heading2"/>
        <w:spacing w:after="160" w:before="280"/>
      </w:pPr>
      <w:r>
        <w:rPr>
          <w:b/>
          <w:bCs/>
          <w:color w:val="2E74B5"/>
          <w:sz w:val="26"/>
          <w:szCs w:val="26"/>
        </w:rPr>
        <w:t xml:space="preserve">Evidencias literales</w:t>
      </w:r>
    </w:p>
    <w:p>
      <w:pPr>
        <w:spacing w:after="120"/>
      </w:pPr>
      <w:r>
        <w:rPr>
          <w:b/>
          <w:bCs/>
        </w:rPr>
        <w:t xml:space="preserve">[RGPD-001] La política de privacidad no informa de los tratamientos del asistente del chat ni de sus encargados: </w:t>
      </w:r>
    </w:p>
    <w:p>
      <w:pPr>
        <w:pBdr>
          <w:left w:val="single" w:color="C00000" w:sz="18" w:space="8"/>
        </w:pBdr>
        <w:spacing w:after="120" w:before="80"/>
        <w:ind w:left="360"/>
      </w:pPr>
      <w:r>
        <w:rPr>
          <w:i/>
          <w:iCs/>
          <w:color w:val="595959"/>
        </w:rPr>
        <w:t xml:space="preserve">El asistente de la web envía datos a proveedores no declarados en la política. Evidencia en código: api/chat.ts -&gt; fetch('https://openrouter.ai/api/v1/chat/completions', modelo 'anthropic/claude-3.5-haiku'); api/transcribe.ts -&gt; fetch('https://api.groq.com/openai/v1/audio/transcriptions', 'whisper-large-v3'); api/lead.ts -&gt; inserta en Supabase tablas 'leads' y 'conversations'. La política de privacidad (antes de la remediación) solo mencionaba Web3Forms y Google Workspace, y declaraba 'principalmente a través del formulario de contacto'.</w:t>
      </w:r>
    </w:p>
    <w:p>
      <w:r>
        <w:br w:type="page"/>
      </w:r>
    </w:p>
    <w:p>
      <w:pPr>
        <w:pStyle w:val="Heading1"/>
        <w:spacing w:after="200" w:before="360"/>
      </w:pPr>
      <w:r>
        <w:rPr>
          <w:b/>
          <w:bCs/>
          <w:color w:val="1F3864"/>
          <w:sz w:val="32"/>
          <w:szCs w:val="32"/>
        </w:rPr>
        <w:t xml:space="preserve">6. URL 4 — https://www.konquerai.com/legal/cookies</w:t>
      </w:r>
    </w:p>
    <w:p>
      <w:pPr>
        <w:spacing w:after="120"/>
      </w:pPr>
      <w:r>
        <w:t xml:space="preserve">No se han registrado hallazgos asociados a esta URL.</w:t>
      </w:r>
    </w:p>
    <w:p>
      <w:r>
        <w:br w:type="page"/>
      </w:r>
    </w:p>
    <w:p>
      <w:pPr>
        <w:pStyle w:val="Heading1"/>
        <w:spacing w:after="200" w:before="360"/>
      </w:pPr>
      <w:r>
        <w:rPr>
          <w:b/>
          <w:bCs/>
          <w:color w:val="1F3864"/>
          <w:sz w:val="32"/>
          <w:szCs w:val="32"/>
        </w:rPr>
        <w:t xml:space="preserve">7. URL 5 — https://www.konquerai.com/legal/terminos</w:t>
      </w:r>
    </w:p>
    <w:p>
      <w:pPr>
        <w:pStyle w:val="Heading2"/>
        <w:spacing w:after="160" w:before="280"/>
      </w:pPr>
      <w:r>
        <w:rPr>
          <w:b/>
          <w:bCs/>
          <w:color w:val="2E74B5"/>
          <w:sz w:val="26"/>
          <w:szCs w:val="26"/>
        </w:rPr>
        <w:t xml:space="preserve">Hallazgos de cumplimiento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4160"/>
        <w:gridCol w:w="140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ID</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Categoría</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Severidad</w:t>
            </w:r>
          </w:p>
        </w:tc>
        <w:tc>
          <w:tcPr>
            <w:tcW w:type="dxa" w:w="4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Título</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Norma</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LSSI-001</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lssi</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LOW</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Sobreexposición del DNI del titular en el aviso legal</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Art. 10 LSSI-CE; art. 5.1.c RGPD (minimización)</w:t>
            </w:r>
          </w:p>
        </w:tc>
      </w:tr>
    </w:tbl>
    <w:p>
      <w:pPr>
        <w:pStyle w:val="Heading2"/>
        <w:spacing w:after="160" w:before="280"/>
      </w:pPr>
      <w:r>
        <w:rPr>
          <w:b/>
          <w:bCs/>
          <w:color w:val="2E74B5"/>
          <w:sz w:val="26"/>
          <w:szCs w:val="26"/>
        </w:rPr>
        <w:t xml:space="preserve">Evidencias literales</w:t>
      </w:r>
    </w:p>
    <w:p>
      <w:pPr>
        <w:spacing w:after="120"/>
      </w:pPr>
      <w:r>
        <w:rPr>
          <w:b/>
          <w:bCs/>
        </w:rPr>
        <w:t xml:space="preserve">[LSSI-001] Sobreexposición del DNI del titular en el aviso legal: </w:t>
      </w:r>
    </w:p>
    <w:p>
      <w:pPr>
        <w:pBdr>
          <w:left w:val="single" w:color="C00000" w:sz="18" w:space="8"/>
        </w:pBdr>
        <w:spacing w:after="120" w:before="80"/>
        <w:ind w:left="360"/>
      </w:pPr>
      <w:r>
        <w:rPr>
          <w:i/>
          <w:iCs/>
          <w:color w:val="595959"/>
        </w:rPr>
        <w:t xml:space="preserve">src/pages/legal/terminos.astro publicaba 'DNI: 73393592V'. El art. 10 LSSI exige identificar al prestador (nombre, domicilio, email) pero no obliga a publicar el DNI; su publicación es un dato identificativo innecesario (principio de minimización) y aumenta el riesgo de suplantación.</w:t>
      </w:r>
    </w:p>
    <w:p>
      <w:r>
        <w:br w:type="page"/>
      </w:r>
    </w:p>
    <w:p>
      <w:pPr>
        <w:pStyle w:val="Heading1"/>
        <w:spacing w:after="200" w:before="360"/>
      </w:pPr>
      <w:r>
        <w:rPr>
          <w:b/>
          <w:bCs/>
          <w:color w:val="1F3864"/>
          <w:sz w:val="32"/>
          <w:szCs w:val="32"/>
        </w:rPr>
        <w:t xml:space="preserve">8. URL 6 — https://www.konquerai.com/legal/gdpr</w:t>
      </w:r>
    </w:p>
    <w:p>
      <w:pPr>
        <w:spacing w:after="120"/>
      </w:pPr>
      <w:r>
        <w:t xml:space="preserve">No se han registrado hallazgos asociados a esta URL.</w:t>
      </w:r>
    </w:p>
    <w:p>
      <w:r>
        <w:br w:type="page"/>
      </w:r>
    </w:p>
    <w:p>
      <w:pPr>
        <w:pStyle w:val="Heading1"/>
        <w:spacing w:after="200" w:before="360"/>
      </w:pPr>
      <w:r>
        <w:rPr>
          <w:b/>
          <w:bCs/>
          <w:color w:val="1F3864"/>
          <w:sz w:val="32"/>
          <w:szCs w:val="32"/>
        </w:rPr>
        <w:t xml:space="preserve">9. Trackers detectados sin consentimiento</w:t>
      </w:r>
    </w:p>
    <w:p>
      <w:pPr>
        <w:spacing w:after="120"/>
      </w:pPr>
      <w:r>
        <w:t xml:space="preserve">Peticiones interceptadas en la primera carga, sin acción del usuario ni banner de consentimiento previo: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800"/>
        <w:gridCol w:w="17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Tracker</w:t>
            </w:r>
          </w:p>
        </w:tc>
        <w:tc>
          <w:tcPr>
            <w:tcW w:type="dxa" w:w="3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URL observada</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País</w:t>
            </w:r>
          </w:p>
        </w:tc>
        <w:tc>
          <w:tcPr>
            <w:tcW w:type="dxa" w:w="1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Norma</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Cal.com (embed de agenda)</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https://app.cal.com/embed/embed.js, https://cal.com</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Según configuración del proveedor</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art. 22.2 LSSI-CE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OpenRouter / Anthropic (respuestas del chat)</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https://openrouter.ai/api/v1/chat/completions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Estados Unidos</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arts. 13, 28, 44-49 RGPD</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Groq (transcripción de voz)</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https://api.groq.com/openai/v1/audio/transcriptions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Estados Unidos</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arts. 9, 13, 44-49 RGPD</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Supabase (almacenamiento de leads y conversaciones)</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{SUPABASE_URL}/rest/v1/leads, {SUPABASE_URL}/rest/v1/conversations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Según región del proyecto (sin confirmar)</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arts. 13, 28, 44-49 RGPD</w:t>
            </w:r>
          </w:p>
        </w:tc>
      </w:tr>
    </w:tbl>
    <w:p>
      <w:r>
        <w:br w:type="page"/>
      </w:r>
    </w:p>
    <w:p>
      <w:pPr>
        <w:pStyle w:val="Heading1"/>
        <w:spacing w:after="200" w:before="360"/>
      </w:pPr>
      <w:r>
        <w:rPr>
          <w:b/>
          <w:bCs/>
          <w:color w:val="1F3864"/>
          <w:sz w:val="32"/>
          <w:szCs w:val="32"/>
        </w:rPr>
        <w:t xml:space="preserve">10. Riesgo sancionador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Escenario</w:t>
            </w:r>
          </w:p>
        </w:tc>
        <w:tc>
          <w:tcPr>
            <w:tcW w:type="dxa" w:w="2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Horquilla</w:t>
            </w:r>
          </w:p>
        </w:tc>
        <w:tc>
          <w:tcPr>
            <w:tcW w:type="dxa" w:w="4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Descripción</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Conservador</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0 – 5000 €</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Las infracciones detectadas son de información/transparencia y de cookies con fuerte atenuante (carga perezosa, sin tracking publicitario, sin afectados masivos). La AEPD suele resolver casos análogos en PYME con apercibimiento o multas bajas (p. ej. 3.000-5.000 € por defecto de cláusula informativa, art. 13). Tras la remediación aplicada, la exposición tiende a 0.</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Medio</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5000 – 20.000 €</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Si no se hubiera corregido y la AEPD valorase la acumulación (info art. 13 incompleta + cookies de Cal.com no informadas), precedentes equivalentes se mueven en torno a SEAT (16.000 € por cookies sin consentimiento) y las multas tipo de art. 13 en PYME.</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Agravado</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30.000 – 150.000 €</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Escenario teórico de máximos para cookies sin consentimiento (LSSI art. 39.1.b: 30.001-150.000 €), aplicable solo a conductas persistentes, con tracking activo y sin atenuantes — NO es el caso aquí. Se incluye solo como techo legal de referencia.</w:t>
            </w:r>
          </w:p>
        </w:tc>
      </w:tr>
    </w:tbl>
    <w:p>
      <w:pPr>
        <w:spacing w:after="120"/>
      </w:pPr>
      <w:r>
        <w:t xml:space="preserve">Horquillas orientativas basadas en precedentes AEPD y la escala del art. 83 RGPD. La cuantía final depende de la modulación por la autoridad según los criterios del art. 83.2 RGPD.</w:t>
      </w:r>
    </w:p>
    <w:p>
      <w:r>
        <w:br w:type="page"/>
      </w:r>
    </w:p>
    <w:p>
      <w:pPr>
        <w:pStyle w:val="Heading1"/>
        <w:spacing w:after="200" w:before="360"/>
      </w:pPr>
      <w:r>
        <w:rPr>
          <w:b/>
          <w:bCs/>
          <w:color w:val="1F3864"/>
          <w:sz w:val="32"/>
          <w:szCs w:val="32"/>
        </w:rPr>
        <w:t xml:space="preserve">11. Recomendaciones y plan de acción</w:t>
      </w:r>
    </w:p>
    <w:p>
      <w:pPr>
        <w:pStyle w:val="Heading2"/>
        <w:spacing w:after="160" w:before="280"/>
      </w:pPr>
      <w:r>
        <w:rPr>
          <w:b/>
          <w:bCs/>
          <w:color w:val="2E74B5"/>
          <w:sz w:val="26"/>
          <w:szCs w:val="26"/>
        </w:rPr>
        <w:t xml:space="preserve">Altas — acción urgente</w:t>
      </w:r>
    </w:p>
    <w:p>
      <w:pPr>
        <w:pStyle w:val="ListParagraph"/>
        <w:numPr>
          <w:ilvl w:val="0"/>
          <w:numId w:val="2"/>
        </w:numPr>
        <w:spacing w:after="80"/>
      </w:pPr>
      <w:r>
        <w:t xml:space="preserve">[RGPD-001] La política de privacidad no informa de los tratamientos del asistente del chat ni de sus encargados: Declarar el tratamiento del chat (texto y voz), el almacenamiento de la conversación y todos los encargados (OpenRouter, Anthropic, Groq, Supabase, Cal.com), con su base legal, finalidad, conservación y transferencias. APLICADO en esta sesión.</w:t>
      </w:r>
    </w:p>
    <w:p>
      <w:pPr>
        <w:pStyle w:val="ListParagraph"/>
        <w:numPr>
          <w:ilvl w:val="0"/>
          <w:numId w:val="2"/>
        </w:numPr>
        <w:spacing w:after="80"/>
      </w:pPr>
      <w:r>
        <w:t xml:space="preserve">[RGPD-002] Tratamiento de voz (micrófono) y almacenamiento de conversaciones sin información ni base legal explícita: Informar del tratamiento de voz y del guardado de la conversación, y recabar consentimiento previo. APLICADO: aviso de consentimiento en el chat antes de procesar/guardar nada.</w:t>
      </w:r>
    </w:p>
    <w:p>
      <w:pPr>
        <w:pStyle w:val="ListParagraph"/>
        <w:numPr>
          <w:ilvl w:val="0"/>
          <w:numId w:val="2"/>
        </w:numPr>
        <w:spacing w:after="80"/>
      </w:pPr>
      <w:r>
        <w:t xml:space="preserve">[COOKIES-001] La política de cookies declaraba 'cero cookies' pero el embed de Cal.com instala cookies de terceros: Corregir la política de cookies para declarar Cal.com y recabar consentimiento previo a su carga. APLICADO: política reescrita + gate de consentimiento (Cal.com no se carga hasta que el usuario lo acepta).</w:t>
      </w:r>
    </w:p>
    <w:p>
      <w:r>
        <w:br w:type="page"/>
      </w:r>
    </w:p>
    <w:p>
      <w:pPr>
        <w:spacing w:after="200" w:before="200"/>
        <w:jc w:val="center"/>
      </w:pPr>
      <w:r>
        <w:rPr>
          <w:b/>
          <w:bCs/>
          <w:color w:val="C00000"/>
          <w:sz w:val="48"/>
          <w:szCs w:val="48"/>
        </w:rPr>
        <w:t xml:space="preserve">⚠ ALERTA LEGAL ⚠</w:t>
      </w:r>
    </w:p>
    <w:p>
      <w:pPr>
        <w:spacing w:after="360"/>
        <w:jc w:val="center"/>
      </w:pPr>
      <w:r>
        <w:rPr>
          <w:b/>
          <w:bCs/>
          <w:color w:val="C00000"/>
          <w:sz w:val="28"/>
          <w:szCs w:val="28"/>
        </w:rPr>
        <w:t xml:space="preserve">Normas incumplidas y exposición sancionadora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360"/>
      </w:tblGrid>
      <w:tr>
        <w:trPr>
          <w:tblHeader/>
        </w:trPr>
        <w:tc>
          <w:tcPr>
            <w:tcW w:type="dxa" w:w="3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Norma</w:t>
            </w:r>
          </w:p>
        </w:tc>
        <w:tc>
          <w:tcPr>
            <w:tcW w:type="dxa" w:w="4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Infracción</w:t>
            </w:r>
          </w:p>
        </w:tc>
        <w:tc>
          <w:tcPr>
            <w:tcW w:type="dxa" w:w="1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Severidad</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Arts. 13 y 14 RGPD (UE) 2016/679; art. 11 LOPDGDD 3/2018</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La política de privacidad no informa de los tratamientos del asistente del chat ni de sus encargados</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ALTO</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Arts. 5.1.a, 6.1.a y 13 RGPD</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Tratamiento de voz (micrófono) y almacenamiento de conversaciones sin información ni base legal explícita</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ALTO</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Art. 22.2 LSSI-CE (Ley 34/2002); Guía AEPD sobre el uso de cookies; Directiva 2002/58/CE</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La política de cookies declaraba 'cero cookies' pero el embed de Cal.com instala cookies de terceros</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ALTO</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Buenas prácticas de seguridad (RGPD art. 32 — medidas técnicas apropiadas)</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Content-Security-Policy en modo report-only (no bloquea)</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MEDIO</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Art. 10 LSSI-CE; art. 5.1.c RGPD (minimización)</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Sobreexposición del DNI del titular en el aviso legal</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BAJO</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Art. 13 RGPD (información en el momento de la recogida)</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Formulario de contacto sin texto informativo breve junto al checkbox</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BAJO</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Arts. 28 (encargados) y 44-49 (transferencias) RGPD</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Región de la base de datos (Supabase) y DPA/SCC con los encargados sin confirmar</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MEDIO</w:t>
            </w:r>
          </w:p>
        </w:tc>
      </w:tr>
    </w:tbl>
    <w:p>
      <w:r>
        <w:br w:type="page"/>
      </w:r>
    </w:p>
    <w:p>
      <w:pPr>
        <w:pStyle w:val="Heading1"/>
        <w:spacing w:after="200" w:before="360"/>
      </w:pPr>
      <w:r>
        <w:rPr>
          <w:b/>
          <w:bCs/>
          <w:color w:val="1F3864"/>
          <w:sz w:val="32"/>
          <w:szCs w:val="32"/>
        </w:rPr>
        <w:t xml:space="preserve">12. Nota final</w:t>
      </w:r>
    </w:p>
    <w:p>
      <w:pPr>
        <w:spacing w:after="120"/>
      </w:pPr>
      <w:r>
        <w:t xml:space="preserve">Este informe se ha elaborado a partir de observación externa en la fecha indicada. La cuantificación de la exposición sancionadora es orientativa y no constituye dictamen jurídico. Se recomienda contrastar los hallazgos con asesoría legal y aportar la siguiente documentación, no verificable externamente, para completar el análisis:</w:t>
      </w:r>
    </w:p>
    <w:p>
      <w:pPr>
        <w:pStyle w:val="ListParagraph"/>
        <w:numPr>
          <w:ilvl w:val="0"/>
          <w:numId w:val="2"/>
        </w:numPr>
        <w:spacing w:after="80"/>
      </w:pPr>
      <w:r>
        <w:t xml:space="preserve">Registro de Actividades del Tratamiento (RAT), art. 30 RGPD</w:t>
      </w:r>
    </w:p>
    <w:p>
      <w:pPr>
        <w:pStyle w:val="ListParagraph"/>
        <w:numPr>
          <w:ilvl w:val="0"/>
          <w:numId w:val="2"/>
        </w:numPr>
        <w:spacing w:after="80"/>
      </w:pPr>
      <w:r>
        <w:t xml:space="preserve">Contratos de encargo del tratamiento con proveedores (art. 28)</w:t>
      </w:r>
    </w:p>
    <w:p>
      <w:pPr>
        <w:pStyle w:val="ListParagraph"/>
        <w:numPr>
          <w:ilvl w:val="0"/>
          <w:numId w:val="2"/>
        </w:numPr>
        <w:spacing w:after="80"/>
      </w:pPr>
      <w:r>
        <w:t xml:space="preserve">Evaluaciones de impacto (EIPD) cuando apliquen (art. 35)</w:t>
      </w:r>
    </w:p>
    <w:p>
      <w:pPr>
        <w:pStyle w:val="ListParagraph"/>
        <w:numPr>
          <w:ilvl w:val="0"/>
          <w:numId w:val="2"/>
        </w:numPr>
        <w:spacing w:after="80"/>
      </w:pPr>
      <w:r>
        <w:t xml:space="preserve">Procedimiento interno de ejercicio de derechos y notificación de brechas</w:t>
      </w:r>
    </w:p>
    <w:p>
      <w:pPr>
        <w:pStyle w:val="ListParagraph"/>
        <w:numPr>
          <w:ilvl w:val="0"/>
          <w:numId w:val="2"/>
        </w:numPr>
        <w:spacing w:after="80"/>
      </w:pPr>
      <w:r>
        <w:t xml:space="preserve">Acreditación documental de los claims publicitarios cuantificados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00"/>
      </w:tabs>
    </w:pPr>
    <w:r>
      <w:rPr>
        <w:color w:val="808080"/>
        <w:sz w:val="18"/>
        <w:szCs w:val="18"/>
      </w:rPr>
      <w:t xml:space="preserve">Preparado 2026-06-18</w:t>
    </w:r>
    <w:r>
      <w:rPr>
        <w:color w:val="808080"/>
        <w:sz w:val="18"/>
        <w:szCs w:val="18"/>
      </w:rPr>
      <w:t xml:space="preserve">	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Auditoría Legal · konquerai.com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2026-06-18T16:12:58.637Z</dcterms:created>
  <dcterms:modified xsi:type="dcterms:W3CDTF">2026-06-18T16:12:58.637Z</dcterms:modified>
</cp:coreProperties>
</file>

<file path=docProps/custom.xml><?xml version="1.0" encoding="utf-8"?>
<Properties xmlns="http://schemas.openxmlformats.org/officeDocument/2006/custom-properties" xmlns:vt="http://schemas.openxmlformats.org/officeDocument/2006/docPropsVTypes"/>
</file>