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Nexus Analytics — Budget &amp; Financial Projections</w:t>
      </w:r>
    </w:p>
    <w:p>
      <w:pPr>
        <w:pStyle w:val="Heading2"/>
      </w:pPr>
      <w:r>
        <w:t>Funding Status</w:t>
      </w:r>
    </w:p>
    <w:p>
      <w:r>
        <w:t>Nexus Analytics is funded through a $4.2M seed round closed in January 2026, led by Gradient Ventures with participation from First Round Capital. Current runway at projected burn rate: 18 months (through July 2027). A Series A raise is planned for Q1 2027, contingent on hitting 100 paying customers and $500K ARR by December 2026.</w:t>
      </w:r>
    </w:p>
    <w:p>
      <w:pPr>
        <w:pStyle w:val="Heading2"/>
      </w:pPr>
      <w:r>
        <w:t>Headcount Plan</w:t>
      </w:r>
    </w:p>
    <w:p>
      <w:r>
        <w:t>Current team: 9 full-time employees. Target by launch: 14 FTEs.</w:t>
      </w:r>
    </w:p>
    <w:p>
      <w:r>
        <w:t>Engineering (current: 4, target: 6): Two senior engineers are in the hiring pipeline. One offer extended to a backend engineer (Rust/TypeScript) with a start date of May 1. Second role (ML engineer for NLQ) is still in interview stage — expected start date June 1. If either hire falls through, the beta launch date is at risk.</w:t>
      </w:r>
    </w:p>
    <w:p>
      <w:r>
        <w:t>Product (current: 1, target: 2): Hiring a second PM to own the data connector roadmap. Offer stage, expected start May 15.</w:t>
      </w:r>
    </w:p>
    <w:p>
      <w:r>
        <w:t>Design (current: 1, target: 1): Fully staffed.</w:t>
      </w:r>
    </w:p>
    <w:p>
      <w:r>
        <w:t>Sales &amp; Marketing (current: 1, target: 3): Hiring a demand gen lead (start April 15) and a solutions engineer for beta customer onboarding (start June 1).</w:t>
      </w:r>
    </w:p>
    <w:p>
      <w:r>
        <w:t>Operations &amp; Finance (current: 2, target: 2): Fully staffed.</w:t>
      </w:r>
    </w:p>
    <w:p>
      <w:pPr>
        <w:pStyle w:val="Heading2"/>
      </w:pPr>
      <w:r>
        <w:t>Development Costs (April – September 2026)</w:t>
      </w:r>
    </w:p>
    <w:p>
      <w:r>
        <w:t>Engineering salaries (6 FTEs, 6 months): $540,000
Contractor support (design, QA): $60,000
AWS infrastructure (dev + staging + production): $48,000
Third-party APIs (Anthropic for NLQ, SendGrid, Auth0): $72,000
SOC 2 certification (Drata platform + auditor fees): $35,000
Tooling &amp; licenses (GitHub Enterprise, Linear, Figma): $12,000</w:t>
      </w:r>
    </w:p>
    <w:p>
      <w:r>
        <w:t>Total development cost: $767,000</w:t>
      </w:r>
    </w:p>
    <w:p>
      <w:pPr>
        <w:pStyle w:val="Heading2"/>
      </w:pPr>
      <w:r>
        <w:t>Ongoing Monthly Costs (Post-Launch)</w:t>
      </w:r>
    </w:p>
    <w:p>
      <w:r>
        <w:t xml:space="preserve">AWS infrastructure (production at scale): $14,000/month
</w:t>
      </w:r>
      <w:commentRangeStart w:id="2"/>
      <w:r>
        <w:t>Anthropic API (NLQ queries, projected 5,000/day): $18,000/month</w:t>
      </w:r>
      <w:commentRangeEnd w:id="2"/>
      <w:r>
        <w:commentReference w:id="2"/>
      </w:r>
      <w:r>
        <w:t xml:space="preserve">
Support tooling (Zendesk, monitoring): $2,400/month
Total monthly operational cost: $34,400/month</w:t>
      </w:r>
    </w:p>
    <w:p>
      <w:r>
        <w:t>Note: The Anthropic API cost is the largest variable expense. At 10,000 queries/day (optimistic growth scenario), this doubles to $36,000/month. The product team is exploring semantic caching to reduce redundant API calls by an estimated 40%.</w:t>
      </w:r>
    </w:p>
    <w:p>
      <w:pPr>
        <w:pStyle w:val="Heading2"/>
      </w:pPr>
      <w:r>
        <w:t>Revenue Projections</w:t>
      </w:r>
    </w:p>
    <w:p>
      <w:r>
        <w:t>Pricing model (pending final approval): Three tiers.</w:t>
      </w:r>
    </w:p>
    <w:p>
      <w:r>
        <w:t xml:space="preserve">Starter: </w:t>
      </w:r>
      <w:commentRangeStart w:id="0"/>
      <w:r>
        <w:t>$299/month</w:t>
      </w:r>
      <w:commentRangeEnd w:id="0"/>
      <w:r>
        <w:commentReference w:id="0"/>
      </w:r>
      <w:r>
        <w:t xml:space="preserve"> — Up to 5 data sources, 1,000 NLQ queries/month, 3 users.
Growth: $799/month — Up to 15 data sources, 10,000 NLQ queries/month, 10 users, anomaly detection.
Enterprise: $1,999/month — Unlimited data sources and queries, SSO, dedicated support, custom connectors.</w:t>
      </w:r>
    </w:p>
    <w:p>
      <w:r>
        <w:t>Projected customer acquisition:</w:t>
      </w:r>
    </w:p>
    <w:p>
      <w:r>
        <w:t>Beta (July–August 2026): 50 companies, free tier.
September 2026: Convert 20% of beta to paid (10 customers). Estimated MRR: $7,990.
December 2026: 80 paying customers. Estimated MRR: $52,000. Estimated ARR: $624,000.
March 2027: 150 paying customers. Estimated MRR: $105,000.</w:t>
      </w:r>
    </w:p>
    <w:p>
      <w:pPr>
        <w:pStyle w:val="Heading2"/>
      </w:pPr>
      <w:r>
        <w:t>Risk Factors</w:t>
      </w:r>
    </w:p>
    <w:p>
      <w:r>
        <w:t xml:space="preserve">Burn rate sensitivity: If we miss the Series A timeline by 3 months, we have only 6 months of remaining runway. Mitigation: maintain optionality by keeping </w:t>
      </w:r>
      <w:commentRangeStart w:id="1"/>
      <w:r>
        <w:t>monthly burn below $230,000</w:t>
      </w:r>
      <w:commentRangeEnd w:id="1"/>
      <w:r>
        <w:commentReference w:id="1"/>
      </w:r>
      <w:r>
        <w:t>.</w:t>
      </w:r>
    </w:p>
    <w:p>
      <w:r>
        <w:t>API cost overrun: NLQ costs could exceed projections if usage patterns are higher than modeled. Mitigation: implement hard rate limits per tier and invest in semantic caching (budgeted $15,000 for R&amp;D).</w:t>
      </w:r>
    </w:p>
    <w:p>
      <w:r>
        <w:t>Hiring delays: If the ML engineer hire slips past June 15, the NLQ feature will not be ready for beta. Mitigation: engage a contractor through Toptal as a backup ($25,000 for 2 months).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MCP Server" w:date="2026-03-26T13:57:35Z" w:initials="MS" custom:internalId="78c67508-d30f-4444-bb93-8cbac931ed09" custom:trackedChangeText="null" custom:trackedChangeDisplayType="null" custom:trackedDeletedText="null">
    <w:p w14:paraId="7592541F">
      <w:r>
        <w:rPr>
          <w:rStyle w:val="CommentReference"/>
        </w:rPr>
        <w:annotationRef/>
      </w:r>
      <w:r>
        <w:t>Sales team thinks $299 is too low for the value we deliver. Competitors charge $500+ for similar. Recommend $399 for Starter to improve unit economics. — Tom (Sales)</w:t>
      </w:r>
    </w:p>
  </w:comment>
  <w:comment xmlns:custom="http://schemas.openxmlformats.org/wordprocessingml/2006/main" w:id="1" w:author="MCP Server" w:date="2026-03-26T13:57:35Z" w:initials="MS" custom:internalId="cb692133-fec5-4c0f-b8a9-10cb3a183de4" custom:trackedChangeText="null" custom:trackedChangeDisplayType="null" custom:trackedDeletedText="null">
    <w:p w14:paraId="1C242738">
      <w:r>
        <w:rPr>
          <w:rStyle w:val="CommentReference"/>
        </w:rPr>
        <w:annotationRef/>
      </w:r>
      <w:r>
        <w:t>This is very tight. We should model a scenario where we cut non-essential spend (contractor support, some tooling) to extend runway by 2 months if Series A is delayed. — David (CFO)</w:t>
      </w:r>
    </w:p>
  </w:comment>
  <w:comment xmlns:custom="http://schemas.openxmlformats.org/wordprocessingml/2006/main" w:id="2" w:author="MCP Server" w:date="2026-03-26T13:57:35Z" w:initials="MS" custom:internalId="76d559c1-3a4a-4835-822e-fd8a9253a7c9" custom:trackedChangeText="null" custom:trackedChangeDisplayType="null" custom:trackedDeletedText="null">
    <w:p w14:paraId="5A25CC6B">
      <w:r>
        <w:rPr>
          <w:rStyle w:val="CommentReference"/>
        </w:rPr>
        <w:annotationRef/>
      </w:r>
      <w:r>
        <w:t>Can we negotiate volume pricing with Anthropic? At 5K queries/day we'd be a significant customer. Also consider switching to a smaller model for simple queries to reduce cost by ~60%. — James (Eng)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2848</Characters>
  <Application>Microsoft Office Word</Application>
  <DocSecurity>0</DocSecurity>
  <Lines>0</Lines>
  <Paragraphs>0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1.23.0</vt:lpwstr>
  </property>
  <property name="DocumentGuid" fmtid="{D5CDD505-2E9C-101B-9397-08002B2CF9AE}" pid="3">
    <vt:lpwstr>660611C8-48E9-E744-81B9-770713F12380</vt:lpwstr>
  </property>
</Properties>
</file>