
<file path=[Content_Types].xml><?xml version="1.0" encoding="utf-8"?>
<Types xmlns="http://schemas.openxmlformats.org/package/2006/content-types">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a="http://schemas.openxmlformats.org/drawingml/2006/main" xmlns:pic="http://schemas.openxmlformats.org/drawingml/2006/picture" xmlns:c="http://schemas.openxmlformats.org/drawingml/2006/chart" xmlns:dgm="http://schemas.openxmlformats.org/drawingml/2006/diagram" xmlns:lc="http://schemas.openxmlformats.org/drawingml/2006/lockedCanvas"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Heading1"/>
      </w:pPr>
      <w:r>
        <w:t>Nexus Analytics — Customer Research Summary</w:t>
      </w:r>
    </w:p>
    <w:p>
      <w:r>
        <w:t>Research period: January – March 2026
Methodology: 45-minute semi-structured interviews with 18 companies in the target segment (50–500 employees, SaaS or SaaS-adjacent)
Conducted by: Lisa Park (Product) and Tom Wu (Sales)</w:t>
      </w:r>
    </w:p>
    <w:p>
      <w:pPr>
        <w:pStyle w:val="Heading2"/>
      </w:pPr>
      <w:r>
        <w:t>Key Findings</w:t>
      </w:r>
    </w:p>
    <w:p>
      <w:pPr>
        <w:pStyle w:val="Heading3"/>
      </w:pPr>
      <w:r>
        <w:t>Finding 1: Spreadsheet dependency is universal and painful</w:t>
      </w:r>
    </w:p>
    <w:p>
      <w:r>
        <w:t>16 of 18 companies (89%) reported that their primary business intelligence tool is Google Sheets or Excel. Even companies that have purchased Tableau or Looker licenses reported that most employees bypass these tools and build their own spreadsheets because the BI tools are too complex.</w:t>
      </w:r>
    </w:p>
    <w:p>
      <w:r>
        <w:t>Quote (VP Operations, 120-person fintech): "We pay $45,000 a year for Tableau and I think three people use it. Everyone else just exports CSVs and makes pivot tables. By the time the Tableau dashboard is updated, the data is a week old."</w:t>
      </w:r>
    </w:p>
    <w:p>
      <w:r>
        <w:t>Quote (CEO, 85-person health-tech): "I make board decisions based on a spreadsheet that my VP of Sales manually updates every Monday morning. I've asked him how accurate it is and he said about 80%. That's terrifying."</w:t>
      </w:r>
    </w:p>
    <w:p>
      <w:pPr>
        <w:pStyle w:val="Heading3"/>
      </w:pPr>
      <w:r>
        <w:t>Finding 2: Real-time data access is the top unmet need</w:t>
      </w:r>
    </w:p>
    <w:p>
      <w:r>
        <w:t>14 of 18 companies (78%) said their biggest frustration is stale data. Current workflows involve weekly manual exports, overnight batch jobs, or waiting for an analyst to run a query. By the time leadership sees the numbers, they're already outdated.</w:t>
      </w:r>
    </w:p>
    <w:p>
      <w:r>
        <w:t>Quote (Head of Revenue, 200-person e-commerce SaaS): "I need to know our churn rate right now, not what it was last Tuesday. We lost a $50K account last quarter and didn't know for two weeks because the dashboard only updates weekly."</w:t>
      </w:r>
    </w:p>
    <w:p>
      <w:r>
        <w:t>The 15-minute data refresh interval planned for Nexus was tested against this need. 12 of 14 respondents said 15 minutes is sufficient. Two requested real-time (sub-minute) which is not planned for V1.</w:t>
      </w:r>
    </w:p>
    <w:p>
      <w:pPr>
        <w:pStyle w:val="Heading3"/>
      </w:pPr>
      <w:r>
        <w:t>Finding 3: Natural language querying is a strong differentiator</w:t>
      </w:r>
    </w:p>
    <w:p>
      <w:r>
        <w:t>11 of 18 companies (61%) expressed strong interest in the NLQ feature when described. The primary appeal was not having to learn SQL or a query builder. However, trust was a concern — 7 of those 11 said they would only trust NLQ results if they could see the generated SQL alongside the output.</w:t>
      </w:r>
    </w:p>
    <w:p>
      <w:r>
        <w:t>Quote (Director of Analytics, 300-person logistics SaaS): "If I could just type 'show me churn by cohort for Q4' and get an answer, that would save me 2 hours a week. But I'd want to see the SQL so I can verify it's pulling from the right tables."</w:t>
      </w:r>
    </w:p>
    <w:p>
      <w:r>
        <w:t xml:space="preserve">Recommendation: </w:t>
      </w:r>
      <w:commentRangeStart w:id="0"/>
      <w:r>
        <w:t>Add a "Show SQL" toggle to all NLQ results</w:t>
      </w:r>
      <w:commentRangeEnd w:id="0"/>
      <w:r>
        <w:commentReference w:id="0"/>
      </w:r>
      <w:r>
        <w:t>. This was not in the original PRD but emerged as a strong signal from interviews.</w:t>
      </w:r>
    </w:p>
    <w:p>
      <w:pPr>
        <w:pStyle w:val="Heading3"/>
      </w:pPr>
      <w:r>
        <w:t>Finding 4: Anomaly detection is nice-to-have, not must-have</w:t>
      </w:r>
    </w:p>
    <w:p>
      <w:r>
        <w:t>8 of 18 companies (44%) said they would use anomaly detection. The remaining 10 either already have monitoring through other tools (Datadog, PagerDuty for operational metrics) or don't see the value for business metrics. Of the 8 interested, 6 said email alerts are sufficient and didn't need Slack or webhook integration for V1.</w:t>
      </w:r>
    </w:p>
    <w:p>
      <w:r>
        <w:t xml:space="preserve">Recommendation: </w:t>
      </w:r>
      <w:commentRangeStart w:id="1"/>
      <w:r>
        <w:t>Consider deprioritizing anomaly detection</w:t>
      </w:r>
      <w:commentRangeEnd w:id="1"/>
      <w:r>
        <w:commentReference w:id="1"/>
      </w:r>
      <w:r>
        <w:t xml:space="preserve"> to focus engineering effort on PII redaction and NLQ quality. The customer signal for anomaly detection is weaker than expected.</w:t>
      </w:r>
    </w:p>
    <w:p>
      <w:pPr>
        <w:pStyle w:val="Heading3"/>
      </w:pPr>
      <w:r>
        <w:t>Finding 5: Healthcare companies need special treatment</w:t>
      </w:r>
    </w:p>
    <w:p>
      <w:r>
        <w:t>Of the 5 confirmed beta participants, 3 operate in healthcare or health-adjacent industries:</w:t>
      </w:r>
    </w:p>
    <w:p>
      <w:r>
        <w:t>MedFlow (150 employees): Patient engagement platform. Would connect Stripe and HubSpot data. Does NOT plan to connect patient databases.</w:t>
      </w:r>
    </w:p>
    <w:p>
      <w:r>
        <w:t>CareSync (90 employees): Telehealth scheduling. Wants to connect their PostgreSQL analytics DB which MAY contain appointment data with patient names.</w:t>
      </w:r>
    </w:p>
    <w:p>
      <w:r>
        <w:t>HealthBridge Analytics (200 employees): Healthcare data warehouse. Their entire business is health data. Would want to connect their Snowflake instance which contains aggregated PHI.</w:t>
      </w:r>
    </w:p>
    <w:p>
      <w:r>
        <w:t xml:space="preserve">Only </w:t>
      </w:r>
      <w:commentRangeStart w:id="2"/>
      <w:r>
        <w:t>HealthBridge presents a true HIPAA risk</w:t>
      </w:r>
      <w:commentRangeEnd w:id="2"/>
      <w:r>
        <w:commentReference w:id="2"/>
      </w:r>
      <w:r>
        <w:t>. MedFlow and CareSync can be onboarded with data source restrictions. Recommendation: proceed with the restricted data policy proposed in the stakeholder meeting for MedFlow and CareSync, but defer HealthBridge to post-HIPAA compliance.</w:t>
      </w:r>
    </w:p>
    <w:p>
      <w:pPr>
        <w:pStyle w:val="Heading2"/>
      </w:pPr>
      <w:r>
        <w:t>Beta Participant Summary</w:t>
      </w:r>
    </w:p>
    <w:p>
      <w:pPr>
        <w:numPr>
          <w:numId w:val="3"/>
          <w:ilvl w:val="0"/>
        </w:numPr>
      </w:pPr>
      <w:r>
        <w:t>MedFlow (healthcare) — Confirmed. Non-PHI sources only.</w:t>
      </w:r>
    </w:p>
    <w:p>
      <w:pPr>
        <w:numPr>
          <w:numId w:val="3"/>
          <w:ilvl w:val="0"/>
        </w:numPr>
      </w:pPr>
      <w:r>
        <w:t>CareSync (healthcare) — Confirmed. Non-PHI sources only.</w:t>
      </w:r>
    </w:p>
    <w:p>
      <w:pPr>
        <w:numPr>
          <w:numId w:val="3"/>
          <w:ilvl w:val="0"/>
        </w:numPr>
      </w:pPr>
      <w:r>
        <w:t>Rivian Analytics (fintech, 180 employees) — Confirmed. Primary use: revenue dashboards.</w:t>
      </w:r>
    </w:p>
    <w:p>
      <w:pPr>
        <w:numPr>
          <w:numId w:val="3"/>
          <w:ilvl w:val="0"/>
        </w:numPr>
      </w:pPr>
      <w:r>
        <w:t>ShipStack (logistics, 95 employees) — Confirmed. Primary use: NLQ for operations data.</w:t>
      </w:r>
    </w:p>
    <w:p>
      <w:pPr>
        <w:numPr>
          <w:numId w:val="3"/>
          <w:ilvl w:val="0"/>
        </w:numPr>
      </w:pPr>
      <w:r>
        <w:t>GrowthLab (marketing SaaS, 60 employees) — Confirmed. Primary use: churn analysis.</w:t>
      </w:r>
    </w:p>
    <w:p>
      <w:r>
        <w:t>Waitlist: 12 additional companies expressing interest. Tom to send invitations in waves after initial beta feedback.</w:t>
      </w:r>
    </w:p>
    <w:p>
      <w:pPr>
        <w:pStyle w:val="Heading2"/>
      </w:pPr>
      <w:r>
        <w:t>Feature Priority (from customer signal)</w:t>
      </w:r>
    </w:p>
    <w:p>
      <w:pPr>
        <w:numPr>
          <w:numId w:val="4"/>
          <w:ilvl w:val="0"/>
        </w:numPr>
      </w:pPr>
      <w:r>
        <w:t>Automated dashboards (89% interest) — Core value proposition, no change needed</w:t>
      </w:r>
    </w:p>
    <w:p>
      <w:pPr>
        <w:numPr>
          <w:numId w:val="4"/>
          <w:ilvl w:val="0"/>
        </w:numPr>
      </w:pPr>
      <w:r>
        <w:t>Natural language querying (61% interest) — High interest but trust concerns. Add SQL visibility.</w:t>
      </w:r>
    </w:p>
    <w:p>
      <w:pPr>
        <w:numPr>
          <w:numId w:val="4"/>
          <w:ilvl w:val="0"/>
        </w:numPr>
      </w:pPr>
      <w:r>
        <w:t>Data connectors (universal need) — Stripe and Salesforce are the most requested. PostgreSQL and Snowflake for technical users.</w:t>
      </w:r>
    </w:p>
    <w:p>
      <w:pPr>
        <w:numPr>
          <w:numId w:val="4"/>
          <w:ilvl w:val="0"/>
        </w:numPr>
      </w:pPr>
      <w:r>
        <w:t>Anomaly detection (44% interest) — Weaker than expected. Consider deprioritizing.</w:t>
      </w:r>
    </w:p>
    <w:p>
      <w:pPr>
        <w:numPr>
          <w:numId w:val="4"/>
          <w:ilvl w:val="0"/>
        </w:numPr>
      </w:pPr>
      <w:r>
        <w:t>Mobile app (22% interest) — Not needed for V1. Responsive web is sufficient.</w:t>
      </w:r>
    </w:p>
    <w:sectPr w:rsidR="00233D7B" w:rsidRPr="003104CE">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xmlns:custom="http://schemas.openxmlformats.org/wordprocessingml/2006/main" w:id="0" w:author="MCP Server" w:date="2026-03-26T14:00:54Z" w:initials="MS" custom:internalId="373737fd-df1c-4d48-b5d6-f5ed09d72430" custom:trackedChangeText="null" custom:trackedChangeDisplayType="null" custom:trackedDeletedText="null">
    <w:p w14:paraId="5FF46F6C">
      <w:r>
        <w:rPr>
          <w:rStyle w:val="CommentReference"/>
        </w:rPr>
        <w:annotationRef/>
      </w:r>
      <w:r>
        <w:t>James confirmed this is a 2-day implementation. Adding to the NLQ beta scope. Good catch from the interviews. — Maria (Eng Lead)</w:t>
      </w:r>
    </w:p>
  </w:comment>
  <w:comment xmlns:custom="http://schemas.openxmlformats.org/wordprocessingml/2006/main" w:id="1" w:author="MCP Server" w:date="2026-03-26T14:00:54Z" w:initials="MS" custom:internalId="51d53780-84e8-4edd-af8e-6bc069246082" custom:trackedChangeText="null" custom:trackedChangeDisplayType="null" custom:trackedDeletedText="null">
    <w:p w14:paraId="7276A24A">
      <w:r>
        <w:rPr>
          <w:rStyle w:val="CommentReference"/>
        </w:rPr>
        <w:annotationRef/>
      </w:r>
      <w:r>
        <w:t>Agree. Sarah approved deprioritizing anomaly detection in the March 20 stakeholder meeting. Engineering hours freed up will go to PII redaction instead. — Lisa (Product)</w:t>
      </w:r>
    </w:p>
  </w:comment>
  <w:comment xmlns:custom="http://schemas.openxmlformats.org/wordprocessingml/2006/main" w:id="2" w:author="MCP Server" w:date="2026-03-26T14:00:54Z" w:initials="MS" custom:internalId="62a99a80-b992-439b-90aa-4a48d49ab99e" custom:trackedChangeText="null" custom:trackedChangeDisplayType="null" custom:trackedDeletedText="null">
    <w:p w14:paraId="5C980481">
      <w:r>
        <w:rPr>
          <w:rStyle w:val="CommentReference"/>
        </w:rPr>
        <w:annotationRef/>
      </w:r>
      <w:r>
        <w:t>HealthBridge is our largest potential enterprise customer ($1,999/mo tier). Losing them hurts. David is modeling the cost of fast-tracking HIPAA compliance — if we can do it for $50K instead of $80K by scoping to just their use case, it may be worth it. — Tom (Sales)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2" w15:restartNumberingAfterBreak="0">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multiLevelType w:val="hybridMultilevel"/>
    <w:tmpl w:val="EE6417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D7B"/>
    <w:rsid w:val="00233D7B"/>
    <w:rsid w:val="003104CE"/>
    <w:rsid w:val="00360F1B"/>
    <w:rsid w:val="003A4303"/>
    <w:rsid w:val="003C1D14"/>
    <w:rsid w:val="003C58BC"/>
    <w:rsid w:val="0049461A"/>
    <w:rsid w:val="00652E45"/>
    <w:rsid w:val="00AB2838"/>
    <w:rsid w:val="00BB1758"/>
    <w:rsid w:val="00CC3C3F"/>
    <w:rsid w:val="00CE0D03"/>
    <w:rsid w:val="00EC277A"/>
    <w:rsid w:val="00F920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A5DA07"/>
  <w15:chartTrackingRefBased/>
  <w15:docId w15:val="{660611C8-48E9-E744-81B9-770713F123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heme="minorHAnsi" w:hAnsi="Arial"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D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D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D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D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D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D7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D7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D7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D7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D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D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D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D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D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D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D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D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D7B"/>
    <w:rPr>
      <w:rFonts w:eastAsiaTheme="majorEastAsia" w:cstheme="majorBidi"/>
      <w:color w:val="272727" w:themeColor="text1" w:themeTint="D8"/>
    </w:rPr>
  </w:style>
  <w:style w:type="paragraph" w:styleId="Title">
    <w:name w:val="Title"/>
    <w:basedOn w:val="Normal"/>
    <w:next w:val="Normal"/>
    <w:link w:val="TitleChar"/>
    <w:uiPriority w:val="10"/>
    <w:qFormat/>
    <w:rsid w:val="00233D7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D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D7B"/>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D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D7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3D7B"/>
    <w:rPr>
      <w:i/>
      <w:iCs/>
      <w:color w:val="404040" w:themeColor="text1" w:themeTint="BF"/>
    </w:rPr>
  </w:style>
  <w:style w:type="paragraph" w:styleId="ListParagraph">
    <w:name w:val="List Paragraph"/>
    <w:basedOn w:val="Normal"/>
    <w:uiPriority w:val="34"/>
    <w:qFormat/>
    <w:rsid w:val="00233D7B"/>
    <w:pPr>
      <w:ind w:left="720"/>
      <w:contextualSpacing/>
    </w:pPr>
  </w:style>
  <w:style w:type="character" w:styleId="IntenseEmphasis">
    <w:name w:val="Intense Emphasis"/>
    <w:basedOn w:val="DefaultParagraphFont"/>
    <w:uiPriority w:val="21"/>
    <w:qFormat/>
    <w:rsid w:val="00233D7B"/>
    <w:rPr>
      <w:i/>
      <w:iCs/>
      <w:color w:val="0F4761" w:themeColor="accent1" w:themeShade="BF"/>
    </w:rPr>
  </w:style>
  <w:style w:type="paragraph" w:styleId="IntenseQuote">
    <w:name w:val="Intense Quote"/>
    <w:basedOn w:val="Normal"/>
    <w:next w:val="Normal"/>
    <w:link w:val="IntenseQuoteChar"/>
    <w:uiPriority w:val="30"/>
    <w:qFormat/>
    <w:rsid w:val="00233D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D7B"/>
    <w:rPr>
      <w:i/>
      <w:iCs/>
      <w:color w:val="0F4761" w:themeColor="accent1" w:themeShade="BF"/>
    </w:rPr>
  </w:style>
  <w:style w:type="character" w:styleId="IntenseReference">
    <w:name w:val="Intense Reference"/>
    <w:basedOn w:val="DefaultParagraphFont"/>
    <w:uiPriority w:val="32"/>
    <w:qFormat/>
    <w:rsid w:val="00233D7B"/>
    <w:rPr>
      <w:b/>
      <w:bCs/>
      <w:smallCaps/>
      <w:color w:val="0F4761" w:themeColor="accent1" w:themeShade="BF"/>
      <w:spacing w:val="5"/>
    </w:rPr>
  </w:style>
  <w:style w:styleId="Hyperlink" w:type="character">
    <w:name w:val="Hyperlink"/>
    <w:basedOn w:val="DefaultParagraphFont"/>
    <w:uiPriority w:val="99"/>
    <w:unhideWhenUsed/>
    <w:rsid w:val="00D87CC4"/>
    <w:rPr>
      <w:color w:themeColor="hyperlink"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comments" Target="comment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775</Words>
  <Characters>4292</Characters>
  <Application>Microsoft Office Word</Application>
  <DocSecurity>0</DocSecurity>
  <Lines>0</Lines>
  <Paragraphs>0</Paragraphs>
  <ScaleCrop>false</ScaleCrop>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Nick Bernal</dc:creator>
  <cp:keywords/>
  <dc:description/>
  <cp:lastModifiedBy>Nick Bernal</cp:lastModifiedBy>
  <cp:revision>2</cp:revision>
  <dcterms:created xsi:type="dcterms:W3CDTF">2024-12-16T22:05:00Z</dcterms:created>
  <dcterms:modified xsi:type="dcterms:W3CDTF">2024-12-16T22:05:00Z</dcterms:modified>
</cp:coreProperties>
</file>

<file path=docProps/custom.xml><?xml version="1.0" encoding="utf-8"?>
<Properties xmlns="http://schemas.openxmlformats.org/officeDocument/2006/custom-properties" xmlns:vt="http://schemas.openxmlformats.org/officeDocument/2006/docPropsVTypes">
  <property name="SuperdocVersion" fmtid="{D5CDD505-2E9C-101B-9397-08002B2CF9AE}" pid="2">
    <vt:lpwstr>1.23.0</vt:lpwstr>
  </property>
  <property name="DocumentGuid" fmtid="{D5CDD505-2E9C-101B-9397-08002B2CF9AE}" pid="3">
    <vt:lpwstr>660611C8-48E9-E744-81B9-770713F12380</vt:lpwstr>
  </property>
</Properties>
</file>