
<file path=[Content_Types].xml><?xml version="1.0" encoding="utf-8"?>
<Types xmlns="http://schemas.openxmlformats.org/package/2006/content-types">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Nexus Analytics — Legal Review Memo</w:t>
      </w:r>
    </w:p>
    <w:p>
      <w:r>
        <w:t>Prepared by: Chen &amp; Associates LLP
Date: March 15, 2026
For: Nexus Analytics, Inc. (Board of Directors)</w:t>
      </w:r>
    </w:p>
    <w:p>
      <w:pPr>
        <w:pStyle w:val="Heading2"/>
      </w:pPr>
      <w:r>
        <w:t>Executive Summary</w:t>
      </w:r>
    </w:p>
    <w:p>
      <w:r>
        <w:t>This memo summarizes the legal and regulatory considerations for the launch of the Nexus Analytics platform. We have identified four areas requiring attention before the July beta and September general availability dates: data privacy compliance, terms of service, intellectual property, and third-party API liability.</w:t>
      </w:r>
    </w:p>
    <w:p>
      <w:pPr>
        <w:pStyle w:val="Heading2"/>
      </w:pPr>
      <w:r>
        <w:t>1. Data Privacy &amp; Compliance</w:t>
      </w:r>
    </w:p>
    <w:p>
      <w:pPr>
        <w:pStyle w:val="Heading3"/>
      </w:pPr>
      <w:r>
        <w:t>GDPR</w:t>
      </w:r>
    </w:p>
    <w:p>
      <w:r>
        <w:t>Nexus processes customer business data that may contain personal information (names, emails, transaction records linked to individuals). Under GDPR, Nexus acts as a data processor on behalf of its customers (data controllers). Required actions:</w:t>
      </w:r>
    </w:p>
    <w:p>
      <w:r>
        <w:t>Data Processing Agreement (DPA): Must be executed with every EU customer before data ingestion begins. We have drafted a standard DPA template and recommend making it available for self-serve signing during onboarding.</w:t>
      </w:r>
    </w:p>
    <w:p>
      <w:r>
        <w:t>Data residency: The PRD specifies US-only hosting at launch. Any EU customer data must remain in EU-region infrastructure. Until EU hosting is available (planned Q1 2027), Nexus cannot onboard EU-based companies unless they consent to US processing under Standard Contractual Clauses (SCCs). This limits the addressable market.</w:t>
      </w:r>
    </w:p>
    <w:p>
      <w:r>
        <w:t>Right to erasure: Nexus must be able to fully delete a customer's data upon request within 30 days. This includes data in the analytics database (ClickHouse), the data lake (S3), vector embeddings, and any cached NLQ query results. The engineering team should verify that a complete data deletion pipeline exists and is tested.</w:t>
      </w:r>
    </w:p>
    <w:p>
      <w:pPr>
        <w:pStyle w:val="Heading3"/>
      </w:pPr>
      <w:r>
        <w:t>CCPA</w:t>
      </w:r>
    </w:p>
    <w:p>
      <w:r>
        <w:t>For California-based customers, Nexus must provide a mechanism for consumers to request disclosure of personal information collected and processed through the platform. Since Nexus is B2B, the primary obligation falls on the customer (as the business), but Nexus must provide the tools for customers to fulfill these requests.</w:t>
      </w:r>
    </w:p>
    <w:p>
      <w:pPr>
        <w:pStyle w:val="Heading3"/>
      </w:pPr>
      <w:r>
        <w:t>HIPAA Consideration</w:t>
      </w:r>
    </w:p>
    <w:p>
      <w:r>
        <w:t xml:space="preserve">If any customer operates in healthcare and connects data sources containing Protected Health Information (PHI), Nexus would need a Business Associate Agreement (BAA) and HIPAA-compliant infrastructure. </w:t>
      </w:r>
      <w:commentRangeStart w:id="0"/>
      <w:r>
        <w:t>Current AWS configuration is NOT HIPAA-eligible</w:t>
      </w:r>
      <w:commentRangeEnd w:id="0"/>
      <w:r>
        <w:commentReference w:id="0"/>
      </w:r>
      <w:r>
        <w:t>. Recommendation: explicitly exclude healthcare data from the beta program terms, or invest in HIPAA compliance (estimated $80,000 and 3 months of engineering work).</w:t>
      </w:r>
    </w:p>
    <w:p>
      <w:pPr>
        <w:pStyle w:val="Heading2"/>
      </w:pPr>
      <w:r>
        <w:t>2. Terms of Service</w:t>
      </w:r>
    </w:p>
    <w:p>
      <w:r>
        <w:t>The current draft ToS requires the following amendments:</w:t>
      </w:r>
    </w:p>
    <w:p>
      <w:r>
        <w:t>Liability limitation: Current cap is set at "fees paid in the prior 12 months." For enterprise customers on annual contracts, this is reasonable. For monthly customers, the cap could be as low as $299. Recommend a minimum liability floor of $10,000 or 12 months of fees, whichever is greater.</w:t>
      </w:r>
    </w:p>
    <w:p>
      <w:r>
        <w:t xml:space="preserve">NLQ disclaimer: The natural language query feature generates SQL and returns data based on AI interpretation. The ToS must include an explicit disclaimer that </w:t>
      </w:r>
      <w:commentRangeStart w:id="3"/>
      <w:r>
        <w:t>NLQ results are provided "as-is"</w:t>
      </w:r>
      <w:commentRangeEnd w:id="3"/>
      <w:r>
        <w:commentReference w:id="3"/>
      </w:r>
      <w:r>
        <w:t xml:space="preserve"> and should not be relied upon as the sole basis for business decisions. This protects against liability if an NLQ query returns incorrect data that leads to a business loss.</w:t>
      </w:r>
    </w:p>
    <w:p>
      <w:r>
        <w:t>Data retention: Current ToS does not specify data retention periods after account termination. Recommend adding a clause that data is retained for 30 days post-termination, then permanently deleted. This aligns with industry practice and simplifies our GDPR obligations.</w:t>
      </w:r>
    </w:p>
    <w:p>
      <w:pPr>
        <w:pStyle w:val="Heading2"/>
      </w:pPr>
      <w:r>
        <w:t>3. Intellectual Property</w:t>
      </w:r>
    </w:p>
    <w:p>
      <w:r>
        <w:t>NLQ query prompts: The prompt chains used for SQL generation are a significant competitive advantage. These should be classified as trade secrets and protected accordingly. Employee and contractor agreements should include specific IP assignment clauses covering prompt engineering work.</w:t>
      </w:r>
    </w:p>
    <w:p>
      <w:r>
        <w:t xml:space="preserve">Open source dependencies: The engineering team uses several open-source libraries under various licenses (MIT, Apache 2.0, AGPL). A full license audit should be conducted before launch. In particular, any AGPL-licensed dependencies require careful evaluation — </w:t>
      </w:r>
      <w:commentRangeStart w:id="1"/>
      <w:r>
        <w:t>AGPL requires source code disclosure</w:t>
      </w:r>
      <w:commentRangeEnd w:id="1"/>
      <w:r>
        <w:commentReference w:id="1"/>
      </w:r>
      <w:r>
        <w:t xml:space="preserve"> if the software is offered as a service (which Nexus is). If AGPL dependencies exist, they must be replaced or isolated.</w:t>
      </w:r>
    </w:p>
    <w:p>
      <w:pPr>
        <w:pStyle w:val="Heading2"/>
      </w:pPr>
      <w:r>
        <w:t>4. Third-Party API Liability</w:t>
      </w:r>
    </w:p>
    <w:p>
      <w:r>
        <w:t>Nexus depends on the Anthropic API for its core NLQ feature. Key risks:</w:t>
      </w:r>
    </w:p>
    <w:p>
      <w:r>
        <w:t>Service disruption: If Anthropic experiences downtime, NLQ is completely unavailable. The ToS should not guarantee NLQ uptime as part of any SLA. Recommend a separate SLA for NLQ that is lower than the platform SLA (99.5% vs 99.9%).</w:t>
      </w:r>
    </w:p>
    <w:p>
      <w:r>
        <w:t xml:space="preserve">Data processing: NLQ queries send customer data to Anthropic's API. </w:t>
      </w:r>
      <w:commentRangeStart w:id="2"/>
      <w:r>
        <w:t>Anthropic's current data policy states that API data is not used for training</w:t>
      </w:r>
      <w:commentRangeEnd w:id="2"/>
      <w:r>
        <w:commentReference w:id="2"/>
      </w:r>
      <w:r>
        <w:t>, but this could change. We need a Data Processing Addendum with Anthropic, and our customer-facing DPA must disclose this sub-processor relationship.</w:t>
      </w:r>
    </w:p>
    <w:p>
      <w:r>
        <w:t>Cost pass-through: If Anthropic raises prices, Nexus's margins could be severely impacted. The enterprise agreement with Anthropic should include price lock provisions, or Nexus should implement a query cost cap in the product to limit exposure.</w:t>
      </w:r>
    </w:p>
    <w:p>
      <w:pPr>
        <w:pStyle w:val="Heading2"/>
      </w:pPr>
      <w:r>
        <w:t>Recommendations Summary</w:t>
      </w:r>
    </w:p>
    <w:p>
      <w:pPr>
        <w:numPr>
          <w:numId w:val="3"/>
          <w:ilvl w:val="0"/>
        </w:numPr>
      </w:pPr>
      <w:r>
        <w:t>Execute DPA template before beta launch (Critical, blocks beta)</w:t>
      </w:r>
    </w:p>
    <w:p>
      <w:pPr>
        <w:numPr>
          <w:numId w:val="3"/>
          <w:ilvl w:val="0"/>
        </w:numPr>
      </w:pPr>
      <w:r>
        <w:t>Exclude healthcare data from beta terms (Critical)</w:t>
      </w:r>
    </w:p>
    <w:p>
      <w:pPr>
        <w:numPr>
          <w:numId w:val="3"/>
          <w:ilvl w:val="0"/>
        </w:numPr>
      </w:pPr>
      <w:r>
        <w:t>Amend ToS liability cap and add NLQ disclaimer (High priority)</w:t>
      </w:r>
    </w:p>
    <w:p>
      <w:pPr>
        <w:numPr>
          <w:numId w:val="3"/>
          <w:ilvl w:val="0"/>
        </w:numPr>
      </w:pPr>
      <w:r>
        <w:t>Conduct open-source license audit (High priority)</w:t>
      </w:r>
    </w:p>
    <w:p>
      <w:pPr>
        <w:numPr>
          <w:numId w:val="3"/>
          <w:ilvl w:val="0"/>
        </w:numPr>
      </w:pPr>
      <w:r>
        <w:t>Negotiate Data Processing Addendum with Anthropic (High priority)</w:t>
      </w:r>
    </w:p>
    <w:p>
      <w:pPr>
        <w:numPr>
          <w:numId w:val="3"/>
          <w:ilvl w:val="0"/>
        </w:numPr>
      </w:pPr>
      <w:r>
        <w:t>Implement complete data deletion pipeline (Medium priority, required for GA)</w:t>
      </w:r>
    </w:p>
    <w:p>
      <w:pPr>
        <w:numPr>
          <w:numId w:val="3"/>
          <w:ilvl w:val="0"/>
        </w:numPr>
      </w:pPr>
      <w:r>
        <w:t>Add data retention clause to ToS (Medium priority)</w:t>
      </w:r>
    </w:p>
    <w:p>
      <w:pPr>
        <w:numPr>
          <w:numId w:val="3"/>
          <w:ilvl w:val="0"/>
        </w:numPr>
      </w:pPr>
      <w:r>
        <w:t>Evaluate HIPAA compliance for post-launch roadmap (Low priority for now)</w:t>
      </w:r>
    </w:p>
    <w:sectPr w:rsidR="00233D7B" w:rsidRPr="003104C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MCP Server" w:date="2026-03-26T13:58:48Z" w:initials="MS" custom:internalId="488a9336-6849-40f4-80c3-f0cdd322d8b2" custom:trackedChangeText="null" custom:trackedChangeDisplayType="null" custom:trackedDeletedText="null">
    <w:p w14:paraId="5A087AE4">
      <w:r>
        <w:rPr>
          <w:rStyle w:val="CommentReference"/>
        </w:rPr>
        <w:annotationRef/>
      </w:r>
      <w:r>
        <w:t>3 of our 5 beta pilot companies handle healthcare data (see customer research doc). If we exclude healthcare, we lose 60% of our beta cohort. We need to discuss this trade-off at the next stakeholder meeting. — Lisa (Product)</w:t>
      </w:r>
    </w:p>
  </w:comment>
  <w:comment xmlns:custom="http://schemas.openxmlformats.org/wordprocessingml/2006/main" w:id="1" w:author="MCP Server" w:date="2026-03-26T13:58:48Z" w:initials="MS" custom:internalId="00ba7200-5689-4152-b26a-7e72688580d7" custom:trackedChangeText="null" custom:trackedChangeDisplayType="null" custom:trackedDeletedText="null">
    <w:p w14:paraId="0A55C313">
      <w:r>
        <w:rPr>
          <w:rStyle w:val="CommentReference"/>
        </w:rPr>
        <w:annotationRef/>
      </w:r>
      <w:r>
        <w:t>Engineering confirmed we use pgvector (PostgreSQL license) and ClickHouse (Apache 2.0). No AGPL dependencies found in the current stack. The only risk is indirect — some npm packages may pull AGPL transitive deps. Recommend running `license-checker` before launch. — Alex (Eng)</w:t>
      </w:r>
    </w:p>
  </w:comment>
  <w:comment xmlns:custom="http://schemas.openxmlformats.org/wordprocessingml/2006/main" w:id="2" w:author="MCP Server" w:date="2026-03-26T13:58:48Z" w:initials="MS" custom:internalId="56714feb-253d-49f3-a3ac-870e2f61f851" custom:trackedChangeText="null" custom:trackedChangeDisplayType="null" custom:trackedDeletedText="null">
    <w:p w14:paraId="3AEF6CAA">
      <w:r>
        <w:rPr>
          <w:rStyle w:val="CommentReference"/>
        </w:rPr>
        <w:annotationRef/>
      </w:r>
      <w:r>
        <w:t>We should get this in writing ASAP. Anthropic's enterprise team confirmed verbally that API inputs/outputs are not used for training under the commercial API agreement, but we don't have a signed DPA yet. James is reaching out to their partnerships team. — Rachel (Security)</w:t>
      </w:r>
    </w:p>
  </w:comment>
  <w:comment xmlns:custom="http://schemas.openxmlformats.org/wordprocessingml/2006/main" w:id="3" w:author="MCP Server" w:date="2026-03-26T13:58:48Z" w:initials="MS" custom:internalId="09266937-c964-4388-86ba-e17d657fde2d" custom:trackedChangeText="null" custom:trackedChangeDisplayType="null" custom:trackedDeletedText="null">
    <w:p w14:paraId="7F7D2724">
      <w:r>
        <w:rPr>
          <w:rStyle w:val="CommentReference"/>
        </w:rPr>
        <w:annotationRef/>
      </w:r>
      <w:r>
        <w:t>Agreed. We should also add a visible "AI-generated" badge on all NLQ results in the UI, similar to how search engines label AI overviews. This is becoming industry standard. — Lisa (Product)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2" w15:restartNumberingAfterBreak="0">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233D7B"/>
    <w:rsid w:val="003104CE"/>
    <w:rsid w:val="00360F1B"/>
    <w:rsid w:val="003A4303"/>
    <w:rsid w:val="003C1D14"/>
    <w:rsid w:val="003C58BC"/>
    <w:rsid w:val="0049461A"/>
    <w:rsid w:val="00652E45"/>
    <w:rsid w:val="00AB2838"/>
    <w:rsid w:val="00BB1758"/>
    <w:rsid w:val="00CC3C3F"/>
    <w:rsid w:val="00CE0D03"/>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5DA07"/>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813</Words>
  <Characters>4719</Characters>
  <Application>Microsoft Office Word</Application>
  <DocSecurity>0</DocSecurity>
  <Lines>0</Lines>
  <Paragraphs>0</Paragraphs>
  <ScaleCrop>false</ScaleCrop>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Nick Bernal</cp:lastModifiedBy>
  <cp:revision>2</cp:revision>
  <dcterms:created xsi:type="dcterms:W3CDTF">2024-12-16T22:05:00Z</dcterms:created>
  <dcterms:modified xsi:type="dcterms:W3CDTF">2024-12-16T22:05:00Z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1.23.0</vt:lpwstr>
  </property>
  <property name="DocumentGuid" fmtid="{D5CDD505-2E9C-101B-9397-08002B2CF9AE}" pid="3">
    <vt:lpwstr>660611C8-48E9-E744-81B9-770713F12380</vt:lpwstr>
  </property>
</Properties>
</file>