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This Mutual Non-Disclosure Agreement (the "Agreement") is entered into as of January 15, 2025 (the "Effective Date"), by and between:</w:t>
      </w:r>
    </w:p>
    <w:p w14:paraId="5E6D57A5" w14:textId="1B773329" w:rsidR="00A47B7D" w:rsidRDefault="00A910F3">
      <w:r>
        <w:t>Amazing</w:t>
      </w:r>
      <w:r w:rsidR="00000000">
        <w:t xml:space="preserve"> Corp, a corporation organized under the laws of the State of Delaware, with its principal office at 200 Tech Boulevard, Suite 400, San Jose, CA 95110 (the "Disclosing Party"), contact: legal@</w:t>
      </w:r>
      <w:r>
        <w:t>amazing</w:t>
      </w:r>
      <w:r w:rsidR="00000000">
        <w:t>.com</w:t>
      </w:r>
    </w:p>
    <w:p w14:paraId="23C84842" w14:textId="77777777" w:rsidR="00A47B7D" w:rsidRDefault="00000000">
      <w:r>
        <w:t>and</w:t>
      </w:r>
    </w:p>
    <w:p w14:paraId="5588D45B" w14:textId="37740C87" w:rsidR="00A47B7D" w:rsidRDefault="0016576B">
      <w:proofErr w:type="spellStart"/>
      <w:r>
        <w:t>TechCraft</w:t>
      </w:r>
      <w:proofErr w:type="spellEnd"/>
      <w:r w:rsidR="00000000">
        <w:t xml:space="preserve"> LLC, a limited liability company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r>
        <w:t>Maintain the confidentiality of all Confidential Information using the same degree of care as it uses for its own confidential information, but no less than reasonable care.</w:t>
      </w:r>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SuperDoc</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3</cp:revision>
  <dcterms:created xsi:type="dcterms:W3CDTF">2013-12-23T23:15:00Z</dcterms:created>
  <dcterms:modified xsi:type="dcterms:W3CDTF">2026-04-08T17:40:00Z</dcterms:modified>
  <cp:category/>
</cp:coreProperties>
</file>